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血型及HLA生物制品相关行业公司成立报告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一、血型及HLA生物制品项目概况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eastAsia="zh-CN"/>
          </w:rPr>
          <w:t>(二)、血型及HLA生物制品项目提出的理由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" w:history="1">
        <w:r>
          <w:rPr>
            <w:rFonts w:ascii="仿宋" w:eastAsia="仿宋" w:hAnsi="仿宋" w:cs="仿宋" w:hint="eastAsia"/>
            <w:lang w:eastAsia="zh-CN"/>
          </w:rPr>
          <w:t>(三)、血型及HLA生物制品项目选址</w:t>
        </w:r>
        <w:r>
          <w:tab/>
        </w:r>
        <w:r>
          <w:fldChar w:fldCharType="begin"/>
        </w:r>
        <w:r>
          <w:instrText xml:space="preserve"> PAGEREF _Toc2757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(六)、血型及HLA生物制品项目投资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(七)、血型及HLA生物制品项目进度规划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(九)、血型及HLA生物制品项目综合评价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_Toc30464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_Toc17795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_Toc16506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_Toc20139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4" w:history="1">
        <w:r>
          <w:rPr>
            <w:rFonts w:ascii="仿宋" w:eastAsia="仿宋" w:hAnsi="仿宋" w:cs="仿宋" w:hint="eastAsia"/>
            <w:lang w:eastAsia="zh-CN"/>
          </w:rPr>
          <w:t>五、血型及HLA生物制品筹建公司基本信息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_Toc19576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_Toc3577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(五)、血型及HLA生物制品项目总投资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_Toc19642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_Toc14786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_Toc28814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_Toc18317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九、血型及HLA生物制品项目风险分析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6" w:history="1">
        <w:r>
          <w:rPr>
            <w:rFonts w:ascii="仿宋" w:eastAsia="仿宋" w:hAnsi="仿宋" w:cs="仿宋" w:hint="eastAsia"/>
            <w:lang w:eastAsia="zh-CN"/>
          </w:rPr>
          <w:t>(一)、血型及HLA生物制品项目风险分析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(二)、血型及HLA生物制品项目风险对策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(一)、血型及HLA生物制品项目背景分析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(二)、血型及HLA生物制品项目建设必要性分析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_Toc32268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(二)、合作血型及HLA生物制品项目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(一)、社会责任血型及HLA生物制品项目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_Toc3809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_Toc28508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_Toc21188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_Toc8454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41"/>
      <w:r>
        <w:rPr>
          <w:rFonts w:ascii="仿宋" w:eastAsia="仿宋" w:hAnsi="仿宋" w:cs="仿宋" w:hint="eastAsia"/>
          <w:sz w:val="28"/>
          <w:lang w:eastAsia="zh-CN"/>
        </w:rPr>
        <w:t>一、血型及HLA生物制品项目概况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13"/>
      <w:r>
        <w:rPr>
          <w:rFonts w:ascii="仿宋" w:eastAsia="仿宋" w:hAnsi="仿宋" w:cs="仿宋" w:hint="eastAsia"/>
          <w:sz w:val="28"/>
          <w:lang w:eastAsia="zh-CN"/>
        </w:rPr>
        <w:t>(二)、血型及HLA生物制品项目提出的理由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血型及HLA生物制品项目提出的理由可能包括以下几个方面：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市场需求：随着人们对生活品质的追求，对血型及HLA生物制品的需求也在不断增加。市场上对于高品质、符合个性化需求的血型及HLA生物制品需求量大，因此血型及HLA生物制品项目可以满足这一市场需求。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利润空间：血型及HLA生物制品行业的利润空间较大，通过生产和销售高品质的血型及HLA生物制品，可以获得可观的利润。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https://d.book118.com/198033102131006036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血型及HLA生物制品相关行业公司成立报告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血型及HLA生物制品相关行业公司成立报告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血型及HLA生物制品相关行业公司成立报告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血型及HLA生物制品相关行业公司成立报告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血型及HLA生物制品相关行业公司成立报告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033102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2024-02-08T01:23:00Z</dcterms:created>
  <dcterms:modified xsi:type="dcterms:W3CDTF">2024-02-08T01:23:25Z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EF16A4FDA7B146BCAE0C240F4C0EAF58_11</vt:lpwstr>
  </property>
  <property fmtid="{D5CDD505-2E9C-101B-9397-08002B2CF9AE}" pid="3" name="KSOProductBuildVer">
    <vt:lpwstr>2052-12.1.0.16250</vt:lpwstr>
  </property>
</Properties>
</file>