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电竞战略市场规划报告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11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val="en-GB"/>
          </w:rPr>
          <w:t>一、市场地位与竞争战略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6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_Toc22956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0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_Toc12230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8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_Toc5758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val="en-GB"/>
          </w:rPr>
          <w:t>(十)、电竞行业竞争者识别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val="en-GB"/>
          </w:rPr>
          <w:t>三、电竞危机管理与应对策略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val="en-GB"/>
          </w:rPr>
          <w:t>四、电竞行业发展现状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val="en-GB"/>
          </w:rPr>
          <w:t>(一)、电竞行业整体概况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0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val="en-GB"/>
          </w:rPr>
          <w:t>五、电竞项目概论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val="en-GB"/>
          </w:rPr>
          <w:t>(一)、电竞项目概述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val="en-GB"/>
          </w:rPr>
          <w:t>(二)、电竞项目总投资及资金构成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5" w:history="1">
        <w:r>
          <w:rPr>
            <w:rFonts w:ascii="仿宋" w:eastAsia="仿宋" w:hAnsi="仿宋" w:cs="仿宋" w:hint="eastAsia"/>
            <w:lang w:val="en-GB"/>
          </w:rPr>
          <w:t>(四)、电竞项目预期经济效益规划目标</w:t>
        </w:r>
        <w:r>
          <w:tab/>
        </w:r>
        <w:r>
          <w:fldChar w:fldCharType="begin"/>
        </w:r>
        <w:r>
          <w:instrText xml:space="preserve"> PAGEREF _Toc27875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8" w:history="1">
        <w:r>
          <w:rPr>
            <w:rFonts w:ascii="仿宋" w:eastAsia="仿宋" w:hAnsi="仿宋" w:cs="仿宋" w:hint="eastAsia"/>
            <w:lang w:val="en-GB"/>
          </w:rPr>
          <w:t>(五)、电竞项目建设进度规划</w:t>
        </w:r>
        <w:r>
          <w:tab/>
        </w:r>
        <w:r>
          <w:fldChar w:fldCharType="begin"/>
        </w:r>
        <w:r>
          <w:instrText xml:space="preserve"> PAGEREF _Toc26688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val="en-GB"/>
          </w:rPr>
          <w:t>六、市场趋势与消费者洞察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2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_Toc17292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val="en-GB"/>
          </w:rPr>
          <w:t>七、电竞新型运营方式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973" w:history="1">
        <w:r>
          <w:rPr>
            <w:rFonts w:ascii="仿宋" w:eastAsia="仿宋" w:hAnsi="仿宋" w:cs="仿宋" w:hint="eastAsia"/>
            <w:lang w:val="en-GB"/>
          </w:rPr>
          <w:t>八、电竞行业竞争对选址的影响</w:t>
        </w:r>
        <w:r>
          <w:tab/>
        </w:r>
        <w:r>
          <w:fldChar w:fldCharType="begin"/>
        </w:r>
        <w:r>
          <w:instrText xml:space="preserve"> PAGEREF _Toc24973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val="en-GB"/>
          </w:rPr>
          <w:t>九、电竞整合营销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6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val="en-GB"/>
          </w:rPr>
          <w:t>十、电竞定价策略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7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2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_Toc5312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val="en-GB"/>
          </w:rPr>
          <w:t>十一、电竞可持续发展战略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6" w:history="1">
        <w:r>
          <w:rPr>
            <w:rFonts w:ascii="仿宋" w:eastAsia="仿宋" w:hAnsi="仿宋" w:cs="仿宋" w:hint="eastAsia"/>
            <w:lang w:val="en-GB"/>
          </w:rPr>
          <w:t>十二、电竞行业高质量发展</w:t>
        </w:r>
        <w:r>
          <w:tab/>
        </w:r>
        <w:r>
          <w:fldChar w:fldCharType="begin"/>
        </w:r>
        <w:r>
          <w:instrText xml:space="preserve"> PAGEREF _Toc32056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1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_Toc12961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val="en-GB"/>
          </w:rPr>
          <w:t>十三、电竞行业发展方向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val="en-GB"/>
          </w:rPr>
          <w:t>(三)、电竞行业生态系统构建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val="en-GB"/>
          </w:rPr>
          <w:t>十四、市场营销与销售策略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6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_Toc31356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1" w:history="1">
        <w:r>
          <w:rPr>
            <w:rFonts w:ascii="仿宋" w:eastAsia="仿宋" w:hAnsi="仿宋" w:cs="仿宋" w:hint="eastAsia"/>
            <w:lang w:val="en-GB"/>
          </w:rPr>
          <w:t>十五、电竞供应链管理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val="en-GB"/>
          </w:rPr>
          <w:t>十六、电竞国际化战略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2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724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7711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电竞市场竞争的不断加剧，电竞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8625"/>
      <w:r>
        <w:rPr>
          <w:rFonts w:ascii="仿宋" w:eastAsia="仿宋" w:hAnsi="仿宋" w:cs="仿宋" w:hint="eastAsia"/>
          <w:sz w:val="28"/>
          <w:lang w:val="en-GB"/>
        </w:rPr>
        <w:t>一、市场地位与竞争战略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5147"/>
      <w:r>
        <w:rPr>
          <w:rFonts w:ascii="仿宋" w:eastAsia="仿宋" w:hAnsi="仿宋" w:cs="仿宋" w:hint="eastAsia"/>
          <w:lang w:val="en-GB"/>
        </w:rPr>
        <w:t>(一)、顾客忠诚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确实，顾客忠诚是电竞企业在市场中取得长期竞争优势的关键因素之一。下面是一些关于顾客忠诚的重要方面和实现策略：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提供卓越的产品和服务：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通过不断提升产品和服务的质量，满足顾客的需求和期望，建立起对品牌的信任感，从而促使顾客选择并保持忠诚。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建立紧密的联系：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通过与顾客建立积极的沟通和互动，了解他们的反馈和需求。这可以通过社交媒体、客户反馈调查、客户服务中心等渠道实现。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提升品牌认同感：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  通过有效的品牌管理和市场营销活动，塑造品牌形象，使顾客对品牌有一种独特的认同感，从而增加顾客忠诚度。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满足顾客需求：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不断了解市场趋势和顾客需求的变化，灵活调整产品和服务，确保能够及时满足顾客的期望。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建立良好的售后服务体系：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提供高效、友好、专业的售后服务，处理顾客投诉和问题，展示企业对顾客的关注和负责任的态度。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将顾客视为合作伙伴：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建立互信的关系，将顾客视为电竞企业的合作伙伴，参与产品改进、新产品开发的过程，让顾客感到他们的意见和反馈被重视。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7. 奖励和激励计划：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实施奖励计划，例如积分制度、会员优惠等，激励顾客继续选择品牌，并增加他们的忠诚度。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8. 持续创新：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 不断创新产品、服务和营销策略，使企业保持在市场上的竞争力，吸引和保留顾客。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4604"/>
      <w:r>
        <w:rPr>
          <w:rFonts w:ascii="仿宋" w:eastAsia="仿宋" w:hAnsi="仿宋" w:cs="仿宋" w:hint="eastAsia"/>
          <w:sz w:val="28"/>
          <w:lang w:val="en-GB"/>
        </w:rPr>
        <w:t>(二)、全面质量管理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全面质量管理是一种确保产品和服务质量的系统性方法，其核心理念是通过全员参与、全过程管理，不断追求卓越，以满足顾客需求和提高组织整体绩效。全面质量管理强调整体质量，不仅关注产品和服务的质量，还关注生产、销售、售后服务等全过程的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在实践中，全面质量管理包括以下几个方面：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是质量规划，即在电竞相关产品生产和服务过程开始前，通过明确质量标准、设定质量目标，制定出一系列确保质量的计划。这包括制定工艺流程、标准作业程序、质量检测标准等，以确保产品和服务能够在设计阶段就符合高质量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其次是质量控制，通过在生产和服务过程中的各个环节实施控制措施，确保在每个阶段都能够检测和纠正潜在的问题，防范质量缺陷的发生。这包括设立检测点、进行过程监控、强调员工的自检等。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第三是质量改进，强调持续改进的理念，通过收集并分析数据，找出潜在问题的根本原因，不断优化生产过程和管理体系。这可以通过质量管理工具如xxx等来实现。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全面质量管理不仅仅关注产品和服务的质量，更注重全员参与，强调员工的培训和意识提升，使每个员工都成为质量管理的参与者和推动者。这种全员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2956"/>
      <w:r>
        <w:rPr>
          <w:rFonts w:ascii="仿宋" w:eastAsia="仿宋" w:hAnsi="仿宋" w:cs="仿宋" w:hint="eastAsia"/>
          <w:sz w:val="28"/>
          <w:lang w:val="en-GB"/>
        </w:rPr>
        <w:t>(三)、研究市场营销学的意义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市场营销学的深入研究有助于企业更全面地了解市场和顾客需求。通过这一学科，企业能够获取有关目标市场、顾客行为和竞争环境的详细信息，从而更好地定位自身产品或服务在市场中的位置，理解顾客的心理和行为，并更准确地满足他们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https://d.book118.com/198054104032006030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电竞战略市场规划报告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DA3BC1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66DA3BC1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8054104032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2024-01-09T01:17:00Z</dcterms:created>
  <dcterms:modified xsi:type="dcterms:W3CDTF">2024-01-09T01:17:20Z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19A26129CBD24923AE7B5287585DD741_11</vt:lpwstr>
  </property>
  <property fmtid="{D5CDD505-2E9C-101B-9397-08002B2CF9AE}" pid="3" name="KSOProductBuildVer">
    <vt:lpwstr>2052-12.1.0.16120</vt:lpwstr>
  </property>
</Properties>
</file>