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液压砖机项目构思建设方案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20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_Toc32209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87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_Toc32687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_Toc12081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1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_Toc11101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3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_Toc18935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9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_Toc24019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35" w:history="1">
        <w:r>
          <w:rPr>
            <w:rFonts w:ascii="仿宋" w:eastAsia="仿宋" w:hAnsi="仿宋" w:cs="仿宋" w:hint="eastAsia"/>
            <w:lang w:eastAsia="zh-CN"/>
          </w:rPr>
          <w:t>二、背景、必要性分析</w:t>
        </w:r>
        <w:r>
          <w:tab/>
        </w:r>
        <w:r>
          <w:fldChar w:fldCharType="begin"/>
        </w:r>
        <w:r>
          <w:instrText xml:space="preserve"> PAGEREF _Toc14835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4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_Toc27244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2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_Toc9892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5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_Toc29825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" w:history="1">
        <w:r>
          <w:rPr>
            <w:rFonts w:ascii="仿宋" w:eastAsia="仿宋" w:hAnsi="仿宋" w:cs="仿宋" w:hint="eastAsia"/>
            <w:lang w:eastAsia="zh-CN"/>
          </w:rPr>
          <w:t>三、经济影响分析</w:t>
        </w:r>
        <w:r>
          <w:tab/>
        </w:r>
        <w:r>
          <w:fldChar w:fldCharType="begin"/>
        </w:r>
        <w:r>
          <w:instrText xml:space="preserve"> PAGEREF _Toc271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7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_Toc16357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5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_Toc16655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_Toc764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3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_Toc12713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01" w:history="1">
        <w:r>
          <w:rPr>
            <w:rFonts w:ascii="仿宋" w:eastAsia="仿宋" w:hAnsi="仿宋" w:cs="仿宋" w:hint="eastAsia"/>
            <w:lang w:eastAsia="zh-CN"/>
          </w:rPr>
          <w:t>四、建设风险评估分析</w:t>
        </w:r>
        <w:r>
          <w:tab/>
        </w:r>
        <w:r>
          <w:fldChar w:fldCharType="begin"/>
        </w:r>
        <w:r>
          <w:instrText xml:space="preserve"> PAGEREF _Toc14901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5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_Toc19715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6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_Toc4276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_Toc3328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9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_Toc20209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_Toc32207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_Toc1934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_Toc2551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3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_Toc15293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4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_Toc29594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33" w:history="1">
        <w:r>
          <w:rPr>
            <w:rFonts w:ascii="仿宋" w:eastAsia="仿宋" w:hAnsi="仿宋" w:cs="仿宋" w:hint="eastAsia"/>
            <w:lang w:eastAsia="zh-CN"/>
          </w:rPr>
          <w:t>五、财务管理与成本控制</w:t>
        </w:r>
        <w:r>
          <w:tab/>
        </w:r>
        <w:r>
          <w:fldChar w:fldCharType="begin"/>
        </w:r>
        <w:r>
          <w:instrText xml:space="preserve"> PAGEREF _Toc15333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5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_Toc19725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8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_Toc28268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55" w:history="1">
        <w:r>
          <w:rPr>
            <w:rFonts w:ascii="仿宋" w:eastAsia="仿宋" w:hAnsi="仿宋" w:cs="仿宋" w:hint="eastAsia"/>
            <w:lang w:eastAsia="zh-CN"/>
          </w:rPr>
          <w:t>六、项目监理与质量保证</w:t>
        </w:r>
        <w:r>
          <w:tab/>
        </w:r>
        <w:r>
          <w:fldChar w:fldCharType="begin"/>
        </w:r>
        <w:r>
          <w:instrText xml:space="preserve"> PAGEREF _Toc4855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5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_Toc13775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5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_Toc23695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1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_Toc14441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18" w:history="1">
        <w:r>
          <w:rPr>
            <w:rFonts w:ascii="仿宋" w:eastAsia="仿宋" w:hAnsi="仿宋" w:cs="仿宋" w:hint="eastAsia"/>
            <w:lang w:eastAsia="zh-CN"/>
          </w:rPr>
          <w:t>七、客户关系管理与市场拓展</w:t>
        </w:r>
        <w:r>
          <w:tab/>
        </w:r>
        <w:r>
          <w:fldChar w:fldCharType="begin"/>
        </w:r>
        <w:r>
          <w:instrText xml:space="preserve"> PAGEREF _Toc31418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7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_Toc8097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9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_Toc25869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21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_Toc20821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_Toc3081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1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_Toc32181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14" w:history="1">
        <w:r>
          <w:rPr>
            <w:rFonts w:ascii="仿宋" w:eastAsia="仿宋" w:hAnsi="仿宋" w:cs="仿宋" w:hint="eastAsia"/>
            <w:lang w:eastAsia="zh-CN"/>
          </w:rPr>
          <w:t>九、项目变更管理</w:t>
        </w:r>
        <w:r>
          <w:tab/>
        </w:r>
        <w:r>
          <w:fldChar w:fldCharType="begin"/>
        </w:r>
        <w:r>
          <w:instrText xml:space="preserve"> PAGEREF _Toc8714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9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_Toc27889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518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_Toc14518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0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_Toc4970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9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_Toc16119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87" w:history="1">
        <w:r>
          <w:rPr>
            <w:rFonts w:ascii="仿宋" w:eastAsia="仿宋" w:hAnsi="仿宋" w:cs="仿宋" w:hint="eastAsia"/>
            <w:lang w:eastAsia="zh-CN"/>
          </w:rPr>
          <w:t>十、环境保护与绿色发展</w:t>
        </w:r>
        <w:r>
          <w:tab/>
        </w:r>
        <w:r>
          <w:fldChar w:fldCharType="begin"/>
        </w:r>
        <w:r>
          <w:instrText xml:space="preserve"> PAGEREF _Toc26687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_Toc3020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9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_Toc6509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07" w:history="1">
        <w:r>
          <w:rPr>
            <w:rFonts w:ascii="仿宋" w:eastAsia="仿宋" w:hAnsi="仿宋" w:cs="仿宋" w:hint="eastAsia"/>
            <w:lang w:eastAsia="zh-CN"/>
          </w:rPr>
          <w:t>十一、项目进度计划</w:t>
        </w:r>
        <w:r>
          <w:tab/>
        </w:r>
        <w:r>
          <w:fldChar w:fldCharType="begin"/>
        </w:r>
        <w:r>
          <w:instrText xml:space="preserve"> PAGEREF _Toc17507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_Toc20964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_Toc8295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_Toc10551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_Toc25964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45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_Toc20945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3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_Toc31433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_Toc471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61" w:history="1">
        <w:r>
          <w:rPr>
            <w:rFonts w:ascii="仿宋" w:eastAsia="仿宋" w:hAnsi="仿宋" w:cs="仿宋" w:hint="eastAsia"/>
            <w:lang w:eastAsia="zh-CN"/>
          </w:rPr>
          <w:t>十二、安全与应急管理</w:t>
        </w:r>
        <w:r>
          <w:tab/>
        </w:r>
        <w:r>
          <w:fldChar w:fldCharType="begin"/>
        </w:r>
        <w:r>
          <w:instrText xml:space="preserve"> PAGEREF _Toc16761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6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_Toc13346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5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_Toc30635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6" w:history="1">
        <w:r>
          <w:rPr>
            <w:rFonts w:ascii="仿宋" w:eastAsia="仿宋" w:hAnsi="仿宋" w:cs="仿宋" w:hint="eastAsia"/>
            <w:lang w:eastAsia="zh-CN"/>
          </w:rPr>
          <w:t>十三、项目施工方案</w:t>
        </w:r>
        <w:r>
          <w:tab/>
        </w:r>
        <w:r>
          <w:fldChar w:fldCharType="begin"/>
        </w:r>
        <w:r>
          <w:instrText xml:space="preserve"> PAGEREF _Toc2546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3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_Toc28203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2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_Toc6982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3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_Toc17873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4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_Toc13064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52" w:history="1">
        <w:r>
          <w:rPr>
            <w:rFonts w:ascii="仿宋" w:eastAsia="仿宋" w:hAnsi="仿宋" w:cs="仿宋" w:hint="eastAsia"/>
            <w:lang w:eastAsia="zh-CN"/>
          </w:rPr>
          <w:t>十四、产业协同与集群发展</w:t>
        </w:r>
        <w:r>
          <w:tab/>
        </w:r>
        <w:r>
          <w:fldChar w:fldCharType="begin"/>
        </w:r>
        <w:r>
          <w:instrText xml:space="preserve"> PAGEREF _Toc23952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1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_Toc7521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9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_Toc7649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96" w:history="1">
        <w:r>
          <w:rPr>
            <w:rFonts w:ascii="仿宋" w:eastAsia="仿宋" w:hAnsi="仿宋" w:cs="仿宋" w:hint="eastAsia"/>
            <w:lang w:eastAsia="zh-CN"/>
          </w:rPr>
          <w:t>十五、人力资源管理与开发</w:t>
        </w:r>
        <w:r>
          <w:tab/>
        </w:r>
        <w:r>
          <w:fldChar w:fldCharType="begin"/>
        </w:r>
        <w:r>
          <w:instrText xml:space="preserve"> PAGEREF _Toc8696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0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_Toc29850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8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_Toc20718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81" w:history="1">
        <w:r>
          <w:rPr>
            <w:rFonts w:ascii="仿宋" w:eastAsia="仿宋" w:hAnsi="仿宋" w:cs="仿宋" w:hint="eastAsia"/>
            <w:lang w:eastAsia="zh-CN"/>
          </w:rPr>
          <w:t>十六、企业合规与伦理</w:t>
        </w:r>
        <w:r>
          <w:tab/>
        </w:r>
        <w:r>
          <w:fldChar w:fldCharType="begin"/>
        </w:r>
        <w:r>
          <w:instrText xml:space="preserve"> PAGEREF _Toc11381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3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_Toc16583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4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_Toc26064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_Toc3241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9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_Toc25199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81" w:history="1">
        <w:r>
          <w:rPr>
            <w:rFonts w:ascii="仿宋" w:eastAsia="仿宋" w:hAnsi="仿宋" w:cs="仿宋" w:hint="eastAsia"/>
            <w:lang w:eastAsia="zh-CN"/>
          </w:rPr>
          <w:t>十七、设施与设备管理</w:t>
        </w:r>
        <w:r>
          <w:tab/>
        </w:r>
        <w:r>
          <w:fldChar w:fldCharType="begin"/>
        </w:r>
        <w:r>
          <w:instrText xml:space="preserve"> PAGEREF _Toc7581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4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_Toc9284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6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_Toc24236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7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_Toc8077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20" w:history="1">
        <w:r>
          <w:rPr>
            <w:rFonts w:ascii="仿宋" w:eastAsia="仿宋" w:hAnsi="仿宋" w:cs="仿宋" w:hint="eastAsia"/>
            <w:lang w:eastAsia="zh-CN"/>
          </w:rPr>
          <w:t>十八、创新驱动与持续发展</w:t>
        </w:r>
        <w:r>
          <w:tab/>
        </w:r>
        <w:r>
          <w:fldChar w:fldCharType="begin"/>
        </w:r>
        <w:r>
          <w:instrText xml:space="preserve"> PAGEREF _Toc15120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_Toc709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2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_Toc32472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53" w:history="1">
        <w:r>
          <w:rPr>
            <w:rFonts w:ascii="仿宋" w:eastAsia="仿宋" w:hAnsi="仿宋" w:cs="仿宋" w:hint="eastAsia"/>
            <w:lang w:eastAsia="zh-CN"/>
          </w:rPr>
          <w:t>十九、法律法规与政策遵循</w:t>
        </w:r>
        <w:r>
          <w:tab/>
        </w:r>
        <w:r>
          <w:fldChar w:fldCharType="begin"/>
        </w:r>
        <w:r>
          <w:instrText xml:space="preserve"> PAGEREF _Toc27453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3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_Toc13733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3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_Toc21333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02" w:history="1">
        <w:r>
          <w:rPr>
            <w:rFonts w:ascii="仿宋" w:eastAsia="仿宋" w:hAnsi="仿宋" w:cs="仿宋" w:hint="eastAsia"/>
            <w:lang w:eastAsia="zh-CN"/>
          </w:rPr>
          <w:t>二十、合作与交流机制建立</w:t>
        </w:r>
        <w:r>
          <w:tab/>
        </w:r>
        <w:r>
          <w:fldChar w:fldCharType="begin"/>
        </w:r>
        <w:r>
          <w:instrText xml:space="preserve"> PAGEREF _Toc16502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2210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_Toc12210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6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_Toc25236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20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687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081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液压砖机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液压砖机项目将进行详细的生态影响评估，确保不会对当地的动植物种群和自然栖息地造成负面影响。如果项目地点附近有重要的生物栖息地或生态敏感区，项目将重新考虑建设地点或采取相应的保护措施。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液压砖机项目将积极采用可持续材料，如再生塑料和生物降解材料，以减少对环境的影响。项目还将推行废物减量和回收计划，例如通过再利用工业废料或建立回收系统。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液压砖机项目还将参与当地的环保活动和计划，如资助当地的环境保护项目或与社区合作进行环保宣传活动。通过这些活动，项目不仅能够提高自身的环境表现，还能在当地社区中树立积极的环保形象。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5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液压砖机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液压砖机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液压砖机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1101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液压砖机项目将采用绿色屋顶和生态墙等环境友好型建筑设计，这些设计不仅有助于改善空气质量，还能为城市野生动植物提供栖息地。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液压砖机项目将建立高效的废水处理系统，确保所有工业废水在排放前都经过适当处理，达到或超过环保标准。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液压砖机项目将致力于使用清洁能源，如太阳能和风能，减少对化石燃料的依赖。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液压砖机项目将举办环保教育研讨会，向员工和当地社区普及环保知识，提升对环境保护重要性的认识。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8935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在液压砖机项目启动前，将进行一系列深入的地质调查，包括钻探和土壤取样，以深入了解项目区域的地层结构和土壤组成。特别是对于土壤的承载能力和地下水位的深度进行详细评估。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液压砖机项目将通过地下水位监测系统定期检测水位变化，以预测和预防由高地下水位可能引起的地基问题。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液压砖机项目将进行详尽的水文和地形分析，以识别可能的洪水和泥石流风险区。基于这些分析，项目将设计防洪设施，如提高地基、构建防洪墙和排水沟。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液压砖机项目还将考虑建设排水系统，以减少地表水对土壤稳定性的影响。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完成初始的地质风险评估后，液压砖机项目将安装长期地质监测设备，如倾斜仪、裂缝计和地下水位计，以持续监测地质条件的变化。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4019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液压砖机项目将通过这些措施来适应和尊重特殊环境条件，确保项目的可持续发展，同时减少对环境的负面影响。这不仅有助于保护自然和文化遗产，还能提升项目在社会责任方面的表现和形象。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4835"/>
      <w:r>
        <w:rPr>
          <w:rFonts w:ascii="仿宋" w:eastAsia="仿宋" w:hAnsi="仿宋" w:cs="仿宋" w:hint="eastAsia"/>
          <w:sz w:val="28"/>
          <w:lang w:eastAsia="zh-CN"/>
        </w:rPr>
        <w:t>二、背景、必要性分析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7244"/>
      <w:r>
        <w:rPr>
          <w:rFonts w:ascii="仿宋" w:eastAsia="仿宋" w:hAnsi="仿宋" w:cs="仿宋" w:hint="eastAsia"/>
          <w:lang w:eastAsia="zh-CN"/>
        </w:rPr>
        <w:t>(一)、项目建设背景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液压砖机项目起源于对当前市场需求和技术趋势的深入洞察。随着全球经济的快速发展和技术的不断进步，对于创新型解决方案的需求日益增长。项目的主要目的是利用最新的科技发展，如人工智能、大数据分析和可持续能源技术，提供高效、环保的产品和服务，以满足这一市场需求，并推动相关领域的技术进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选址位于一个经济迅速发展的区域，这里拥有良好的基础设施、成熟的供应链网络和丰富的人力资源。这个区域的经济特点是多元化和高科技导向，与液压砖机项目的目标和需求高度契合。此外，该区域政府对于高新技术项目提供支持和优惠政策，为项目的发展创造了良好的外部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https://d.book118.com/198110024010006026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液压砖机项目构思建设方案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FB6700"/>
    <w:rsid w:val="2EFB67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9811002401000602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2023-12-21T12:32:00Z</dcterms:created>
  <dcterms:modified xsi:type="dcterms:W3CDTF">2023-12-21T12:33:16Z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ED598A2A46444CADA8CA32D76BC2F176_11</vt:lpwstr>
  </property>
  <property fmtid="{D5CDD505-2E9C-101B-9397-08002B2CF9AE}" pid="3" name="KSOProductBuildVer">
    <vt:lpwstr>2052-12.1.0.16120</vt:lpwstr>
  </property>
</Properties>
</file>