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2024年海底传感器行业分析报告及未来五到十年行业发展趋势报告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1006" w:history="1">
        <w:r>
          <w:rPr>
            <w:rFonts w:eastAsia="微软雅黑" w:hint="eastAsia"/>
            <w:snapToGrid/>
            <w:lang w:val="en-US" w:eastAsia="en-US"/>
          </w:rPr>
          <w:t>一、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行业发展状况及市场分析</w:t>
        </w:r>
        <w:r>
          <w:tab/>
        </w:r>
        <w:r>
          <w:fldChar w:fldCharType="begin"/>
        </w:r>
        <w:r>
          <w:instrText xml:space="preserve"> PAGEREF _Toc1006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21137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行业市场行业驱动因素分析</w:t>
        </w:r>
        <w:r>
          <w:tab/>
        </w:r>
        <w:r>
          <w:fldChar w:fldCharType="begin"/>
        </w:r>
        <w:r>
          <w:instrText xml:space="preserve"> PAGEREF _Toc21137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618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行业结构分析</w:t>
        </w:r>
        <w:r>
          <w:tab/>
        </w:r>
        <w:r>
          <w:fldChar w:fldCharType="begin"/>
        </w:r>
        <w:r>
          <w:instrText xml:space="preserve"> PAGEREF _Toc7618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118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行业各因素(PEST)分析</w:t>
        </w:r>
        <w:r>
          <w:tab/>
        </w:r>
        <w:r>
          <w:fldChar w:fldCharType="begin"/>
        </w:r>
        <w:r>
          <w:instrText xml:space="preserve"> PAGEREF _Toc15118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4847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_Toc14847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2349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_Toc32349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3717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_Toc23717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3013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_Toc13013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311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行业市场规模分析</w:t>
        </w:r>
        <w:r>
          <w:tab/>
        </w:r>
        <w:r>
          <w:fldChar w:fldCharType="begin"/>
        </w:r>
        <w:r>
          <w:instrText xml:space="preserve"> PAGEREF _Toc17311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566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行业特征分析</w:t>
        </w:r>
        <w:r>
          <w:tab/>
        </w:r>
        <w:r>
          <w:fldChar w:fldCharType="begin"/>
        </w:r>
        <w:r>
          <w:instrText xml:space="preserve"> PAGEREF _Toc25566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528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行业相关政策体系不健全</w:t>
        </w:r>
        <w:r>
          <w:tab/>
        </w:r>
        <w:r>
          <w:fldChar w:fldCharType="begin"/>
        </w:r>
        <w:r>
          <w:instrText xml:space="preserve"> PAGEREF _Toc9528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7927" w:history="1">
        <w:r>
          <w:rPr>
            <w:rFonts w:eastAsia="微软雅黑" w:hint="eastAsia"/>
            <w:snapToGrid/>
            <w:lang w:val="en-US" w:eastAsia="en-US"/>
          </w:rPr>
          <w:t>二、2024-2029年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行业市场运行趋势及存在问题分析</w:t>
        </w:r>
        <w:r>
          <w:tab/>
        </w:r>
        <w:r>
          <w:fldChar w:fldCharType="begin"/>
        </w:r>
        <w:r>
          <w:instrText xml:space="preserve"> PAGEREF _Toc27927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334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行业市场运行动态分析</w:t>
        </w:r>
        <w:r>
          <w:tab/>
        </w:r>
        <w:r>
          <w:fldChar w:fldCharType="begin"/>
        </w:r>
        <w:r>
          <w:instrText xml:space="preserve"> PAGEREF _Toc23334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313" w:history="1">
        <w:r>
          <w:rPr>
            <w:rFonts w:eastAsia="微软雅黑" w:hint="eastAsia"/>
            <w:snapToGrid/>
            <w:lang w:val="en-US" w:eastAsia="zh-CN"/>
          </w:rPr>
          <w:t>(二)、现阶段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_Toc17313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023" w:history="1">
        <w:r>
          <w:rPr>
            <w:rFonts w:eastAsia="微软雅黑" w:hint="eastAsia"/>
            <w:snapToGrid/>
            <w:lang w:val="en-US" w:eastAsia="zh-CN"/>
          </w:rPr>
          <w:t>(三)、现阶段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_Toc10023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145" w:history="1">
        <w:r>
          <w:rPr>
            <w:rFonts w:eastAsia="微软雅黑" w:hint="eastAsia"/>
            <w:snapToGrid/>
            <w:lang w:val="en-US" w:eastAsia="zh-CN"/>
          </w:rPr>
          <w:t>(四)、规范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行业的发展</w:t>
        </w:r>
        <w:r>
          <w:tab/>
        </w:r>
        <w:r>
          <w:fldChar w:fldCharType="begin"/>
        </w:r>
        <w:r>
          <w:instrText xml:space="preserve"> PAGEREF _Toc18145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5918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行业企业战略选择</w:t>
        </w:r>
        <w:r>
          <w:tab/>
        </w:r>
        <w:r>
          <w:fldChar w:fldCharType="begin"/>
        </w:r>
        <w:r>
          <w:instrText xml:space="preserve"> PAGEREF _Toc25918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416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行业SWOT分析</w:t>
        </w:r>
        <w:r>
          <w:tab/>
        </w:r>
        <w:r>
          <w:fldChar w:fldCharType="begin"/>
        </w:r>
        <w:r>
          <w:instrText xml:space="preserve"> PAGEREF _Toc15416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844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行业企业战略确定</w:t>
        </w:r>
        <w:r>
          <w:tab/>
        </w:r>
        <w:r>
          <w:fldChar w:fldCharType="begin"/>
        </w:r>
        <w:r>
          <w:instrText xml:space="preserve"> PAGEREF _Toc24844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073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行业PEST分析</w:t>
        </w:r>
        <w:r>
          <w:tab/>
        </w:r>
        <w:r>
          <w:fldChar w:fldCharType="begin"/>
        </w:r>
        <w:r>
          <w:instrText xml:space="preserve"> PAGEREF _Toc30073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8391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_Toc28391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4623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_Toc24623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1920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_Toc11920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7631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_Toc27631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9646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行业成功突围策略</w:t>
        </w:r>
        <w:r>
          <w:tab/>
        </w:r>
        <w:r>
          <w:fldChar w:fldCharType="begin"/>
        </w:r>
        <w:r>
          <w:instrText xml:space="preserve"> PAGEREF _Toc19646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690" w:history="1">
        <w:r>
          <w:rPr>
            <w:rFonts w:eastAsia="微软雅黑" w:hint="eastAsia"/>
            <w:snapToGrid/>
            <w:lang w:val="en-US" w:eastAsia="en-US"/>
          </w:rPr>
          <w:t>(一)、寻找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行业准差异化消费者兴趣诉求点</w:t>
        </w:r>
        <w:r>
          <w:tab/>
        </w:r>
        <w:r>
          <w:fldChar w:fldCharType="begin"/>
        </w:r>
        <w:r>
          <w:instrText xml:space="preserve"> PAGEREF _Toc26690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67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行业精准定位与无声消费教育</w:t>
        </w:r>
        <w:r>
          <w:tab/>
        </w:r>
        <w:r>
          <w:fldChar w:fldCharType="begin"/>
        </w:r>
        <w:r>
          <w:instrText xml:space="preserve"> PAGEREF _Toc467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116" w:history="1">
        <w:r>
          <w:rPr>
            <w:rFonts w:eastAsia="微软雅黑" w:hint="eastAsia"/>
            <w:snapToGrid/>
            <w:lang w:val="en-US" w:eastAsia="zh-CN"/>
          </w:rPr>
          <w:t>(三)、从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行业硬文广告传播到深度合作</w:t>
        </w:r>
        <w:r>
          <w:tab/>
        </w:r>
        <w:r>
          <w:fldChar w:fldCharType="begin"/>
        </w:r>
        <w:r>
          <w:instrText xml:space="preserve"> PAGEREF _Toc16116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254" w:history="1">
        <w:r>
          <w:rPr>
            <w:rFonts w:eastAsia="微软雅黑" w:hint="eastAsia"/>
            <w:snapToGrid/>
            <w:lang w:val="en-US" w:eastAsia="zh-CN"/>
          </w:rPr>
          <w:t>(四)、公益营销竞争激烈</w:t>
        </w:r>
        <w:r>
          <w:tab/>
        </w:r>
        <w:r>
          <w:fldChar w:fldCharType="begin"/>
        </w:r>
        <w:r>
          <w:instrText xml:space="preserve"> PAGEREF _Toc16254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964" w:history="1">
        <w:r>
          <w:rPr>
            <w:rFonts w:eastAsia="微软雅黑" w:hint="eastAsia"/>
            <w:snapToGrid/>
            <w:lang w:val="en-US" w:eastAsia="zh-CN"/>
          </w:rPr>
          <w:t>(五)、电子商务提升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行业广告效果</w:t>
        </w:r>
        <w:r>
          <w:tab/>
        </w:r>
        <w:r>
          <w:fldChar w:fldCharType="begin"/>
        </w:r>
        <w:r>
          <w:instrText xml:space="preserve"> PAGEREF _Toc21964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471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行业渠道以多种形式传播</w:t>
        </w:r>
        <w:r>
          <w:tab/>
        </w:r>
        <w:r>
          <w:fldChar w:fldCharType="begin"/>
        </w:r>
        <w:r>
          <w:instrText xml:space="preserve"> PAGEREF _Toc19471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471" w:history="1">
        <w:r>
          <w:rPr>
            <w:rFonts w:eastAsia="微软雅黑" w:hint="eastAsia"/>
            <w:snapToGrid/>
            <w:lang w:val="en-US" w:eastAsia="zh-CN"/>
          </w:rPr>
          <w:t>(七)、强调市场细分，深耕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产业</w:t>
        </w:r>
        <w:r>
          <w:tab/>
        </w:r>
        <w:r>
          <w:fldChar w:fldCharType="begin"/>
        </w:r>
        <w:r>
          <w:instrText xml:space="preserve"> PAGEREF _Toc31471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6839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行业企业差异化突破战略</w:t>
        </w:r>
        <w:r>
          <w:tab/>
        </w:r>
        <w:r>
          <w:fldChar w:fldCharType="begin"/>
        </w:r>
        <w:r>
          <w:instrText xml:space="preserve"> PAGEREF _Toc16839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531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行业产品差异化获取“商机”</w:t>
        </w:r>
        <w:r>
          <w:tab/>
        </w:r>
        <w:r>
          <w:fldChar w:fldCharType="begin"/>
        </w:r>
        <w:r>
          <w:instrText xml:space="preserve"> PAGEREF _Toc6531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22904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行业市场分化赢得“商机”</w:t>
        </w:r>
        <w:r>
          <w:tab/>
        </w:r>
        <w:r>
          <w:fldChar w:fldCharType="begin"/>
        </w:r>
        <w:r>
          <w:instrText xml:space="preserve"> PAGEREF _Toc22904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270" w:history="1">
        <w:r>
          <w:rPr>
            <w:rFonts w:eastAsia="微软雅黑" w:hint="eastAsia"/>
            <w:snapToGrid/>
            <w:lang w:val="en-US" w:eastAsia="zh-CN"/>
          </w:rPr>
          <w:t>(三)、以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行业服务差异化“抓住”商机</w:t>
        </w:r>
        <w:r>
          <w:tab/>
        </w:r>
        <w:r>
          <w:fldChar w:fldCharType="begin"/>
        </w:r>
        <w:r>
          <w:instrText xml:space="preserve"> PAGEREF _Toc8270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374" w:history="1">
        <w:r>
          <w:rPr>
            <w:rFonts w:eastAsia="微软雅黑" w:hint="eastAsia"/>
            <w:snapToGrid/>
            <w:lang w:val="en-US" w:eastAsia="zh-CN"/>
          </w:rPr>
          <w:t>(四)、用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行业客户差异化“抓住”商机</w:t>
        </w:r>
        <w:r>
          <w:tab/>
        </w:r>
        <w:r>
          <w:fldChar w:fldCharType="begin"/>
        </w:r>
        <w:r>
          <w:instrText xml:space="preserve"> PAGEREF _Toc25374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707" w:history="1">
        <w:r>
          <w:rPr>
            <w:rFonts w:eastAsia="微软雅黑" w:hint="eastAsia"/>
            <w:snapToGrid/>
            <w:lang w:val="en-US" w:eastAsia="zh-CN"/>
          </w:rPr>
          <w:t>(五)、以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行业渠道差异化“争取”商机</w:t>
        </w:r>
        <w:r>
          <w:tab/>
        </w:r>
        <w:r>
          <w:fldChar w:fldCharType="begin"/>
        </w:r>
        <w:r>
          <w:instrText xml:space="preserve"> PAGEREF _Toc4707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9318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_Toc9318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874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_Toc14874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558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_Toc21558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0952" w:history="1">
        <w:r>
          <w:rPr>
            <w:rFonts w:eastAsia="微软雅黑" w:hint="eastAsia"/>
            <w:snapToGrid/>
            <w:lang w:val="en-US" w:eastAsia="en-US"/>
          </w:rPr>
          <w:t>七、2024-2029年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_Toc30952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525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_Toc25525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103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_Toc17103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57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_Toc2157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88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_Toc2688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636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_Toc22636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306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_Toc19306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4250" w:history="1">
        <w:r>
          <w:rPr>
            <w:rFonts w:eastAsia="微软雅黑" w:hint="eastAsia"/>
            <w:snapToGrid/>
            <w:lang w:val="en-US" w:eastAsia="en-US"/>
          </w:rPr>
          <w:t>八、关于未来5-10年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行业发展机遇与挑战的建议</w:t>
        </w:r>
        <w:r>
          <w:tab/>
        </w:r>
        <w:r>
          <w:fldChar w:fldCharType="begin"/>
        </w:r>
        <w:r>
          <w:instrText xml:space="preserve"> PAGEREF _Toc4250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68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行业发展趋势展望</w:t>
        </w:r>
        <w:r>
          <w:tab/>
        </w:r>
        <w:r>
          <w:fldChar w:fldCharType="begin"/>
        </w:r>
        <w:r>
          <w:instrText xml:space="preserve"> PAGEREF _Toc2368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838" w:history="1">
        <w:r>
          <w:rPr>
            <w:rFonts w:eastAsia="微软雅黑" w:hint="eastAsia"/>
            <w:snapToGrid/>
            <w:lang w:val="en-US" w:eastAsia="zh-CN"/>
          </w:rPr>
          <w:t>(二)、2024-2029年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行业宏观政策指导的机遇</w:t>
        </w:r>
        <w:r>
          <w:tab/>
        </w:r>
        <w:r>
          <w:fldChar w:fldCharType="begin"/>
        </w:r>
        <w:r>
          <w:instrText xml:space="preserve"> PAGEREF _Toc7838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339" w:history="1">
        <w:r>
          <w:rPr>
            <w:rFonts w:eastAsia="微软雅黑" w:hint="eastAsia"/>
            <w:snapToGrid/>
            <w:lang w:val="en-US" w:eastAsia="zh-CN"/>
          </w:rPr>
          <w:t>(三)、2024-2029年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产业结构调整的机遇</w:t>
        </w:r>
        <w:r>
          <w:tab/>
        </w:r>
        <w:r>
          <w:fldChar w:fldCharType="begin"/>
        </w:r>
        <w:r>
          <w:instrText xml:space="preserve"> PAGEREF _Toc6339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870" w:history="1">
        <w:r>
          <w:rPr>
            <w:rFonts w:eastAsia="微软雅黑" w:hint="eastAsia"/>
            <w:snapToGrid/>
            <w:lang w:val="en-US" w:eastAsia="zh-CN"/>
          </w:rPr>
          <w:t>(四)、2024-2029年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行业面临的挑战与对策</w:t>
        </w:r>
        <w:r>
          <w:tab/>
        </w:r>
        <w:r>
          <w:fldChar w:fldCharType="begin"/>
        </w:r>
        <w:r>
          <w:instrText xml:space="preserve"> PAGEREF _Toc4870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5558" w:history="1">
        <w:r>
          <w:rPr>
            <w:rFonts w:eastAsia="微软雅黑" w:hint="eastAsia"/>
            <w:snapToGrid/>
            <w:lang w:val="en-US" w:eastAsia="en-US"/>
          </w:rPr>
          <w:t>九、宏观经济对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_Toc25558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22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行业线性决策机制分析</w:t>
        </w:r>
        <w:r>
          <w:tab/>
        </w:r>
        <w:r>
          <w:fldChar w:fldCharType="begin"/>
        </w:r>
        <w:r>
          <w:instrText xml:space="preserve"> PAGEREF _Toc1422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037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行业竞争与行业壁垒分析</w:t>
        </w:r>
        <w:r>
          <w:tab/>
        </w:r>
        <w:r>
          <w:fldChar w:fldCharType="begin"/>
        </w:r>
        <w:r>
          <w:instrText xml:space="preserve"> PAGEREF _Toc11037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08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行业库存管理波动分析</w:t>
        </w:r>
        <w:r>
          <w:tab/>
        </w:r>
        <w:r>
          <w:fldChar w:fldCharType="begin"/>
        </w:r>
        <w:r>
          <w:instrText xml:space="preserve"> PAGEREF _Toc1208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6591" w:history="1">
        <w:r>
          <w:rPr>
            <w:rFonts w:eastAsia="微软雅黑" w:hint="eastAsia"/>
            <w:snapToGrid/>
            <w:lang w:val="en-US" w:eastAsia="en-US"/>
          </w:rPr>
          <w:t>十、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行业突破瓶颈的挑战分析</w:t>
        </w:r>
        <w:r>
          <w:tab/>
        </w:r>
        <w:r>
          <w:fldChar w:fldCharType="begin"/>
        </w:r>
        <w:r>
          <w:instrText xml:space="preserve"> PAGEREF _Toc6591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078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行业发展特点分析</w:t>
        </w:r>
        <w:r>
          <w:tab/>
        </w:r>
        <w:r>
          <w:fldChar w:fldCharType="begin"/>
        </w:r>
        <w:r>
          <w:instrText xml:space="preserve"> PAGEREF _Toc13078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596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行业的市场渠道挑战</w:t>
        </w:r>
        <w:r>
          <w:tab/>
        </w:r>
        <w:r>
          <w:fldChar w:fldCharType="begin"/>
        </w:r>
        <w:r>
          <w:instrText xml:space="preserve"> PAGEREF _Toc25596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38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行业5-10年创新发展的挑战点</w:t>
        </w:r>
        <w:r>
          <w:tab/>
        </w:r>
        <w:r>
          <w:fldChar w:fldCharType="begin"/>
        </w:r>
        <w:r>
          <w:instrText xml:space="preserve"> PAGEREF _Toc2038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2218" w:history="1">
        <w:r>
          <w:rPr>
            <w:rFonts w:eastAsia="微软雅黑" w:hint="eastAsia"/>
            <w:snapToGrid/>
            <w:lang w:val="en-US" w:eastAsia="en-US"/>
          </w:rPr>
          <w:t>十一、关于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行业发展战略规划的建议</w:t>
        </w:r>
        <w:r>
          <w:tab/>
        </w:r>
        <w:r>
          <w:fldChar w:fldCharType="begin"/>
        </w:r>
        <w:r>
          <w:instrText xml:space="preserve"> PAGEREF _Toc12218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706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行业战略规划简介</w:t>
        </w:r>
        <w:r>
          <w:tab/>
        </w:r>
        <w:r>
          <w:fldChar w:fldCharType="begin"/>
        </w:r>
        <w:r>
          <w:instrText xml:space="preserve"> PAGEREF _Toc5706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5927" w:history="1">
        <w:r>
          <w:rPr>
            <w:rFonts w:eastAsia="微软雅黑" w:hint="eastAsia"/>
            <w:snapToGrid/>
            <w:lang w:val="en-US" w:eastAsia="zh-CN"/>
          </w:rPr>
          <w:t>1、行业的社会化</w:t>
        </w:r>
        <w:r>
          <w:tab/>
        </w:r>
        <w:r>
          <w:fldChar w:fldCharType="begin"/>
        </w:r>
        <w:r>
          <w:instrText xml:space="preserve"> PAGEREF _Toc15927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5128" w:history="1">
        <w:r>
          <w:rPr>
            <w:rFonts w:eastAsia="微软雅黑" w:hint="eastAsia"/>
            <w:snapToGrid/>
            <w:lang w:val="en-US" w:eastAsia="zh-CN"/>
          </w:rPr>
          <w:t>2、行业的规模化</w:t>
        </w:r>
        <w:r>
          <w:tab/>
        </w:r>
        <w:r>
          <w:fldChar w:fldCharType="begin"/>
        </w:r>
        <w:r>
          <w:instrText xml:space="preserve"> PAGEREF _Toc5128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556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行业的市场应用方向</w:t>
        </w:r>
        <w:r>
          <w:tab/>
        </w:r>
        <w:r>
          <w:fldChar w:fldCharType="begin"/>
        </w:r>
        <w:r>
          <w:instrText xml:space="preserve"> PAGEREF _Toc18556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992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行业的发展重点</w:t>
        </w:r>
        <w:r>
          <w:tab/>
        </w:r>
        <w:r>
          <w:fldChar w:fldCharType="begin"/>
        </w:r>
        <w:r>
          <w:instrText xml:space="preserve"> PAGEREF _Toc27992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9533" w:history="1">
        <w:r>
          <w:rPr>
            <w:rFonts w:eastAsia="微软雅黑" w:hint="eastAsia"/>
            <w:snapToGrid/>
            <w:lang w:val="en-US" w:eastAsia="en-US"/>
          </w:rPr>
          <w:t>十二、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行业未来发展机会</w:t>
        </w:r>
        <w:r>
          <w:tab/>
        </w:r>
        <w:r>
          <w:fldChar w:fldCharType="begin"/>
        </w:r>
        <w:r>
          <w:instrText xml:space="preserve"> PAGEREF _Toc19533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007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海底传感器</w:t>
        </w:r>
        <w:r>
          <w:rPr>
            <w:rFonts w:eastAsia="微软雅黑" w:hint="eastAsia"/>
            <w:snapToGrid/>
            <w:lang w:val="en-US" w:eastAsia="en-US"/>
          </w:rPr>
          <w:t>行业中通过产品差异化获得商机</w:t>
        </w:r>
        <w:r>
          <w:tab/>
        </w:r>
        <w:r>
          <w:fldChar w:fldCharType="begin"/>
        </w:r>
        <w:r>
          <w:instrText xml:space="preserve"> PAGEREF _Toc19007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733" w:history="1">
        <w:r>
          <w:rPr>
            <w:rFonts w:eastAsia="微软雅黑" w:hint="eastAsia"/>
            <w:snapToGrid/>
            <w:lang w:val="en-US" w:eastAsia="zh-CN"/>
          </w:rPr>
          <w:t>(二)、借助</w:t>
        </w:r>
        <w:r>
          <w:rPr>
            <w:rFonts w:eastAsia="微软雅黑" w:hint="eastAsia"/>
            <w:snapToGrid/>
            <w:lang w:val="en-US" w:eastAsia="zh-CN"/>
          </w:rPr>
          <w:t>海底传感器</w:t>
        </w:r>
        <w:r>
          <w:rPr>
            <w:rFonts w:eastAsia="微软雅黑" w:hint="eastAsia"/>
            <w:snapToGrid/>
            <w:lang w:val="en-US" w:eastAsia="zh-CN"/>
          </w:rPr>
          <w:t>行业市场差异赢得商机</w:t>
        </w:r>
        <w:r>
          <w:tab/>
        </w:r>
        <w:r>
          <w:fldChar w:fldCharType="begin"/>
        </w:r>
        <w:r>
          <w:instrText xml:space="preserve"> PAGEREF _Toc13733 \h </w:instrText>
        </w:r>
        <w:r>
          <w:fldChar w:fldCharType="separate"/>
        </w:r>
        <w:r>
          <w:t>31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https://d.book118.com/198116122066006024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198116122066006024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