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03" w:line="188" w:lineRule="auto"/>
        <w:jc w:val="right"/>
        <w:rPr>
          <w:rFonts w:ascii="Times New Roman" w:eastAsia="Times New Roman" w:hAnsi="Times New Roman" w:cs="Times New Roman"/>
          <w:sz w:val="28"/>
          <w:szCs w:val="28"/>
        </w:rPr>
      </w:pPr>
      <w:r>
        <w:rPr>
          <w:rFonts w:ascii="Times New Roman" w:eastAsia="Times New Roman" w:hAnsi="Times New Roman" w:cs="Times New Roman"/>
          <w:b/>
          <w:bCs/>
          <w:spacing w:val="-14"/>
          <w:sz w:val="28"/>
          <w:szCs w:val="28"/>
        </w:rPr>
        <w:t>A</w:t>
      </w:r>
      <w:r>
        <w:rPr>
          <w:rFonts w:ascii="Times New Roman" w:eastAsia="Times New Roman" w:hAnsi="Times New Roman" w:cs="Times New Roman"/>
          <w:b/>
          <w:bCs/>
          <w:spacing w:val="-13"/>
          <w:sz w:val="28"/>
          <w:szCs w:val="28"/>
        </w:rPr>
        <w:t>.0.</w:t>
      </w:r>
      <w:r>
        <w:rPr>
          <w:rFonts w:ascii="Times New Roman" w:eastAsia="Times New Roman" w:hAnsi="Times New Roman" w:cs="Times New Roman"/>
          <w:b/>
          <w:bCs/>
          <w:spacing w:val="-12"/>
          <w:sz w:val="28"/>
          <w:szCs w:val="28"/>
        </w:rPr>
        <w:t>4</w:t>
      </w:r>
    </w:p>
    <w:p>
      <w:pPr>
        <w:spacing w:line="330" w:lineRule="auto"/>
        <w:rPr>
          <w:rFonts w:ascii="Arial"/>
          <w:sz w:val="21"/>
        </w:rPr>
      </w:pPr>
    </w:p>
    <w:p>
      <w:pPr>
        <w:spacing w:line="330" w:lineRule="auto"/>
        <w:rPr>
          <w:rFonts w:ascii="Arial"/>
          <w:sz w:val="21"/>
        </w:rPr>
      </w:pPr>
    </w:p>
    <w:p>
      <w:pPr>
        <w:spacing w:before="127" w:line="222" w:lineRule="auto"/>
        <w:ind w:left="1809"/>
        <w:rPr>
          <w:rFonts w:ascii="SimHei" w:eastAsia="SimHei" w:hAnsi="SimHei" w:cs="SimHei"/>
          <w:sz w:val="39"/>
          <w:szCs w:val="39"/>
        </w:rPr>
      </w:pPr>
      <w:r>
        <w:rPr>
          <w:rFonts w:ascii="SimHei" w:eastAsia="SimHei" w:hAnsi="SimHei" w:cs="SimHei"/>
          <w:b/>
          <w:bCs/>
          <w:spacing w:val="2"/>
          <w:sz w:val="39"/>
          <w:szCs w:val="39"/>
          <w:u w:val="single" w:color="auto"/>
        </w:rPr>
        <w:t>张地2014-A09-B号地块</w:t>
      </w:r>
      <w:r>
        <w:rPr>
          <w:rFonts w:ascii="SimHei" w:eastAsia="SimHei" w:hAnsi="SimHei" w:cs="SimHei"/>
          <w:spacing w:val="2"/>
          <w:sz w:val="39"/>
          <w:szCs w:val="39"/>
          <w:u w:val="single" w:color="auto"/>
        </w:rPr>
        <w:t xml:space="preserve"> </w:t>
      </w:r>
      <w:r>
        <w:rPr>
          <w:rFonts w:ascii="SimHei" w:eastAsia="SimHei" w:hAnsi="SimHei" w:cs="SimHei"/>
          <w:b/>
          <w:bCs/>
          <w:spacing w:val="2"/>
          <w:sz w:val="39"/>
          <w:szCs w:val="39"/>
          <w:u w:val="single" w:color="auto"/>
        </w:rPr>
        <w:t>工</w:t>
      </w:r>
      <w:r>
        <w:rPr>
          <w:rFonts w:ascii="SimHei" w:eastAsia="SimHei" w:hAnsi="SimHei" w:cs="SimHei"/>
          <w:b/>
          <w:bCs/>
          <w:spacing w:val="2"/>
          <w:sz w:val="39"/>
          <w:szCs w:val="39"/>
        </w:rPr>
        <w:t>程</w:t>
      </w:r>
    </w:p>
    <w:p>
      <w:pPr>
        <w:spacing w:line="414" w:lineRule="auto"/>
        <w:rPr>
          <w:rFonts w:ascii="Arial"/>
          <w:sz w:val="21"/>
        </w:rPr>
      </w:pPr>
    </w:p>
    <w:p>
      <w:pPr>
        <w:spacing w:before="169" w:line="308" w:lineRule="auto"/>
        <w:ind w:left="2239" w:right="966" w:hanging="1379"/>
        <w:outlineLvl w:val="0"/>
        <w:rPr>
          <w:rFonts w:ascii="SimHei" w:eastAsia="SimHei" w:hAnsi="SimHei" w:cs="SimHei"/>
          <w:sz w:val="47"/>
          <w:szCs w:val="47"/>
        </w:rPr>
      </w:pPr>
      <w:r>
        <w:rPr>
          <w:rFonts w:ascii="SimHei" w:eastAsia="SimHei" w:hAnsi="SimHei" w:cs="SimHei"/>
          <w:b/>
          <w:bCs/>
          <w:spacing w:val="-24"/>
          <w:sz w:val="52"/>
          <w:szCs w:val="52"/>
        </w:rPr>
        <w:t>盆</w:t>
      </w:r>
      <w:r>
        <w:rPr>
          <w:rFonts w:ascii="SimHei" w:eastAsia="SimHei" w:hAnsi="SimHei" w:cs="SimHei"/>
          <w:spacing w:val="-24"/>
          <w:sz w:val="52"/>
          <w:szCs w:val="52"/>
        </w:rPr>
        <w:t xml:space="preserve">   </w:t>
      </w:r>
      <w:r>
        <w:rPr>
          <w:rFonts w:ascii="SimHei" w:eastAsia="SimHei" w:hAnsi="SimHei" w:cs="SimHei"/>
          <w:b/>
          <w:bCs/>
          <w:spacing w:val="-24"/>
          <w:sz w:val="52"/>
          <w:szCs w:val="52"/>
        </w:rPr>
        <w:t>理</w:t>
      </w:r>
      <w:r>
        <w:rPr>
          <w:rFonts w:ascii="SimHei" w:eastAsia="SimHei" w:hAnsi="SimHei" w:cs="SimHei"/>
          <w:sz w:val="52"/>
          <w:szCs w:val="52"/>
        </w:rPr>
        <w:t xml:space="preserve">   </w:t>
      </w:r>
      <w:r>
        <w:rPr>
          <w:rFonts w:ascii="SimHei" w:eastAsia="SimHei" w:hAnsi="SimHei" w:cs="SimHei"/>
          <w:b/>
          <w:bCs/>
          <w:spacing w:val="-24"/>
          <w:sz w:val="52"/>
          <w:szCs w:val="52"/>
        </w:rPr>
        <w:t>实</w:t>
      </w:r>
      <w:r>
        <w:rPr>
          <w:rFonts w:ascii="SimHei" w:eastAsia="SimHei" w:hAnsi="SimHei" w:cs="SimHei"/>
          <w:spacing w:val="122"/>
          <w:sz w:val="52"/>
          <w:szCs w:val="52"/>
        </w:rPr>
        <w:t xml:space="preserve">  </w:t>
      </w:r>
      <w:r>
        <w:rPr>
          <w:rFonts w:ascii="SimHei" w:eastAsia="SimHei" w:hAnsi="SimHei" w:cs="SimHei"/>
          <w:b/>
          <w:bCs/>
          <w:spacing w:val="-24"/>
          <w:sz w:val="52"/>
          <w:szCs w:val="52"/>
        </w:rPr>
        <w:t>施</w:t>
      </w:r>
      <w:r>
        <w:rPr>
          <w:rFonts w:ascii="SimHei" w:eastAsia="SimHei" w:hAnsi="SimHei" w:cs="SimHei"/>
          <w:spacing w:val="20"/>
          <w:sz w:val="52"/>
          <w:szCs w:val="52"/>
        </w:rPr>
        <w:t xml:space="preserve">  </w:t>
      </w:r>
      <w:r>
        <w:rPr>
          <w:rFonts w:ascii="SimHei" w:eastAsia="SimHei" w:hAnsi="SimHei" w:cs="SimHei"/>
          <w:b/>
          <w:bCs/>
          <w:spacing w:val="-24"/>
          <w:sz w:val="52"/>
          <w:szCs w:val="52"/>
        </w:rPr>
        <w:t>细</w:t>
      </w:r>
      <w:r>
        <w:rPr>
          <w:rFonts w:ascii="SimHei" w:eastAsia="SimHei" w:hAnsi="SimHei" w:cs="SimHei"/>
          <w:spacing w:val="83"/>
          <w:sz w:val="52"/>
          <w:szCs w:val="52"/>
        </w:rPr>
        <w:t xml:space="preserve">  </w:t>
      </w:r>
      <w:r>
        <w:rPr>
          <w:rFonts w:ascii="SimHei" w:eastAsia="SimHei" w:hAnsi="SimHei" w:cs="SimHei"/>
          <w:b/>
          <w:bCs/>
          <w:spacing w:val="-24"/>
          <w:sz w:val="52"/>
          <w:szCs w:val="52"/>
        </w:rPr>
        <w:t>贝</w:t>
      </w:r>
      <w:r>
        <w:rPr>
          <w:rFonts w:ascii="SimHei" w:eastAsia="SimHei" w:hAnsi="SimHei" w:cs="SimHei"/>
          <w:spacing w:val="1"/>
          <w:sz w:val="52"/>
          <w:szCs w:val="52"/>
        </w:rPr>
        <w:t xml:space="preserve"> </w:t>
      </w:r>
      <w:r>
        <w:rPr>
          <w:rFonts w:ascii="SimHei" w:eastAsia="SimHei" w:hAnsi="SimHei" w:cs="SimHei"/>
          <w:b/>
          <w:bCs/>
          <w:spacing w:val="2"/>
          <w:sz w:val="47"/>
          <w:szCs w:val="47"/>
        </w:rPr>
        <w:t>(高处作业吊篮)</w:t>
      </w: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75" w:line="219" w:lineRule="auto"/>
        <w:ind w:left="2546"/>
        <w:rPr>
          <w:sz w:val="23"/>
          <w:szCs w:val="23"/>
        </w:rPr>
      </w:pPr>
      <w:r>
        <w:rPr>
          <w:b/>
          <w:bCs/>
          <w:spacing w:val="-10"/>
          <w:sz w:val="23"/>
          <w:szCs w:val="23"/>
        </w:rPr>
        <w:t>内容提要：</w:t>
      </w:r>
    </w:p>
    <w:p>
      <w:pPr>
        <w:spacing w:line="253" w:lineRule="auto"/>
        <w:rPr>
          <w:rFonts w:ascii="Arial"/>
          <w:sz w:val="21"/>
        </w:rPr>
      </w:pPr>
    </w:p>
    <w:p>
      <w:pPr>
        <w:pStyle w:val="BodyText"/>
        <w:spacing w:before="75" w:line="601" w:lineRule="exact"/>
        <w:ind w:left="2543"/>
        <w:rPr>
          <w:sz w:val="23"/>
          <w:szCs w:val="23"/>
        </w:rPr>
      </w:pPr>
      <w:r>
        <w:rPr>
          <w:spacing w:val="6"/>
          <w:position w:val="28"/>
          <w:sz w:val="23"/>
          <w:szCs w:val="23"/>
        </w:rPr>
        <w:t>专业工程特点</w:t>
      </w:r>
    </w:p>
    <w:p>
      <w:pPr>
        <w:pStyle w:val="BodyText"/>
        <w:spacing w:line="220" w:lineRule="auto"/>
        <w:ind w:left="2543"/>
        <w:rPr>
          <w:sz w:val="23"/>
          <w:szCs w:val="23"/>
        </w:rPr>
      </w:pPr>
      <w:r>
        <w:rPr>
          <w:spacing w:val="4"/>
          <w:sz w:val="23"/>
          <w:szCs w:val="23"/>
        </w:rPr>
        <w:t>监理工作流程</w:t>
      </w:r>
    </w:p>
    <w:p>
      <w:pPr>
        <w:spacing w:line="249" w:lineRule="auto"/>
        <w:rPr>
          <w:rFonts w:ascii="Arial"/>
          <w:sz w:val="21"/>
        </w:rPr>
      </w:pPr>
    </w:p>
    <w:p>
      <w:pPr>
        <w:pStyle w:val="BodyText"/>
        <w:spacing w:before="75" w:line="220" w:lineRule="auto"/>
        <w:ind w:left="2543"/>
        <w:rPr>
          <w:sz w:val="23"/>
          <w:szCs w:val="23"/>
        </w:rPr>
      </w:pPr>
      <w:r>
        <w:rPr>
          <w:spacing w:val="6"/>
          <w:sz w:val="23"/>
          <w:szCs w:val="23"/>
        </w:rPr>
        <w:t>监理工作要点</w:t>
      </w:r>
    </w:p>
    <w:p>
      <w:pPr>
        <w:spacing w:line="249" w:lineRule="auto"/>
        <w:rPr>
          <w:rFonts w:ascii="Arial"/>
          <w:sz w:val="21"/>
        </w:rPr>
      </w:pPr>
    </w:p>
    <w:p>
      <w:pPr>
        <w:pStyle w:val="BodyText"/>
        <w:spacing w:before="75" w:line="220" w:lineRule="auto"/>
        <w:ind w:left="2543"/>
        <w:rPr>
          <w:sz w:val="23"/>
          <w:szCs w:val="23"/>
        </w:rPr>
      </w:pPr>
      <w:r>
        <w:rPr>
          <w:spacing w:val="7"/>
          <w:sz w:val="23"/>
          <w:szCs w:val="23"/>
        </w:rPr>
        <w:t>监理工作方法及措施</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pStyle w:val="BodyText"/>
        <w:tabs>
          <w:tab w:val="left" w:pos="7862"/>
        </w:tabs>
        <w:spacing w:before="92" w:line="412" w:lineRule="auto"/>
        <w:ind w:left="1807" w:right="443"/>
        <w:jc w:val="both"/>
      </w:pPr>
      <w:r>
        <w:rPr>
          <w:b/>
          <w:bCs/>
          <w:spacing w:val="33"/>
        </w:rPr>
        <w:t>项目监理机构(章)</w:t>
      </w:r>
      <w:r>
        <w:rPr>
          <w:spacing w:val="-32"/>
        </w:rPr>
        <w:t xml:space="preserve"> </w:t>
      </w:r>
      <w:r>
        <w:rPr>
          <w:b/>
          <w:bCs/>
          <w:spacing w:val="33"/>
        </w:rPr>
        <w:t>:</w:t>
      </w:r>
      <w:r>
        <w:rPr>
          <w:u w:val="single" w:color="auto"/>
        </w:rPr>
        <w:tab/>
      </w:r>
      <w:r>
        <w:t xml:space="preserve"> </w:t>
      </w:r>
      <w:r>
        <w:rPr>
          <w:b/>
          <w:bCs/>
          <w:spacing w:val="19"/>
        </w:rPr>
        <w:t>专业监理工程师(签字):</w:t>
      </w:r>
      <w:r>
        <w:rPr>
          <w:spacing w:val="61"/>
        </w:rPr>
        <w:t xml:space="preserve"> </w:t>
      </w:r>
      <w:r>
        <w:rPr>
          <w:u w:val="single" w:color="auto"/>
        </w:rPr>
        <w:t xml:space="preserve">                    </w:t>
      </w:r>
    </w:p>
    <w:p>
      <w:pPr>
        <w:pStyle w:val="BodyText"/>
        <w:spacing w:before="1" w:line="218" w:lineRule="auto"/>
        <w:ind w:left="1807"/>
      </w:pPr>
      <w:r>
        <w:rPr>
          <w:b/>
          <w:bCs/>
          <w:spacing w:val="15"/>
        </w:rPr>
        <w:t>总监理工程师(签字、执业印章):</w:t>
      </w:r>
      <w:r>
        <w:rPr>
          <w:spacing w:val="-23"/>
        </w:rPr>
        <w:t xml:space="preserve"> </w:t>
      </w:r>
      <w:r>
        <w:rPr>
          <w:u w:val="single" w:color="auto"/>
        </w:rPr>
        <w:t xml:space="preserve">            </w:t>
      </w:r>
    </w:p>
    <w:p>
      <w:pPr>
        <w:pStyle w:val="BodyText"/>
        <w:spacing w:before="294" w:line="220" w:lineRule="auto"/>
        <w:ind w:left="1803"/>
      </w:pPr>
      <w:r>
        <w:rPr>
          <w:spacing w:val="-49"/>
        </w:rPr>
        <w:t>日</w:t>
      </w:r>
      <w:r>
        <w:rPr>
          <w:spacing w:val="1"/>
        </w:rPr>
        <w:t xml:space="preserve">        </w:t>
      </w:r>
      <w:r>
        <w:rPr>
          <w:spacing w:val="-49"/>
        </w:rPr>
        <w:t>期：</w:t>
      </w:r>
      <w:r>
        <w:rPr>
          <w:spacing w:val="17"/>
        </w:rPr>
        <w:t xml:space="preserve"> </w:t>
      </w:r>
      <w:r>
        <w:rPr>
          <w:u w:val="single" w:color="auto"/>
        </w:rPr>
        <w:t xml:space="preserve">                             </w:t>
      </w:r>
    </w:p>
    <w:p>
      <w:pPr>
        <w:spacing w:before="10"/>
      </w:pPr>
    </w:p>
    <w:p>
      <w:pPr>
        <w:spacing w:before="10"/>
      </w:pPr>
    </w:p>
    <w:p>
      <w:pPr>
        <w:spacing w:before="10"/>
        <w:sectPr>
          <w:pgSz w:w="11910" w:h="16840"/>
          <w:pgMar w:top="1431" w:right="1786" w:bottom="0" w:left="1786" w:header="0" w:footer="0" w:gutter="0"/>
          <w:cols w:num="1" w:space="708" w:equalWidth="0">
            <w:col w:w="8337" w:space="0"/>
          </w:cols>
        </w:sectPr>
      </w:pPr>
    </w:p>
    <w:p>
      <w:pPr>
        <w:spacing w:before="10"/>
      </w:pPr>
    </w:p>
    <w:p>
      <w:pPr>
        <w:spacing w:before="10"/>
      </w:pPr>
    </w:p>
    <w:p>
      <w:pPr>
        <w:spacing w:before="10"/>
      </w:pPr>
    </w:p>
    <w:p>
      <w:pPr>
        <w:spacing w:before="9"/>
      </w:pPr>
    </w:p>
    <w:p>
      <w:pPr>
        <w:spacing w:before="9"/>
      </w:pPr>
    </w:p>
    <w:p>
      <w:pPr>
        <w:sectPr>
          <w:type w:val="nextPage"/>
          <w:pgSz w:w="11910" w:h="16840"/>
          <w:pgMar w:top="1431" w:right="1786" w:bottom="0" w:left="1786" w:header="0" w:footer="0" w:gutter="0"/>
          <w:pgNumType w:start="2"/>
          <w:cols w:num="1" w:space="708" w:equalWidth="0">
            <w:col w:w="8337" w:space="0"/>
          </w:cols>
          <w:titlePg w:val="0"/>
        </w:sectPr>
      </w:pPr>
    </w:p>
    <w:p>
      <w:pPr>
        <w:spacing w:before="48" w:line="153" w:lineRule="exact"/>
        <w:ind w:left="16"/>
        <w:rPr>
          <w:rFonts w:ascii="LiSu" w:eastAsia="LiSu" w:hAnsi="LiSu" w:cs="LiSu"/>
          <w:sz w:val="23"/>
          <w:szCs w:val="23"/>
        </w:rPr>
      </w:pPr>
      <w:r>
        <w:rPr>
          <w:rFonts w:ascii="LiSu" w:eastAsia="LiSu" w:hAnsi="LiSu" w:cs="LiSu"/>
          <w:b/>
          <w:bCs/>
          <w:spacing w:val="-6"/>
          <w:w w:val="94"/>
          <w:position w:val="-3"/>
          <w:sz w:val="23"/>
          <w:szCs w:val="23"/>
        </w:rPr>
        <w:t>第六版表</w:t>
      </w:r>
    </w:p>
    <w:p>
      <w:pPr>
        <w:spacing w:line="14" w:lineRule="auto"/>
        <w:rPr>
          <w:rFonts w:ascii="Arial"/>
          <w:sz w:val="2"/>
        </w:rPr>
      </w:pPr>
      <w:r>
        <w:rPr>
          <w:rFonts w:ascii="Arial" w:eastAsia="Arial" w:hAnsi="Arial" w:cs="Arial"/>
          <w:sz w:val="2"/>
          <w:szCs w:val="2"/>
        </w:rPr>
        <w:br w:type="column"/>
      </w:r>
    </w:p>
    <w:p>
      <w:pPr>
        <w:spacing w:before="33" w:line="167" w:lineRule="exact"/>
        <w:rPr>
          <w:rFonts w:ascii="LiSu" w:eastAsia="LiSu" w:hAnsi="LiSu" w:cs="LiSu"/>
          <w:sz w:val="23"/>
          <w:szCs w:val="23"/>
        </w:rPr>
      </w:pPr>
      <w:r>
        <w:rPr>
          <w:rFonts w:ascii="LiSu" w:eastAsia="LiSu" w:hAnsi="LiSu" w:cs="LiSu"/>
          <w:b/>
          <w:bCs/>
          <w:spacing w:val="-6"/>
          <w:w w:val="93"/>
          <w:position w:val="-2"/>
          <w:sz w:val="23"/>
          <w:szCs w:val="23"/>
        </w:rPr>
        <w:t>江苏省住房和城乡建设厅监制</w:t>
      </w:r>
    </w:p>
    <w:p>
      <w:pPr>
        <w:spacing w:line="167" w:lineRule="exact"/>
        <w:rPr>
          <w:rFonts w:ascii="LiSu" w:eastAsia="LiSu" w:hAnsi="LiSu" w:cs="LiSu"/>
          <w:sz w:val="23"/>
          <w:szCs w:val="23"/>
        </w:rPr>
        <w:sectPr>
          <w:type w:val="continuous"/>
          <w:pgSz w:w="11910" w:h="16840"/>
          <w:pgMar w:top="1431" w:right="1786" w:bottom="0" w:left="1786" w:header="0" w:footer="0" w:gutter="0"/>
          <w:pgNumType w:start="3"/>
          <w:cols w:num="2" w:space="708" w:equalWidth="0">
            <w:col w:w="5487" w:space="100"/>
            <w:col w:w="2751" w:space="0"/>
          </w:cols>
        </w:sectPr>
      </w:pPr>
    </w:p>
    <w:p>
      <w:pPr>
        <w:spacing w:before="142" w:line="224" w:lineRule="auto"/>
        <w:ind w:left="3039"/>
        <w:rPr>
          <w:rFonts w:ascii="KaiTi" w:eastAsia="KaiTi" w:hAnsi="KaiTi" w:cs="KaiTi"/>
          <w:sz w:val="30"/>
          <w:szCs w:val="30"/>
        </w:rPr>
      </w:pPr>
      <w:r>
        <w:rPr>
          <w:rFonts w:ascii="KaiTi" w:eastAsia="KaiTi" w:hAnsi="KaiTi" w:cs="KaiTi"/>
          <w:b/>
          <w:bCs/>
          <w:spacing w:val="-6"/>
          <w:sz w:val="30"/>
          <w:szCs w:val="30"/>
        </w:rPr>
        <w:t>第一章</w:t>
      </w:r>
      <w:r>
        <w:rPr>
          <w:rFonts w:ascii="KaiTi" w:eastAsia="KaiTi" w:hAnsi="KaiTi" w:cs="KaiTi"/>
          <w:spacing w:val="43"/>
          <w:sz w:val="30"/>
          <w:szCs w:val="30"/>
        </w:rPr>
        <w:t xml:space="preserve">   </w:t>
      </w:r>
      <w:r>
        <w:rPr>
          <w:rFonts w:ascii="KaiTi" w:eastAsia="KaiTi" w:hAnsi="KaiTi" w:cs="KaiTi"/>
          <w:b/>
          <w:bCs/>
          <w:spacing w:val="-6"/>
          <w:sz w:val="30"/>
          <w:szCs w:val="30"/>
        </w:rPr>
        <w:t>专业工程特点</w:t>
      </w:r>
    </w:p>
    <w:p>
      <w:pPr>
        <w:spacing w:before="126" w:line="221" w:lineRule="auto"/>
        <w:ind w:left="138"/>
        <w:outlineLvl w:val="6"/>
        <w:rPr>
          <w:rFonts w:ascii="SimHei" w:eastAsia="SimHei" w:hAnsi="SimHei" w:cs="SimHei"/>
          <w:sz w:val="24"/>
          <w:szCs w:val="24"/>
        </w:rPr>
      </w:pPr>
      <w:r>
        <w:rPr>
          <w:rFonts w:ascii="SimHei" w:eastAsia="SimHei" w:hAnsi="SimHei" w:cs="SimHei"/>
          <w:b/>
          <w:bCs/>
          <w:spacing w:val="-5"/>
          <w:sz w:val="24"/>
          <w:szCs w:val="24"/>
        </w:rPr>
        <w:t>一、工程项目概况</w:t>
      </w:r>
    </w:p>
    <w:p>
      <w:pPr>
        <w:spacing w:before="105" w:line="225" w:lineRule="auto"/>
        <w:ind w:left="615"/>
        <w:rPr>
          <w:rFonts w:ascii="KaiTi" w:eastAsia="KaiTi" w:hAnsi="KaiTi" w:cs="KaiTi"/>
          <w:sz w:val="24"/>
          <w:szCs w:val="24"/>
        </w:rPr>
      </w:pPr>
      <w:r>
        <w:rPr>
          <w:rFonts w:ascii="KaiTi" w:eastAsia="KaiTi" w:hAnsi="KaiTi" w:cs="KaiTi"/>
          <w:spacing w:val="3"/>
          <w:sz w:val="24"/>
          <w:szCs w:val="24"/>
        </w:rPr>
        <w:t>工程名称：张地2014-</w:t>
      </w:r>
      <w:r>
        <w:rPr>
          <w:rFonts w:ascii="Times New Roman" w:eastAsia="Times New Roman" w:hAnsi="Times New Roman" w:cs="Times New Roman"/>
          <w:spacing w:val="3"/>
          <w:sz w:val="24"/>
          <w:szCs w:val="24"/>
        </w:rPr>
        <w:t>A09-B</w:t>
      </w:r>
      <w:r>
        <w:rPr>
          <w:rFonts w:ascii="KaiTi" w:eastAsia="KaiTi" w:hAnsi="KaiTi" w:cs="KaiTi"/>
          <w:spacing w:val="3"/>
          <w:sz w:val="24"/>
          <w:szCs w:val="24"/>
        </w:rPr>
        <w:t>号地块1~3#、5~11#</w:t>
      </w:r>
    </w:p>
    <w:p>
      <w:pPr>
        <w:spacing w:before="103" w:line="222" w:lineRule="auto"/>
        <w:ind w:left="615"/>
        <w:rPr>
          <w:rFonts w:ascii="KaiTi" w:eastAsia="KaiTi" w:hAnsi="KaiTi" w:cs="KaiTi"/>
          <w:sz w:val="24"/>
          <w:szCs w:val="24"/>
        </w:rPr>
      </w:pPr>
      <w:r>
        <w:rPr>
          <w:rFonts w:ascii="KaiTi" w:eastAsia="KaiTi" w:hAnsi="KaiTi" w:cs="KaiTi"/>
          <w:spacing w:val="-2"/>
          <w:sz w:val="24"/>
          <w:szCs w:val="24"/>
        </w:rPr>
        <w:t>工程地点：张家港市杨舍镇泗港路东侧、梁丰西路北侧</w:t>
      </w:r>
    </w:p>
    <w:p>
      <w:pPr>
        <w:spacing w:before="132" w:line="223" w:lineRule="auto"/>
        <w:ind w:left="615"/>
        <w:rPr>
          <w:rFonts w:ascii="KaiTi" w:eastAsia="KaiTi" w:hAnsi="KaiTi" w:cs="KaiTi"/>
          <w:sz w:val="24"/>
          <w:szCs w:val="24"/>
        </w:rPr>
      </w:pPr>
      <w:r>
        <w:rPr>
          <w:rFonts w:ascii="KaiTi" w:eastAsia="KaiTi" w:hAnsi="KaiTi" w:cs="KaiTi"/>
          <w:spacing w:val="-3"/>
          <w:sz w:val="24"/>
          <w:szCs w:val="24"/>
        </w:rPr>
        <w:t>建设单位：张家港金厦房地产开发公司</w:t>
      </w:r>
    </w:p>
    <w:p>
      <w:pPr>
        <w:spacing w:before="93" w:line="225" w:lineRule="auto"/>
        <w:ind w:left="615"/>
        <w:rPr>
          <w:rFonts w:ascii="KaiTi" w:eastAsia="KaiTi" w:hAnsi="KaiTi" w:cs="KaiTi"/>
          <w:sz w:val="24"/>
          <w:szCs w:val="24"/>
        </w:rPr>
      </w:pPr>
      <w:r>
        <w:rPr>
          <w:rFonts w:ascii="KaiTi" w:eastAsia="KaiTi" w:hAnsi="KaiTi" w:cs="KaiTi"/>
          <w:spacing w:val="-3"/>
          <w:sz w:val="24"/>
          <w:szCs w:val="24"/>
        </w:rPr>
        <w:t>设计单位：上海海珠建筑工程设计有限公司</w:t>
      </w:r>
    </w:p>
    <w:p>
      <w:pPr>
        <w:spacing w:before="105" w:line="224" w:lineRule="auto"/>
        <w:ind w:left="615"/>
        <w:rPr>
          <w:rFonts w:ascii="KaiTi" w:eastAsia="KaiTi" w:hAnsi="KaiTi" w:cs="KaiTi"/>
          <w:sz w:val="24"/>
          <w:szCs w:val="24"/>
        </w:rPr>
      </w:pPr>
      <w:r>
        <w:rPr>
          <w:rFonts w:ascii="KaiTi" w:eastAsia="KaiTi" w:hAnsi="KaiTi" w:cs="KaiTi"/>
          <w:spacing w:val="-1"/>
          <w:sz w:val="24"/>
          <w:szCs w:val="24"/>
        </w:rPr>
        <w:t>勘察单位：苏州大地勘察工程有限公司</w:t>
      </w:r>
    </w:p>
    <w:p>
      <w:pPr>
        <w:spacing w:before="111" w:line="225" w:lineRule="auto"/>
        <w:ind w:left="615"/>
        <w:rPr>
          <w:rFonts w:ascii="KaiTi" w:eastAsia="KaiTi" w:hAnsi="KaiTi" w:cs="KaiTi"/>
          <w:sz w:val="24"/>
          <w:szCs w:val="24"/>
        </w:rPr>
      </w:pPr>
      <w:r>
        <w:rPr>
          <w:rFonts w:ascii="KaiTi" w:eastAsia="KaiTi" w:hAnsi="KaiTi" w:cs="KaiTi"/>
          <w:spacing w:val="-2"/>
          <w:sz w:val="24"/>
          <w:szCs w:val="24"/>
        </w:rPr>
        <w:t>总承包单位：江苏德丰建设集团有限公司</w:t>
      </w:r>
    </w:p>
    <w:p>
      <w:pPr>
        <w:spacing w:before="125" w:line="222" w:lineRule="auto"/>
        <w:ind w:left="138"/>
        <w:outlineLvl w:val="6"/>
        <w:rPr>
          <w:rFonts w:ascii="SimHei" w:eastAsia="SimHei" w:hAnsi="SimHei" w:cs="SimHei"/>
          <w:sz w:val="24"/>
          <w:szCs w:val="24"/>
        </w:rPr>
      </w:pPr>
      <w:r>
        <w:rPr>
          <w:rFonts w:ascii="SimHei" w:eastAsia="SimHei" w:hAnsi="SimHei" w:cs="SimHei"/>
          <w:b/>
          <w:bCs/>
          <w:spacing w:val="-6"/>
          <w:sz w:val="24"/>
          <w:szCs w:val="24"/>
        </w:rPr>
        <w:t>二、项目组成、规模</w:t>
      </w:r>
    </w:p>
    <w:p>
      <w:pPr>
        <w:pStyle w:val="BodyText"/>
        <w:spacing w:before="90" w:line="287" w:lineRule="auto"/>
        <w:ind w:left="135" w:firstLine="479"/>
        <w:jc w:val="both"/>
        <w:rPr>
          <w:sz w:val="24"/>
          <w:szCs w:val="24"/>
        </w:rPr>
      </w:pPr>
      <w:r>
        <w:rPr>
          <w:rFonts w:ascii="KaiTi" w:eastAsia="KaiTi" w:hAnsi="KaiTi" w:cs="KaiTi"/>
          <w:spacing w:val="7"/>
          <w:sz w:val="24"/>
          <w:szCs w:val="24"/>
        </w:rPr>
        <w:t>1、建设规模：总建筑面积147896.57</w:t>
      </w:r>
      <w:r>
        <w:rPr>
          <w:rFonts w:ascii="KaiTi" w:eastAsia="KaiTi" w:hAnsi="KaiTi" w:cs="KaiTi"/>
          <w:spacing w:val="7"/>
          <w:sz w:val="24"/>
          <w:szCs w:val="24"/>
        </w:rPr>
        <w:t xml:space="preserve"> </w:t>
      </w:r>
      <w:r>
        <w:rPr>
          <w:rFonts w:ascii="Times New Roman" w:eastAsia="Times New Roman" w:hAnsi="Times New Roman" w:cs="Times New Roman"/>
          <w:spacing w:val="7"/>
          <w:sz w:val="24"/>
          <w:szCs w:val="24"/>
        </w:rPr>
        <w:t xml:space="preserve">m², </w:t>
      </w:r>
      <w:r>
        <w:rPr>
          <w:rFonts w:ascii="Times New Roman" w:eastAsia="Times New Roman" w:hAnsi="Times New Roman" w:cs="Times New Roman"/>
          <w:spacing w:val="6"/>
          <w:sz w:val="24"/>
          <w:szCs w:val="24"/>
        </w:rPr>
        <w:t xml:space="preserve"> </w:t>
      </w:r>
      <w:r>
        <w:rPr>
          <w:rFonts w:ascii="KaiTi" w:eastAsia="KaiTi" w:hAnsi="KaiTi" w:cs="KaiTi"/>
          <w:spacing w:val="6"/>
          <w:sz w:val="24"/>
          <w:szCs w:val="24"/>
        </w:rPr>
        <w:t>其中地上总面积103491.85</w:t>
      </w:r>
      <w:r>
        <w:rPr>
          <w:rFonts w:ascii="Times New Roman" w:eastAsia="Times New Roman" w:hAnsi="Times New Roman" w:cs="Times New Roman"/>
          <w:spacing w:val="6"/>
          <w:sz w:val="24"/>
          <w:szCs w:val="24"/>
        </w:rPr>
        <w:t xml:space="preserve">m²,  </w:t>
      </w:r>
      <w:r>
        <w:rPr>
          <w:rFonts w:ascii="KaiTi" w:eastAsia="KaiTi" w:hAnsi="KaiTi" w:cs="KaiTi"/>
          <w:spacing w:val="6"/>
          <w:sz w:val="24"/>
          <w:szCs w:val="24"/>
        </w:rPr>
        <w:t>地下总</w:t>
      </w:r>
      <w:r>
        <w:rPr>
          <w:rFonts w:ascii="KaiTi" w:eastAsia="KaiTi" w:hAnsi="KaiTi" w:cs="KaiTi"/>
          <w:sz w:val="24"/>
          <w:szCs w:val="24"/>
        </w:rPr>
        <w:t xml:space="preserve"> </w:t>
      </w:r>
      <w:r>
        <w:rPr>
          <w:rFonts w:ascii="KaiTi" w:eastAsia="KaiTi" w:hAnsi="KaiTi" w:cs="KaiTi"/>
          <w:spacing w:val="3"/>
          <w:sz w:val="24"/>
          <w:szCs w:val="24"/>
        </w:rPr>
        <w:t>面积44404.72</w:t>
      </w:r>
      <w:r>
        <w:rPr>
          <w:spacing w:val="3"/>
          <w:sz w:val="24"/>
          <w:szCs w:val="24"/>
        </w:rPr>
        <w:t xml:space="preserve">m² </w:t>
      </w:r>
      <w:r>
        <w:rPr>
          <w:rFonts w:ascii="KaiTi" w:eastAsia="KaiTi" w:hAnsi="KaiTi" w:cs="KaiTi"/>
          <w:spacing w:val="3"/>
          <w:sz w:val="24"/>
          <w:szCs w:val="24"/>
        </w:rPr>
        <w:t>(其中地下室面积6142.56</w:t>
      </w:r>
      <w:r>
        <w:rPr>
          <w:rFonts w:ascii="KaiTi" w:eastAsia="KaiTi" w:hAnsi="KaiTi" w:cs="KaiTi"/>
          <w:spacing w:val="3"/>
          <w:sz w:val="24"/>
          <w:szCs w:val="24"/>
        </w:rPr>
        <w:t xml:space="preserve"> </w:t>
      </w:r>
      <w:r>
        <w:rPr>
          <w:spacing w:val="3"/>
          <w:sz w:val="24"/>
          <w:szCs w:val="24"/>
        </w:rPr>
        <w:t>m²、</w:t>
      </w:r>
      <w:r>
        <w:rPr>
          <w:rFonts w:ascii="KaiTi" w:eastAsia="KaiTi" w:hAnsi="KaiTi" w:cs="KaiTi"/>
          <w:spacing w:val="3"/>
          <w:sz w:val="24"/>
          <w:szCs w:val="24"/>
        </w:rPr>
        <w:t>地下车库面积28410.5</w:t>
      </w:r>
      <w:r>
        <w:rPr>
          <w:spacing w:val="3"/>
          <w:sz w:val="24"/>
          <w:szCs w:val="24"/>
        </w:rPr>
        <w:t xml:space="preserve">m²、  </w:t>
      </w:r>
      <w:r>
        <w:rPr>
          <w:rFonts w:ascii="KaiTi" w:eastAsia="KaiTi" w:hAnsi="KaiTi" w:cs="KaiTi"/>
          <w:spacing w:val="3"/>
          <w:sz w:val="24"/>
          <w:szCs w:val="24"/>
        </w:rPr>
        <w:t>人防地下</w:t>
      </w:r>
      <w:r>
        <w:rPr>
          <w:rFonts w:ascii="KaiTi" w:eastAsia="KaiTi" w:hAnsi="KaiTi" w:cs="KaiTi"/>
          <w:spacing w:val="3"/>
          <w:sz w:val="24"/>
          <w:szCs w:val="24"/>
        </w:rPr>
        <w:t xml:space="preserve"> </w:t>
      </w:r>
      <w:r>
        <w:rPr>
          <w:rFonts w:ascii="KaiTi" w:eastAsia="KaiTi" w:hAnsi="KaiTi" w:cs="KaiTi"/>
          <w:spacing w:val="11"/>
          <w:sz w:val="24"/>
          <w:szCs w:val="24"/>
        </w:rPr>
        <w:t>室面积9851.66</w:t>
      </w:r>
      <w:r>
        <w:rPr>
          <w:spacing w:val="11"/>
          <w:sz w:val="24"/>
          <w:szCs w:val="24"/>
        </w:rPr>
        <w:t>m)。</w:t>
      </w:r>
    </w:p>
    <w:p>
      <w:pPr>
        <w:spacing w:before="85" w:line="410" w:lineRule="exact"/>
        <w:ind w:left="615"/>
        <w:rPr>
          <w:rFonts w:ascii="KaiTi" w:eastAsia="KaiTi" w:hAnsi="KaiTi" w:cs="KaiTi"/>
          <w:sz w:val="24"/>
          <w:szCs w:val="24"/>
        </w:rPr>
      </w:pPr>
      <w:r>
        <w:rPr>
          <w:rFonts w:ascii="KaiTi" w:eastAsia="KaiTi" w:hAnsi="KaiTi" w:cs="KaiTi"/>
          <w:spacing w:val="1"/>
          <w:position w:val="12"/>
          <w:sz w:val="24"/>
          <w:szCs w:val="24"/>
        </w:rPr>
        <w:t>2、工程概算投资额或建筑安装工程费：37644万元</w:t>
      </w:r>
    </w:p>
    <w:p>
      <w:pPr>
        <w:spacing w:line="225" w:lineRule="auto"/>
        <w:ind w:left="615"/>
        <w:rPr>
          <w:rFonts w:ascii="KaiTi" w:eastAsia="KaiTi" w:hAnsi="KaiTi" w:cs="KaiTi"/>
          <w:sz w:val="24"/>
          <w:szCs w:val="24"/>
        </w:rPr>
      </w:pPr>
      <w:r>
        <w:rPr>
          <w:rFonts w:ascii="KaiTi" w:eastAsia="KaiTi" w:hAnsi="KaiTi" w:cs="KaiTi"/>
          <w:spacing w:val="-2"/>
          <w:sz w:val="24"/>
          <w:szCs w:val="24"/>
        </w:rPr>
        <w:t>3、所属气候分区：夏热冬冷地区</w:t>
      </w:r>
    </w:p>
    <w:p>
      <w:pPr>
        <w:spacing w:line="264" w:lineRule="auto"/>
        <w:rPr>
          <w:rFonts w:ascii="Arial"/>
          <w:sz w:val="21"/>
        </w:rPr>
      </w:pPr>
    </w:p>
    <w:p>
      <w:pPr>
        <w:spacing w:before="78" w:line="225" w:lineRule="auto"/>
        <w:ind w:left="3888"/>
        <w:rPr>
          <w:rFonts w:ascii="KaiTi" w:eastAsia="KaiTi" w:hAnsi="KaiTi" w:cs="KaiTi"/>
          <w:sz w:val="24"/>
          <w:szCs w:val="24"/>
        </w:rPr>
      </w:pPr>
      <w:r>
        <w:rPr>
          <w:rFonts w:ascii="KaiTi" w:eastAsia="KaiTi" w:hAnsi="KaiTi" w:cs="KaiTi"/>
          <w:b/>
          <w:bCs/>
          <w:spacing w:val="-8"/>
          <w:sz w:val="24"/>
          <w:szCs w:val="24"/>
        </w:rPr>
        <w:t>各房号概况</w:t>
      </w:r>
    </w:p>
    <w:p>
      <w:pPr>
        <w:spacing w:before="58"/>
      </w:pPr>
    </w:p>
    <w:tbl>
      <w:tblPr>
        <w:tblStyle w:val="TableNormal0"/>
        <w:tblW w:w="91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4"/>
        <w:gridCol w:w="629"/>
        <w:gridCol w:w="770"/>
        <w:gridCol w:w="829"/>
        <w:gridCol w:w="879"/>
        <w:gridCol w:w="809"/>
        <w:gridCol w:w="769"/>
        <w:gridCol w:w="899"/>
        <w:gridCol w:w="859"/>
        <w:gridCol w:w="789"/>
        <w:gridCol w:w="934"/>
      </w:tblGrid>
      <w:tr>
        <w:tblPrEx>
          <w:tblW w:w="91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4"/>
        </w:trPr>
        <w:tc>
          <w:tcPr>
            <w:tcW w:w="954" w:type="dxa"/>
            <w:vAlign w:val="top"/>
          </w:tcPr>
          <w:p>
            <w:pPr>
              <w:pStyle w:val="TableText"/>
              <w:spacing w:before="211" w:line="220" w:lineRule="auto"/>
              <w:ind w:left="315"/>
            </w:pPr>
            <w:r>
              <w:rPr>
                <w:spacing w:val="-2"/>
              </w:rPr>
              <w:t>房号</w:t>
            </w:r>
          </w:p>
        </w:tc>
        <w:tc>
          <w:tcPr>
            <w:tcW w:w="629" w:type="dxa"/>
            <w:vAlign w:val="top"/>
          </w:tcPr>
          <w:p>
            <w:pPr>
              <w:pStyle w:val="TableText"/>
              <w:spacing w:before="249" w:line="184" w:lineRule="auto"/>
              <w:ind w:left="231"/>
            </w:pPr>
            <w:r>
              <w:rPr>
                <w:spacing w:val="-5"/>
              </w:rPr>
              <w:t>1#</w:t>
            </w:r>
          </w:p>
        </w:tc>
        <w:tc>
          <w:tcPr>
            <w:tcW w:w="770" w:type="dxa"/>
            <w:vAlign w:val="top"/>
          </w:tcPr>
          <w:p>
            <w:pPr>
              <w:pStyle w:val="TableText"/>
              <w:spacing w:before="289" w:line="183" w:lineRule="auto"/>
              <w:ind w:left="301"/>
            </w:pPr>
            <w:r>
              <w:rPr>
                <w:spacing w:val="-2"/>
              </w:rPr>
              <w:t>2#</w:t>
            </w:r>
          </w:p>
        </w:tc>
        <w:tc>
          <w:tcPr>
            <w:tcW w:w="829" w:type="dxa"/>
            <w:vAlign w:val="top"/>
          </w:tcPr>
          <w:p>
            <w:pPr>
              <w:pStyle w:val="TableText"/>
              <w:spacing w:before="289" w:line="183" w:lineRule="auto"/>
              <w:ind w:left="331"/>
            </w:pPr>
            <w:r>
              <w:rPr>
                <w:spacing w:val="-3"/>
              </w:rPr>
              <w:t>3#</w:t>
            </w:r>
          </w:p>
        </w:tc>
        <w:tc>
          <w:tcPr>
            <w:tcW w:w="879" w:type="dxa"/>
            <w:vAlign w:val="top"/>
          </w:tcPr>
          <w:p>
            <w:pPr>
              <w:pStyle w:val="TableText"/>
              <w:spacing w:before="289" w:line="183" w:lineRule="auto"/>
              <w:ind w:left="353"/>
            </w:pPr>
            <w:r>
              <w:rPr>
                <w:spacing w:val="-3"/>
              </w:rPr>
              <w:t>5#</w:t>
            </w:r>
          </w:p>
        </w:tc>
        <w:tc>
          <w:tcPr>
            <w:tcW w:w="809" w:type="dxa"/>
            <w:vAlign w:val="top"/>
          </w:tcPr>
          <w:p>
            <w:pPr>
              <w:pStyle w:val="TableText"/>
              <w:spacing w:before="289" w:line="183" w:lineRule="auto"/>
              <w:ind w:left="324"/>
            </w:pPr>
            <w:r>
              <w:rPr>
                <w:spacing w:val="-2"/>
              </w:rPr>
              <w:t>6#</w:t>
            </w:r>
          </w:p>
        </w:tc>
        <w:tc>
          <w:tcPr>
            <w:tcW w:w="769" w:type="dxa"/>
            <w:vAlign w:val="top"/>
          </w:tcPr>
          <w:p>
            <w:pPr>
              <w:spacing w:line="259" w:lineRule="auto"/>
              <w:rPr>
                <w:rFonts w:ascii="Arial"/>
                <w:sz w:val="21"/>
              </w:rPr>
            </w:pPr>
          </w:p>
          <w:p>
            <w:pPr>
              <w:pStyle w:val="TableText"/>
              <w:spacing w:before="49" w:line="183" w:lineRule="auto"/>
              <w:ind w:left="305"/>
            </w:pPr>
            <w:r>
              <w:rPr>
                <w:spacing w:val="-3"/>
              </w:rPr>
              <w:t>7#</w:t>
            </w:r>
          </w:p>
        </w:tc>
        <w:tc>
          <w:tcPr>
            <w:tcW w:w="899" w:type="dxa"/>
            <w:vAlign w:val="top"/>
          </w:tcPr>
          <w:p>
            <w:pPr>
              <w:spacing w:line="259" w:lineRule="auto"/>
              <w:rPr>
                <w:rFonts w:ascii="Arial"/>
                <w:sz w:val="21"/>
              </w:rPr>
            </w:pPr>
          </w:p>
          <w:p>
            <w:pPr>
              <w:pStyle w:val="TableText"/>
              <w:spacing w:before="49" w:line="183" w:lineRule="auto"/>
              <w:ind w:left="366"/>
            </w:pPr>
            <w:r>
              <w:rPr>
                <w:spacing w:val="-2"/>
              </w:rPr>
              <w:t>8#</w:t>
            </w:r>
          </w:p>
        </w:tc>
        <w:tc>
          <w:tcPr>
            <w:tcW w:w="859" w:type="dxa"/>
            <w:vAlign w:val="top"/>
          </w:tcPr>
          <w:p>
            <w:pPr>
              <w:spacing w:line="259" w:lineRule="auto"/>
              <w:rPr>
                <w:rFonts w:ascii="Arial"/>
                <w:sz w:val="21"/>
              </w:rPr>
            </w:pPr>
          </w:p>
          <w:p>
            <w:pPr>
              <w:pStyle w:val="TableText"/>
              <w:spacing w:before="49" w:line="183" w:lineRule="auto"/>
              <w:ind w:left="347"/>
            </w:pPr>
            <w:r>
              <w:rPr>
                <w:spacing w:val="-2"/>
              </w:rPr>
              <w:t>9#</w:t>
            </w:r>
          </w:p>
        </w:tc>
        <w:tc>
          <w:tcPr>
            <w:tcW w:w="789" w:type="dxa"/>
            <w:vAlign w:val="top"/>
          </w:tcPr>
          <w:p>
            <w:pPr>
              <w:spacing w:line="258" w:lineRule="auto"/>
              <w:rPr>
                <w:rFonts w:ascii="Arial"/>
                <w:sz w:val="21"/>
              </w:rPr>
            </w:pPr>
          </w:p>
          <w:p>
            <w:pPr>
              <w:pStyle w:val="TableText"/>
              <w:spacing w:before="49" w:line="184" w:lineRule="auto"/>
              <w:ind w:left="278"/>
            </w:pPr>
            <w:r>
              <w:rPr>
                <w:spacing w:val="-4"/>
              </w:rPr>
              <w:t>10#</w:t>
            </w:r>
          </w:p>
        </w:tc>
        <w:tc>
          <w:tcPr>
            <w:tcW w:w="934" w:type="dxa"/>
            <w:vAlign w:val="top"/>
          </w:tcPr>
          <w:p>
            <w:pPr>
              <w:spacing w:line="258" w:lineRule="auto"/>
              <w:rPr>
                <w:rFonts w:ascii="Arial"/>
                <w:sz w:val="21"/>
              </w:rPr>
            </w:pPr>
          </w:p>
          <w:p>
            <w:pPr>
              <w:pStyle w:val="TableText"/>
              <w:spacing w:before="49" w:line="184" w:lineRule="auto"/>
              <w:ind w:left="349"/>
            </w:pPr>
            <w:r>
              <w:rPr>
                <w:spacing w:val="-4"/>
              </w:rPr>
              <w:t>11#</w:t>
            </w:r>
          </w:p>
        </w:tc>
      </w:tr>
      <w:tr>
        <w:tblPrEx>
          <w:tblW w:w="9120" w:type="dxa"/>
          <w:tblInd w:w="5" w:type="dxa"/>
          <w:tblLayout w:type="fixed"/>
        </w:tblPrEx>
        <w:trPr>
          <w:trHeight w:val="559"/>
        </w:trPr>
        <w:tc>
          <w:tcPr>
            <w:tcW w:w="954" w:type="dxa"/>
            <w:vAlign w:val="top"/>
          </w:tcPr>
          <w:p>
            <w:pPr>
              <w:pStyle w:val="TableText"/>
              <w:spacing w:before="255" w:line="220" w:lineRule="auto"/>
              <w:ind w:left="85"/>
              <w:rPr>
                <w:sz w:val="11"/>
                <w:szCs w:val="11"/>
              </w:rPr>
            </w:pPr>
            <w:r>
              <w:rPr>
                <w:spacing w:val="-6"/>
                <w:sz w:val="11"/>
                <w:szCs w:val="11"/>
              </w:rPr>
              <w:t>建</w:t>
            </w:r>
            <w:r>
              <w:rPr>
                <w:spacing w:val="-18"/>
                <w:sz w:val="11"/>
                <w:szCs w:val="11"/>
              </w:rPr>
              <w:t xml:space="preserve"> </w:t>
            </w:r>
            <w:r>
              <w:rPr>
                <w:spacing w:val="-6"/>
                <w:sz w:val="11"/>
                <w:szCs w:val="11"/>
              </w:rPr>
              <w:t>筑</w:t>
            </w:r>
            <w:r>
              <w:rPr>
                <w:spacing w:val="-19"/>
                <w:sz w:val="11"/>
                <w:szCs w:val="11"/>
              </w:rPr>
              <w:t xml:space="preserve"> </w:t>
            </w:r>
            <w:r>
              <w:rPr>
                <w:spacing w:val="-6"/>
                <w:sz w:val="11"/>
                <w:szCs w:val="11"/>
              </w:rPr>
              <w:t>面</w:t>
            </w:r>
            <w:r>
              <w:rPr>
                <w:spacing w:val="-20"/>
                <w:sz w:val="11"/>
                <w:szCs w:val="11"/>
              </w:rPr>
              <w:t xml:space="preserve"> </w:t>
            </w:r>
            <w:r>
              <w:rPr>
                <w:spacing w:val="-6"/>
                <w:sz w:val="11"/>
                <w:szCs w:val="11"/>
              </w:rPr>
              <w:t>积 (</w:t>
            </w:r>
            <w:r>
              <w:rPr>
                <w:spacing w:val="-23"/>
                <w:sz w:val="11"/>
                <w:szCs w:val="11"/>
              </w:rPr>
              <w:t xml:space="preserve"> </w:t>
            </w:r>
            <w:r>
              <w:rPr>
                <w:spacing w:val="-6"/>
                <w:sz w:val="11"/>
                <w:szCs w:val="11"/>
              </w:rPr>
              <w:t>m</w:t>
            </w:r>
            <w:r>
              <w:rPr>
                <w:spacing w:val="-20"/>
                <w:sz w:val="11"/>
                <w:szCs w:val="11"/>
              </w:rPr>
              <w:t xml:space="preserve"> </w:t>
            </w:r>
            <w:r>
              <w:rPr>
                <w:spacing w:val="-6"/>
                <w:sz w:val="11"/>
                <w:szCs w:val="11"/>
              </w:rPr>
              <w:t>)</w:t>
            </w:r>
          </w:p>
        </w:tc>
        <w:tc>
          <w:tcPr>
            <w:tcW w:w="629" w:type="dxa"/>
            <w:vAlign w:val="top"/>
          </w:tcPr>
          <w:p>
            <w:pPr>
              <w:pStyle w:val="TableText"/>
              <w:spacing w:before="244" w:line="184" w:lineRule="auto"/>
              <w:ind w:left="1"/>
            </w:pPr>
            <w:r>
              <w:rPr>
                <w:spacing w:val="-2"/>
              </w:rPr>
              <w:t>14581.92</w:t>
            </w:r>
          </w:p>
        </w:tc>
        <w:tc>
          <w:tcPr>
            <w:tcW w:w="770" w:type="dxa"/>
            <w:vAlign w:val="top"/>
          </w:tcPr>
          <w:p>
            <w:pPr>
              <w:spacing w:line="244" w:lineRule="auto"/>
              <w:rPr>
                <w:rFonts w:ascii="Arial"/>
                <w:sz w:val="21"/>
              </w:rPr>
            </w:pPr>
          </w:p>
          <w:p>
            <w:pPr>
              <w:pStyle w:val="TableText"/>
              <w:spacing w:before="49" w:line="184" w:lineRule="auto"/>
              <w:ind w:left="112"/>
            </w:pPr>
            <w:r>
              <w:rPr>
                <w:spacing w:val="-2"/>
              </w:rPr>
              <w:t>7631.56</w:t>
            </w:r>
          </w:p>
        </w:tc>
        <w:tc>
          <w:tcPr>
            <w:tcW w:w="829" w:type="dxa"/>
            <w:vAlign w:val="top"/>
          </w:tcPr>
          <w:p>
            <w:pPr>
              <w:spacing w:line="244" w:lineRule="auto"/>
              <w:rPr>
                <w:rFonts w:ascii="Arial"/>
                <w:sz w:val="21"/>
              </w:rPr>
            </w:pPr>
          </w:p>
          <w:p>
            <w:pPr>
              <w:pStyle w:val="TableText"/>
              <w:spacing w:before="49" w:line="184" w:lineRule="auto"/>
              <w:ind w:left="102"/>
            </w:pPr>
            <w:r>
              <w:rPr>
                <w:spacing w:val="-2"/>
              </w:rPr>
              <w:t>13549.67</w:t>
            </w:r>
          </w:p>
        </w:tc>
        <w:tc>
          <w:tcPr>
            <w:tcW w:w="879" w:type="dxa"/>
            <w:vAlign w:val="top"/>
          </w:tcPr>
          <w:p>
            <w:pPr>
              <w:spacing w:line="245" w:lineRule="auto"/>
              <w:rPr>
                <w:rFonts w:ascii="Arial"/>
                <w:sz w:val="21"/>
              </w:rPr>
            </w:pPr>
          </w:p>
          <w:p>
            <w:pPr>
              <w:pStyle w:val="TableText"/>
              <w:spacing w:before="49" w:line="183" w:lineRule="auto"/>
              <w:ind w:left="163"/>
            </w:pPr>
            <w:r>
              <w:rPr>
                <w:spacing w:val="-1"/>
              </w:rPr>
              <w:t>9454.08</w:t>
            </w:r>
          </w:p>
        </w:tc>
        <w:tc>
          <w:tcPr>
            <w:tcW w:w="809" w:type="dxa"/>
            <w:vAlign w:val="top"/>
          </w:tcPr>
          <w:p>
            <w:pPr>
              <w:spacing w:line="244" w:lineRule="auto"/>
              <w:rPr>
                <w:rFonts w:ascii="Arial"/>
                <w:sz w:val="21"/>
              </w:rPr>
            </w:pPr>
          </w:p>
          <w:p>
            <w:pPr>
              <w:pStyle w:val="TableText"/>
              <w:spacing w:before="49" w:line="184" w:lineRule="auto"/>
              <w:ind w:left="174"/>
            </w:pPr>
            <w:r>
              <w:rPr>
                <w:spacing w:val="-1"/>
              </w:rPr>
              <w:t>8619.3</w:t>
            </w:r>
          </w:p>
        </w:tc>
        <w:tc>
          <w:tcPr>
            <w:tcW w:w="769" w:type="dxa"/>
            <w:vAlign w:val="top"/>
          </w:tcPr>
          <w:p>
            <w:pPr>
              <w:spacing w:line="244" w:lineRule="auto"/>
              <w:rPr>
                <w:rFonts w:ascii="Arial"/>
                <w:sz w:val="21"/>
              </w:rPr>
            </w:pPr>
          </w:p>
          <w:p>
            <w:pPr>
              <w:pStyle w:val="TableText"/>
              <w:spacing w:before="49" w:line="184" w:lineRule="auto"/>
              <w:ind w:left="75"/>
            </w:pPr>
            <w:r>
              <w:rPr>
                <w:spacing w:val="-2"/>
              </w:rPr>
              <w:t>11033.28</w:t>
            </w:r>
          </w:p>
        </w:tc>
        <w:tc>
          <w:tcPr>
            <w:tcW w:w="899" w:type="dxa"/>
            <w:vAlign w:val="top"/>
          </w:tcPr>
          <w:p>
            <w:pPr>
              <w:spacing w:line="255" w:lineRule="auto"/>
              <w:rPr>
                <w:rFonts w:ascii="Arial"/>
                <w:sz w:val="21"/>
              </w:rPr>
            </w:pPr>
          </w:p>
          <w:p>
            <w:pPr>
              <w:pStyle w:val="TableText"/>
              <w:spacing w:before="49" w:line="183" w:lineRule="auto"/>
              <w:ind w:left="176"/>
            </w:pPr>
            <w:r>
              <w:rPr>
                <w:spacing w:val="-1"/>
              </w:rPr>
              <w:t>8569.57</w:t>
            </w:r>
          </w:p>
        </w:tc>
        <w:tc>
          <w:tcPr>
            <w:tcW w:w="859" w:type="dxa"/>
            <w:vAlign w:val="top"/>
          </w:tcPr>
          <w:p>
            <w:pPr>
              <w:spacing w:line="254" w:lineRule="auto"/>
              <w:rPr>
                <w:rFonts w:ascii="Arial"/>
                <w:sz w:val="21"/>
              </w:rPr>
            </w:pPr>
          </w:p>
          <w:p>
            <w:pPr>
              <w:pStyle w:val="TableText"/>
              <w:spacing w:before="49" w:line="184" w:lineRule="auto"/>
              <w:ind w:left="127"/>
            </w:pPr>
            <w:r>
              <w:rPr>
                <w:spacing w:val="-2"/>
              </w:rPr>
              <w:t>13480.46</w:t>
            </w:r>
          </w:p>
        </w:tc>
        <w:tc>
          <w:tcPr>
            <w:tcW w:w="789" w:type="dxa"/>
            <w:vAlign w:val="top"/>
          </w:tcPr>
          <w:p>
            <w:pPr>
              <w:spacing w:line="254" w:lineRule="auto"/>
              <w:rPr>
                <w:rFonts w:ascii="Arial"/>
                <w:sz w:val="21"/>
              </w:rPr>
            </w:pPr>
          </w:p>
          <w:p>
            <w:pPr>
              <w:pStyle w:val="TableText"/>
              <w:spacing w:before="49" w:line="184" w:lineRule="auto"/>
              <w:ind w:left="88"/>
            </w:pPr>
            <w:r>
              <w:rPr>
                <w:spacing w:val="-2"/>
              </w:rPr>
              <w:t>13309.79</w:t>
            </w:r>
          </w:p>
        </w:tc>
        <w:tc>
          <w:tcPr>
            <w:tcW w:w="934" w:type="dxa"/>
            <w:vAlign w:val="top"/>
          </w:tcPr>
          <w:p>
            <w:pPr>
              <w:spacing w:line="244" w:lineRule="auto"/>
              <w:rPr>
                <w:rFonts w:ascii="Arial"/>
                <w:sz w:val="21"/>
              </w:rPr>
            </w:pPr>
          </w:p>
          <w:p>
            <w:pPr>
              <w:pStyle w:val="TableText"/>
              <w:spacing w:before="49" w:line="184" w:lineRule="auto"/>
              <w:ind w:left="309"/>
            </w:pPr>
            <w:r>
              <w:rPr>
                <w:spacing w:val="-2"/>
              </w:rPr>
              <w:t>8815</w:t>
            </w:r>
          </w:p>
        </w:tc>
      </w:tr>
      <w:tr>
        <w:tblPrEx>
          <w:tblW w:w="9120" w:type="dxa"/>
          <w:tblInd w:w="5" w:type="dxa"/>
          <w:tblLayout w:type="fixed"/>
        </w:tblPrEx>
        <w:trPr>
          <w:trHeight w:val="489"/>
        </w:trPr>
        <w:tc>
          <w:tcPr>
            <w:tcW w:w="954" w:type="dxa"/>
            <w:vAlign w:val="top"/>
          </w:tcPr>
          <w:p>
            <w:pPr>
              <w:pStyle w:val="TableText"/>
              <w:spacing w:before="236" w:line="219" w:lineRule="auto"/>
              <w:ind w:left="244"/>
              <w:rPr>
                <w:sz w:val="11"/>
                <w:szCs w:val="11"/>
              </w:rPr>
            </w:pPr>
            <w:r>
              <w:rPr>
                <w:spacing w:val="-2"/>
                <w:sz w:val="11"/>
                <w:szCs w:val="11"/>
              </w:rPr>
              <w:t>结构类型</w:t>
            </w:r>
          </w:p>
        </w:tc>
        <w:tc>
          <w:tcPr>
            <w:tcW w:w="629" w:type="dxa"/>
            <w:vAlign w:val="top"/>
          </w:tcPr>
          <w:p>
            <w:pPr>
              <w:pStyle w:val="TableText"/>
              <w:spacing w:before="208" w:line="219" w:lineRule="auto"/>
              <w:ind w:left="80"/>
            </w:pPr>
            <w:r>
              <w:rPr>
                <w:spacing w:val="-2"/>
              </w:rPr>
              <w:t>剪力墙</w:t>
            </w:r>
          </w:p>
        </w:tc>
        <w:tc>
          <w:tcPr>
            <w:tcW w:w="770" w:type="dxa"/>
            <w:vAlign w:val="top"/>
          </w:tcPr>
          <w:p>
            <w:pPr>
              <w:pStyle w:val="TableText"/>
              <w:spacing w:before="218" w:line="219" w:lineRule="auto"/>
              <w:ind w:left="152"/>
            </w:pPr>
            <w:r>
              <w:rPr>
                <w:spacing w:val="-2"/>
              </w:rPr>
              <w:t>剪力墙</w:t>
            </w:r>
          </w:p>
        </w:tc>
        <w:tc>
          <w:tcPr>
            <w:tcW w:w="829" w:type="dxa"/>
            <w:vAlign w:val="top"/>
          </w:tcPr>
          <w:p>
            <w:pPr>
              <w:pStyle w:val="TableText"/>
              <w:spacing w:before="218" w:line="219" w:lineRule="auto"/>
              <w:ind w:left="182"/>
            </w:pPr>
            <w:r>
              <w:rPr>
                <w:spacing w:val="-2"/>
              </w:rPr>
              <w:t>剪力墙</w:t>
            </w:r>
          </w:p>
        </w:tc>
        <w:tc>
          <w:tcPr>
            <w:tcW w:w="879" w:type="dxa"/>
            <w:vAlign w:val="top"/>
          </w:tcPr>
          <w:p>
            <w:pPr>
              <w:pStyle w:val="TableText"/>
              <w:spacing w:before="218" w:line="219" w:lineRule="auto"/>
              <w:ind w:left="203"/>
            </w:pPr>
            <w:r>
              <w:rPr>
                <w:spacing w:val="-2"/>
              </w:rPr>
              <w:t>剪力墙</w:t>
            </w:r>
          </w:p>
        </w:tc>
        <w:tc>
          <w:tcPr>
            <w:tcW w:w="809" w:type="dxa"/>
            <w:vAlign w:val="top"/>
          </w:tcPr>
          <w:p>
            <w:pPr>
              <w:pStyle w:val="TableText"/>
              <w:spacing w:before="208" w:line="219" w:lineRule="auto"/>
              <w:ind w:left="174"/>
            </w:pPr>
            <w:r>
              <w:rPr>
                <w:spacing w:val="-2"/>
              </w:rPr>
              <w:t>剪力墙</w:t>
            </w:r>
          </w:p>
        </w:tc>
        <w:tc>
          <w:tcPr>
            <w:tcW w:w="769" w:type="dxa"/>
            <w:vAlign w:val="top"/>
          </w:tcPr>
          <w:p>
            <w:pPr>
              <w:pStyle w:val="TableText"/>
              <w:spacing w:before="208" w:line="219" w:lineRule="auto"/>
              <w:ind w:left="155"/>
            </w:pPr>
            <w:r>
              <w:rPr>
                <w:spacing w:val="-2"/>
              </w:rPr>
              <w:t>剪力墙</w:t>
            </w:r>
          </w:p>
        </w:tc>
        <w:tc>
          <w:tcPr>
            <w:tcW w:w="899" w:type="dxa"/>
            <w:vAlign w:val="top"/>
          </w:tcPr>
          <w:p>
            <w:pPr>
              <w:pStyle w:val="TableText"/>
              <w:spacing w:before="208" w:line="219" w:lineRule="auto"/>
              <w:ind w:left="216"/>
            </w:pPr>
            <w:r>
              <w:rPr>
                <w:spacing w:val="-2"/>
              </w:rPr>
              <w:t>剪力墙</w:t>
            </w:r>
          </w:p>
        </w:tc>
        <w:tc>
          <w:tcPr>
            <w:tcW w:w="859" w:type="dxa"/>
            <w:vAlign w:val="top"/>
          </w:tcPr>
          <w:p>
            <w:pPr>
              <w:pStyle w:val="TableText"/>
              <w:spacing w:before="208" w:line="219" w:lineRule="auto"/>
              <w:ind w:left="196"/>
            </w:pPr>
            <w:r>
              <w:rPr>
                <w:spacing w:val="-2"/>
              </w:rPr>
              <w:t>剪力墙</w:t>
            </w:r>
          </w:p>
        </w:tc>
        <w:tc>
          <w:tcPr>
            <w:tcW w:w="789" w:type="dxa"/>
            <w:vAlign w:val="top"/>
          </w:tcPr>
          <w:p>
            <w:pPr>
              <w:pStyle w:val="TableText"/>
              <w:spacing w:before="208" w:line="219" w:lineRule="auto"/>
              <w:ind w:left="167"/>
            </w:pPr>
            <w:r>
              <w:rPr>
                <w:spacing w:val="-2"/>
              </w:rPr>
              <w:t>剪力墙</w:t>
            </w:r>
          </w:p>
        </w:tc>
        <w:tc>
          <w:tcPr>
            <w:tcW w:w="934" w:type="dxa"/>
            <w:vAlign w:val="top"/>
          </w:tcPr>
          <w:p>
            <w:pPr>
              <w:pStyle w:val="TableText"/>
              <w:spacing w:before="208" w:line="219" w:lineRule="auto"/>
              <w:ind w:left="239"/>
            </w:pPr>
            <w:r>
              <w:rPr>
                <w:spacing w:val="-2"/>
              </w:rPr>
              <w:t>剪力墙</w:t>
            </w:r>
          </w:p>
        </w:tc>
      </w:tr>
      <w:tr>
        <w:tblPrEx>
          <w:tblW w:w="9120" w:type="dxa"/>
          <w:tblInd w:w="5" w:type="dxa"/>
          <w:tblLayout w:type="fixed"/>
        </w:tblPrEx>
        <w:trPr>
          <w:trHeight w:val="559"/>
        </w:trPr>
        <w:tc>
          <w:tcPr>
            <w:tcW w:w="954" w:type="dxa"/>
            <w:vAlign w:val="top"/>
          </w:tcPr>
          <w:p>
            <w:pPr>
              <w:spacing w:line="250" w:lineRule="auto"/>
              <w:rPr>
                <w:rFonts w:ascii="Arial"/>
                <w:sz w:val="21"/>
              </w:rPr>
            </w:pPr>
          </w:p>
          <w:p>
            <w:pPr>
              <w:pStyle w:val="TableText"/>
              <w:spacing w:before="36" w:line="219" w:lineRule="auto"/>
              <w:ind w:left="355"/>
              <w:rPr>
                <w:sz w:val="11"/>
                <w:szCs w:val="11"/>
              </w:rPr>
            </w:pPr>
            <w:r>
              <w:rPr>
                <w:spacing w:val="-2"/>
                <w:sz w:val="11"/>
                <w:szCs w:val="11"/>
              </w:rPr>
              <w:t>层数</w:t>
            </w:r>
          </w:p>
        </w:tc>
        <w:tc>
          <w:tcPr>
            <w:tcW w:w="629" w:type="dxa"/>
            <w:vAlign w:val="top"/>
          </w:tcPr>
          <w:p>
            <w:pPr>
              <w:pStyle w:val="TableText"/>
              <w:spacing w:before="147" w:line="250" w:lineRule="exact"/>
              <w:ind w:left="80"/>
              <w:rPr>
                <w:sz w:val="11"/>
                <w:szCs w:val="11"/>
              </w:rPr>
            </w:pPr>
            <w:r>
              <w:rPr>
                <w:spacing w:val="-1"/>
                <w:position w:val="11"/>
                <w:sz w:val="11"/>
                <w:szCs w:val="11"/>
              </w:rPr>
              <w:t>地上18层</w:t>
            </w:r>
          </w:p>
          <w:p>
            <w:pPr>
              <w:pStyle w:val="TableText"/>
              <w:spacing w:line="219" w:lineRule="auto"/>
              <w:ind w:left="60"/>
              <w:rPr>
                <w:sz w:val="11"/>
                <w:szCs w:val="11"/>
              </w:rPr>
            </w:pPr>
            <w:r>
              <w:rPr>
                <w:spacing w:val="-7"/>
                <w:sz w:val="11"/>
                <w:szCs w:val="11"/>
              </w:rPr>
              <w:t>地</w:t>
            </w:r>
            <w:r>
              <w:rPr>
                <w:spacing w:val="-10"/>
                <w:sz w:val="11"/>
                <w:szCs w:val="11"/>
              </w:rPr>
              <w:t xml:space="preserve"> </w:t>
            </w:r>
            <w:r>
              <w:rPr>
                <w:spacing w:val="-7"/>
                <w:sz w:val="11"/>
                <w:szCs w:val="11"/>
              </w:rPr>
              <w:t>下 1</w:t>
            </w:r>
            <w:r>
              <w:rPr>
                <w:spacing w:val="-16"/>
                <w:sz w:val="11"/>
                <w:szCs w:val="11"/>
              </w:rPr>
              <w:t xml:space="preserve"> </w:t>
            </w:r>
            <w:r>
              <w:rPr>
                <w:spacing w:val="-7"/>
                <w:sz w:val="11"/>
                <w:szCs w:val="11"/>
              </w:rPr>
              <w:t>层</w:t>
            </w:r>
          </w:p>
        </w:tc>
        <w:tc>
          <w:tcPr>
            <w:tcW w:w="770" w:type="dxa"/>
            <w:vAlign w:val="top"/>
          </w:tcPr>
          <w:p>
            <w:pPr>
              <w:pStyle w:val="TableText"/>
              <w:spacing w:before="147" w:line="250" w:lineRule="exact"/>
              <w:ind w:left="152"/>
              <w:rPr>
                <w:sz w:val="11"/>
                <w:szCs w:val="11"/>
              </w:rPr>
            </w:pPr>
            <w:r>
              <w:rPr>
                <w:spacing w:val="-1"/>
                <w:position w:val="11"/>
                <w:sz w:val="11"/>
                <w:szCs w:val="11"/>
              </w:rPr>
              <w:t>地上14层</w:t>
            </w:r>
          </w:p>
          <w:p>
            <w:pPr>
              <w:pStyle w:val="TableText"/>
              <w:spacing w:line="219" w:lineRule="auto"/>
              <w:ind w:left="132"/>
              <w:rPr>
                <w:sz w:val="11"/>
                <w:szCs w:val="11"/>
              </w:rPr>
            </w:pPr>
            <w:r>
              <w:rPr>
                <w:spacing w:val="-7"/>
                <w:sz w:val="11"/>
                <w:szCs w:val="11"/>
              </w:rPr>
              <w:t>地</w:t>
            </w:r>
            <w:r>
              <w:rPr>
                <w:spacing w:val="-10"/>
                <w:sz w:val="11"/>
                <w:szCs w:val="11"/>
              </w:rPr>
              <w:t xml:space="preserve"> </w:t>
            </w:r>
            <w:r>
              <w:rPr>
                <w:spacing w:val="-7"/>
                <w:sz w:val="11"/>
                <w:szCs w:val="11"/>
              </w:rPr>
              <w:t>下 1</w:t>
            </w:r>
            <w:r>
              <w:rPr>
                <w:spacing w:val="-16"/>
                <w:sz w:val="11"/>
                <w:szCs w:val="11"/>
              </w:rPr>
              <w:t xml:space="preserve"> </w:t>
            </w:r>
            <w:r>
              <w:rPr>
                <w:spacing w:val="-7"/>
                <w:sz w:val="11"/>
                <w:szCs w:val="11"/>
              </w:rPr>
              <w:t>层</w:t>
            </w:r>
          </w:p>
        </w:tc>
        <w:tc>
          <w:tcPr>
            <w:tcW w:w="829" w:type="dxa"/>
            <w:vAlign w:val="top"/>
          </w:tcPr>
          <w:p>
            <w:pPr>
              <w:pStyle w:val="TableText"/>
              <w:spacing w:before="147" w:line="250" w:lineRule="exact"/>
              <w:ind w:left="182"/>
              <w:rPr>
                <w:sz w:val="11"/>
                <w:szCs w:val="11"/>
              </w:rPr>
            </w:pPr>
            <w:r>
              <w:rPr>
                <w:spacing w:val="-1"/>
                <w:position w:val="11"/>
                <w:sz w:val="11"/>
                <w:szCs w:val="11"/>
              </w:rPr>
              <w:t>地上18层</w:t>
            </w:r>
          </w:p>
          <w:p>
            <w:pPr>
              <w:pStyle w:val="TableText"/>
              <w:spacing w:line="219" w:lineRule="auto"/>
              <w:ind w:left="212"/>
              <w:rPr>
                <w:sz w:val="11"/>
                <w:szCs w:val="11"/>
              </w:rPr>
            </w:pPr>
            <w:r>
              <w:rPr>
                <w:spacing w:val="-1"/>
                <w:sz w:val="11"/>
                <w:szCs w:val="11"/>
              </w:rPr>
              <w:t>地下1层</w:t>
            </w:r>
          </w:p>
        </w:tc>
        <w:tc>
          <w:tcPr>
            <w:tcW w:w="879" w:type="dxa"/>
            <w:vAlign w:val="top"/>
          </w:tcPr>
          <w:p>
            <w:pPr>
              <w:pStyle w:val="TableText"/>
              <w:spacing w:before="147" w:line="250" w:lineRule="exact"/>
              <w:ind w:left="213"/>
              <w:rPr>
                <w:sz w:val="11"/>
                <w:szCs w:val="11"/>
              </w:rPr>
            </w:pPr>
            <w:r>
              <w:rPr>
                <w:spacing w:val="-1"/>
                <w:position w:val="11"/>
                <w:sz w:val="11"/>
                <w:szCs w:val="11"/>
              </w:rPr>
              <w:t>地上15层</w:t>
            </w:r>
          </w:p>
          <w:p>
            <w:pPr>
              <w:pStyle w:val="TableText"/>
              <w:spacing w:line="219" w:lineRule="auto"/>
              <w:ind w:left="233"/>
              <w:rPr>
                <w:sz w:val="11"/>
                <w:szCs w:val="11"/>
              </w:rPr>
            </w:pPr>
            <w:r>
              <w:rPr>
                <w:spacing w:val="-1"/>
                <w:sz w:val="11"/>
                <w:szCs w:val="11"/>
              </w:rPr>
              <w:t>地下1层</w:t>
            </w:r>
          </w:p>
        </w:tc>
        <w:tc>
          <w:tcPr>
            <w:tcW w:w="809" w:type="dxa"/>
            <w:vAlign w:val="top"/>
          </w:tcPr>
          <w:p>
            <w:pPr>
              <w:pStyle w:val="TableText"/>
              <w:spacing w:before="147" w:line="250" w:lineRule="exact"/>
              <w:ind w:left="174"/>
              <w:rPr>
                <w:sz w:val="11"/>
                <w:szCs w:val="11"/>
              </w:rPr>
            </w:pPr>
            <w:r>
              <w:rPr>
                <w:spacing w:val="-1"/>
                <w:position w:val="11"/>
                <w:sz w:val="11"/>
                <w:szCs w:val="11"/>
              </w:rPr>
              <w:t>地上15层</w:t>
            </w:r>
          </w:p>
          <w:p>
            <w:pPr>
              <w:pStyle w:val="TableText"/>
              <w:spacing w:line="219" w:lineRule="auto"/>
              <w:ind w:left="203"/>
              <w:rPr>
                <w:sz w:val="11"/>
                <w:szCs w:val="11"/>
              </w:rPr>
            </w:pPr>
            <w:r>
              <w:rPr>
                <w:spacing w:val="-1"/>
                <w:sz w:val="11"/>
                <w:szCs w:val="11"/>
              </w:rPr>
              <w:t>地下1层</w:t>
            </w:r>
          </w:p>
        </w:tc>
        <w:tc>
          <w:tcPr>
            <w:tcW w:w="769" w:type="dxa"/>
            <w:vAlign w:val="top"/>
          </w:tcPr>
          <w:p>
            <w:pPr>
              <w:pStyle w:val="TableText"/>
              <w:spacing w:before="147" w:line="250" w:lineRule="exact"/>
              <w:ind w:left="155"/>
              <w:rPr>
                <w:sz w:val="11"/>
                <w:szCs w:val="11"/>
              </w:rPr>
            </w:pPr>
            <w:r>
              <w:rPr>
                <w:spacing w:val="-1"/>
                <w:position w:val="11"/>
                <w:sz w:val="11"/>
                <w:szCs w:val="11"/>
              </w:rPr>
              <w:t>地上18层</w:t>
            </w:r>
          </w:p>
          <w:p>
            <w:pPr>
              <w:pStyle w:val="TableText"/>
              <w:spacing w:line="219" w:lineRule="auto"/>
              <w:ind w:left="135"/>
              <w:rPr>
                <w:sz w:val="11"/>
                <w:szCs w:val="11"/>
              </w:rPr>
            </w:pPr>
            <w:r>
              <w:rPr>
                <w:spacing w:val="-7"/>
                <w:sz w:val="11"/>
                <w:szCs w:val="11"/>
              </w:rPr>
              <w:t>地</w:t>
            </w:r>
            <w:r>
              <w:rPr>
                <w:spacing w:val="-10"/>
                <w:sz w:val="11"/>
                <w:szCs w:val="11"/>
              </w:rPr>
              <w:t xml:space="preserve"> </w:t>
            </w:r>
            <w:r>
              <w:rPr>
                <w:spacing w:val="-7"/>
                <w:sz w:val="11"/>
                <w:szCs w:val="11"/>
              </w:rPr>
              <w:t>下 1</w:t>
            </w:r>
            <w:r>
              <w:rPr>
                <w:spacing w:val="-16"/>
                <w:sz w:val="11"/>
                <w:szCs w:val="11"/>
              </w:rPr>
              <w:t xml:space="preserve"> </w:t>
            </w:r>
            <w:r>
              <w:rPr>
                <w:spacing w:val="-7"/>
                <w:sz w:val="11"/>
                <w:szCs w:val="11"/>
              </w:rPr>
              <w:t>层</w:t>
            </w:r>
          </w:p>
        </w:tc>
        <w:tc>
          <w:tcPr>
            <w:tcW w:w="899" w:type="dxa"/>
            <w:vAlign w:val="top"/>
          </w:tcPr>
          <w:p>
            <w:pPr>
              <w:pStyle w:val="TableText"/>
              <w:spacing w:before="147" w:line="250" w:lineRule="exact"/>
              <w:ind w:left="226"/>
              <w:rPr>
                <w:sz w:val="11"/>
                <w:szCs w:val="11"/>
              </w:rPr>
            </w:pPr>
            <w:r>
              <w:rPr>
                <w:spacing w:val="-1"/>
                <w:position w:val="11"/>
                <w:sz w:val="11"/>
                <w:szCs w:val="11"/>
              </w:rPr>
              <w:t>地上15层</w:t>
            </w:r>
          </w:p>
          <w:p>
            <w:pPr>
              <w:pStyle w:val="TableText"/>
              <w:spacing w:line="219" w:lineRule="auto"/>
              <w:ind w:left="206"/>
              <w:rPr>
                <w:sz w:val="11"/>
                <w:szCs w:val="11"/>
              </w:rPr>
            </w:pPr>
            <w:r>
              <w:rPr>
                <w:spacing w:val="-7"/>
                <w:sz w:val="11"/>
                <w:szCs w:val="11"/>
              </w:rPr>
              <w:t>地</w:t>
            </w:r>
            <w:r>
              <w:rPr>
                <w:spacing w:val="-10"/>
                <w:sz w:val="11"/>
                <w:szCs w:val="11"/>
              </w:rPr>
              <w:t xml:space="preserve"> </w:t>
            </w:r>
            <w:r>
              <w:rPr>
                <w:spacing w:val="-7"/>
                <w:sz w:val="11"/>
                <w:szCs w:val="11"/>
              </w:rPr>
              <w:t>下 1</w:t>
            </w:r>
            <w:r>
              <w:rPr>
                <w:spacing w:val="-16"/>
                <w:sz w:val="11"/>
                <w:szCs w:val="11"/>
              </w:rPr>
              <w:t xml:space="preserve"> </w:t>
            </w:r>
            <w:r>
              <w:rPr>
                <w:spacing w:val="-7"/>
                <w:sz w:val="11"/>
                <w:szCs w:val="11"/>
              </w:rPr>
              <w:t>层</w:t>
            </w:r>
          </w:p>
        </w:tc>
        <w:tc>
          <w:tcPr>
            <w:tcW w:w="859" w:type="dxa"/>
            <w:vAlign w:val="top"/>
          </w:tcPr>
          <w:p>
            <w:pPr>
              <w:pStyle w:val="TableText"/>
              <w:spacing w:before="147" w:line="250" w:lineRule="exact"/>
              <w:ind w:left="206"/>
              <w:rPr>
                <w:sz w:val="11"/>
                <w:szCs w:val="11"/>
              </w:rPr>
            </w:pPr>
            <w:r>
              <w:rPr>
                <w:spacing w:val="-1"/>
                <w:position w:val="11"/>
                <w:sz w:val="11"/>
                <w:szCs w:val="11"/>
              </w:rPr>
              <w:t>地上18层</w:t>
            </w:r>
          </w:p>
          <w:p>
            <w:pPr>
              <w:pStyle w:val="TableText"/>
              <w:spacing w:line="219" w:lineRule="auto"/>
              <w:ind w:left="186"/>
              <w:rPr>
                <w:sz w:val="11"/>
                <w:szCs w:val="11"/>
              </w:rPr>
            </w:pPr>
            <w:r>
              <w:rPr>
                <w:spacing w:val="-7"/>
                <w:sz w:val="11"/>
                <w:szCs w:val="11"/>
              </w:rPr>
              <w:t>地</w:t>
            </w:r>
            <w:r>
              <w:rPr>
                <w:spacing w:val="-10"/>
                <w:sz w:val="11"/>
                <w:szCs w:val="11"/>
              </w:rPr>
              <w:t xml:space="preserve"> </w:t>
            </w:r>
            <w:r>
              <w:rPr>
                <w:spacing w:val="-7"/>
                <w:sz w:val="11"/>
                <w:szCs w:val="11"/>
              </w:rPr>
              <w:t>下 1</w:t>
            </w:r>
            <w:r>
              <w:rPr>
                <w:spacing w:val="-16"/>
                <w:sz w:val="11"/>
                <w:szCs w:val="11"/>
              </w:rPr>
              <w:t xml:space="preserve"> </w:t>
            </w:r>
            <w:r>
              <w:rPr>
                <w:spacing w:val="-7"/>
                <w:sz w:val="11"/>
                <w:szCs w:val="11"/>
              </w:rPr>
              <w:t>层</w:t>
            </w:r>
          </w:p>
        </w:tc>
        <w:tc>
          <w:tcPr>
            <w:tcW w:w="789" w:type="dxa"/>
            <w:vAlign w:val="top"/>
          </w:tcPr>
          <w:p>
            <w:pPr>
              <w:pStyle w:val="TableText"/>
              <w:spacing w:before="147" w:line="250" w:lineRule="exact"/>
              <w:ind w:left="167"/>
              <w:rPr>
                <w:sz w:val="11"/>
                <w:szCs w:val="11"/>
              </w:rPr>
            </w:pPr>
            <w:r>
              <w:rPr>
                <w:spacing w:val="-1"/>
                <w:position w:val="11"/>
                <w:sz w:val="11"/>
                <w:szCs w:val="11"/>
              </w:rPr>
              <w:t>地上18层</w:t>
            </w:r>
          </w:p>
          <w:p>
            <w:pPr>
              <w:pStyle w:val="TableText"/>
              <w:spacing w:line="219" w:lineRule="auto"/>
              <w:ind w:left="198"/>
              <w:rPr>
                <w:sz w:val="11"/>
                <w:szCs w:val="11"/>
              </w:rPr>
            </w:pPr>
            <w:r>
              <w:rPr>
                <w:spacing w:val="-1"/>
                <w:sz w:val="11"/>
                <w:szCs w:val="11"/>
              </w:rPr>
              <w:t>地下1层</w:t>
            </w:r>
          </w:p>
        </w:tc>
        <w:tc>
          <w:tcPr>
            <w:tcW w:w="934" w:type="dxa"/>
            <w:vAlign w:val="top"/>
          </w:tcPr>
          <w:p>
            <w:pPr>
              <w:pStyle w:val="TableText"/>
              <w:spacing w:before="147" w:line="250" w:lineRule="exact"/>
              <w:ind w:left="239"/>
              <w:rPr>
                <w:sz w:val="11"/>
                <w:szCs w:val="11"/>
              </w:rPr>
            </w:pPr>
            <w:r>
              <w:rPr>
                <w:spacing w:val="-1"/>
                <w:position w:val="11"/>
                <w:sz w:val="11"/>
                <w:szCs w:val="11"/>
              </w:rPr>
              <w:t>地上14层</w:t>
            </w:r>
          </w:p>
          <w:p>
            <w:pPr>
              <w:pStyle w:val="TableText"/>
              <w:spacing w:line="219" w:lineRule="auto"/>
              <w:ind w:left="219"/>
              <w:rPr>
                <w:sz w:val="11"/>
                <w:szCs w:val="11"/>
              </w:rPr>
            </w:pPr>
            <w:r>
              <w:rPr>
                <w:spacing w:val="-7"/>
                <w:sz w:val="11"/>
                <w:szCs w:val="11"/>
              </w:rPr>
              <w:t>地</w:t>
            </w:r>
            <w:r>
              <w:rPr>
                <w:spacing w:val="-10"/>
                <w:sz w:val="11"/>
                <w:szCs w:val="11"/>
              </w:rPr>
              <w:t xml:space="preserve"> </w:t>
            </w:r>
            <w:r>
              <w:rPr>
                <w:spacing w:val="-7"/>
                <w:sz w:val="11"/>
                <w:szCs w:val="11"/>
              </w:rPr>
              <w:t>下 1</w:t>
            </w:r>
            <w:r>
              <w:rPr>
                <w:spacing w:val="-16"/>
                <w:sz w:val="11"/>
                <w:szCs w:val="11"/>
              </w:rPr>
              <w:t xml:space="preserve"> </w:t>
            </w:r>
            <w:r>
              <w:rPr>
                <w:spacing w:val="-7"/>
                <w:sz w:val="11"/>
                <w:szCs w:val="11"/>
              </w:rPr>
              <w:t>层</w:t>
            </w:r>
          </w:p>
        </w:tc>
      </w:tr>
      <w:tr>
        <w:tblPrEx>
          <w:tblW w:w="9120" w:type="dxa"/>
          <w:tblInd w:w="5" w:type="dxa"/>
          <w:tblLayout w:type="fixed"/>
        </w:tblPrEx>
        <w:trPr>
          <w:trHeight w:val="559"/>
        </w:trPr>
        <w:tc>
          <w:tcPr>
            <w:tcW w:w="954" w:type="dxa"/>
            <w:vAlign w:val="top"/>
          </w:tcPr>
          <w:p>
            <w:pPr>
              <w:spacing w:line="261" w:lineRule="auto"/>
              <w:rPr>
                <w:rFonts w:ascii="Arial"/>
                <w:sz w:val="21"/>
              </w:rPr>
            </w:pPr>
          </w:p>
          <w:p>
            <w:pPr>
              <w:pStyle w:val="TableText"/>
              <w:spacing w:before="35" w:line="219" w:lineRule="auto"/>
              <w:ind w:left="135"/>
              <w:rPr>
                <w:sz w:val="11"/>
                <w:szCs w:val="11"/>
              </w:rPr>
            </w:pPr>
            <w:r>
              <w:rPr>
                <w:spacing w:val="-1"/>
                <w:sz w:val="11"/>
                <w:szCs w:val="11"/>
              </w:rPr>
              <w:t>设计使用年限</w:t>
            </w:r>
          </w:p>
        </w:tc>
        <w:tc>
          <w:tcPr>
            <w:tcW w:w="629" w:type="dxa"/>
            <w:vAlign w:val="top"/>
          </w:tcPr>
          <w:p>
            <w:pPr>
              <w:pStyle w:val="TableText"/>
              <w:spacing w:before="260" w:line="219" w:lineRule="auto"/>
              <w:ind w:left="151"/>
            </w:pPr>
            <w:r>
              <w:rPr>
                <w:spacing w:val="-2"/>
              </w:rPr>
              <w:t>50年</w:t>
            </w:r>
          </w:p>
        </w:tc>
        <w:tc>
          <w:tcPr>
            <w:tcW w:w="770" w:type="dxa"/>
            <w:vAlign w:val="top"/>
          </w:tcPr>
          <w:p>
            <w:pPr>
              <w:pStyle w:val="TableText"/>
              <w:spacing w:before="260" w:line="219" w:lineRule="auto"/>
              <w:ind w:left="222"/>
            </w:pPr>
            <w:r>
              <w:rPr>
                <w:spacing w:val="-2"/>
              </w:rPr>
              <w:t>50年</w:t>
            </w:r>
          </w:p>
        </w:tc>
        <w:tc>
          <w:tcPr>
            <w:tcW w:w="829" w:type="dxa"/>
            <w:vAlign w:val="top"/>
          </w:tcPr>
          <w:p>
            <w:pPr>
              <w:pStyle w:val="TableText"/>
              <w:spacing w:before="260" w:line="219" w:lineRule="auto"/>
              <w:ind w:left="252"/>
            </w:pPr>
            <w:r>
              <w:rPr>
                <w:spacing w:val="-2"/>
              </w:rPr>
              <w:t>50年</w:t>
            </w:r>
          </w:p>
        </w:tc>
        <w:tc>
          <w:tcPr>
            <w:tcW w:w="879" w:type="dxa"/>
            <w:vAlign w:val="top"/>
          </w:tcPr>
          <w:p>
            <w:pPr>
              <w:pStyle w:val="TableText"/>
              <w:spacing w:before="260" w:line="219" w:lineRule="auto"/>
              <w:ind w:left="282"/>
            </w:pPr>
            <w:r>
              <w:rPr>
                <w:spacing w:val="-2"/>
              </w:rPr>
              <w:t>50年</w:t>
            </w:r>
          </w:p>
        </w:tc>
        <w:tc>
          <w:tcPr>
            <w:tcW w:w="809" w:type="dxa"/>
            <w:vAlign w:val="top"/>
          </w:tcPr>
          <w:p>
            <w:pPr>
              <w:pStyle w:val="TableText"/>
              <w:spacing w:before="260" w:line="219" w:lineRule="auto"/>
              <w:ind w:left="243"/>
            </w:pPr>
            <w:r>
              <w:rPr>
                <w:spacing w:val="-2"/>
              </w:rPr>
              <w:t>50年</w:t>
            </w:r>
          </w:p>
        </w:tc>
        <w:tc>
          <w:tcPr>
            <w:tcW w:w="769" w:type="dxa"/>
            <w:vAlign w:val="top"/>
          </w:tcPr>
          <w:p>
            <w:pPr>
              <w:pStyle w:val="TableText"/>
              <w:spacing w:before="260" w:line="219" w:lineRule="auto"/>
              <w:ind w:left="224"/>
            </w:pPr>
            <w:r>
              <w:rPr>
                <w:spacing w:val="-2"/>
              </w:rPr>
              <w:t>50年</w:t>
            </w:r>
          </w:p>
        </w:tc>
        <w:tc>
          <w:tcPr>
            <w:tcW w:w="899" w:type="dxa"/>
            <w:vAlign w:val="top"/>
          </w:tcPr>
          <w:p>
            <w:pPr>
              <w:pStyle w:val="TableText"/>
              <w:spacing w:before="260" w:line="219" w:lineRule="auto"/>
              <w:ind w:left="295"/>
            </w:pPr>
            <w:r>
              <w:rPr>
                <w:spacing w:val="-2"/>
              </w:rPr>
              <w:t>50年</w:t>
            </w:r>
          </w:p>
        </w:tc>
        <w:tc>
          <w:tcPr>
            <w:tcW w:w="859" w:type="dxa"/>
            <w:vAlign w:val="top"/>
          </w:tcPr>
          <w:p>
            <w:pPr>
              <w:pStyle w:val="TableText"/>
              <w:spacing w:before="260" w:line="219" w:lineRule="auto"/>
              <w:ind w:left="277"/>
            </w:pPr>
            <w:r>
              <w:rPr>
                <w:spacing w:val="-2"/>
              </w:rPr>
              <w:t>50年</w:t>
            </w:r>
          </w:p>
        </w:tc>
        <w:tc>
          <w:tcPr>
            <w:tcW w:w="789" w:type="dxa"/>
            <w:vAlign w:val="top"/>
          </w:tcPr>
          <w:p>
            <w:pPr>
              <w:pStyle w:val="TableText"/>
              <w:spacing w:before="260" w:line="219" w:lineRule="auto"/>
              <w:ind w:left="238"/>
            </w:pPr>
            <w:r>
              <w:rPr>
                <w:spacing w:val="-2"/>
              </w:rPr>
              <w:t>50年</w:t>
            </w:r>
          </w:p>
        </w:tc>
        <w:tc>
          <w:tcPr>
            <w:tcW w:w="934" w:type="dxa"/>
            <w:vAlign w:val="top"/>
          </w:tcPr>
          <w:p>
            <w:pPr>
              <w:pStyle w:val="TableText"/>
              <w:spacing w:before="260" w:line="219" w:lineRule="auto"/>
              <w:ind w:left="309"/>
            </w:pPr>
            <w:r>
              <w:rPr>
                <w:spacing w:val="-2"/>
              </w:rPr>
              <w:t>50年</w:t>
            </w:r>
          </w:p>
        </w:tc>
      </w:tr>
      <w:tr>
        <w:tblPrEx>
          <w:tblW w:w="9120" w:type="dxa"/>
          <w:tblInd w:w="5" w:type="dxa"/>
          <w:tblLayout w:type="fixed"/>
        </w:tblPrEx>
        <w:trPr>
          <w:trHeight w:val="559"/>
        </w:trPr>
        <w:tc>
          <w:tcPr>
            <w:tcW w:w="954" w:type="dxa"/>
            <w:vAlign w:val="top"/>
          </w:tcPr>
          <w:p>
            <w:pPr>
              <w:spacing w:line="252" w:lineRule="auto"/>
              <w:rPr>
                <w:rFonts w:ascii="Arial"/>
                <w:sz w:val="21"/>
              </w:rPr>
            </w:pPr>
          </w:p>
          <w:p>
            <w:pPr>
              <w:pStyle w:val="TableText"/>
              <w:spacing w:before="35" w:line="219" w:lineRule="auto"/>
              <w:ind w:left="135"/>
              <w:rPr>
                <w:sz w:val="11"/>
                <w:szCs w:val="11"/>
              </w:rPr>
            </w:pPr>
            <w:r>
              <w:rPr>
                <w:spacing w:val="-1"/>
                <w:sz w:val="11"/>
                <w:szCs w:val="11"/>
              </w:rPr>
              <w:t>建筑防火分类</w:t>
            </w:r>
          </w:p>
        </w:tc>
        <w:tc>
          <w:tcPr>
            <w:tcW w:w="629" w:type="dxa"/>
            <w:vAlign w:val="top"/>
          </w:tcPr>
          <w:p>
            <w:pPr>
              <w:pStyle w:val="TableText"/>
              <w:spacing w:before="271" w:line="219" w:lineRule="auto"/>
              <w:ind w:left="151"/>
            </w:pPr>
            <w:r>
              <w:rPr>
                <w:spacing w:val="-3"/>
              </w:rPr>
              <w:t>二类</w:t>
            </w:r>
          </w:p>
        </w:tc>
        <w:tc>
          <w:tcPr>
            <w:tcW w:w="770" w:type="dxa"/>
            <w:vAlign w:val="top"/>
          </w:tcPr>
          <w:p>
            <w:pPr>
              <w:pStyle w:val="TableText"/>
              <w:spacing w:before="271" w:line="219" w:lineRule="auto"/>
              <w:ind w:left="222"/>
            </w:pPr>
            <w:r>
              <w:rPr>
                <w:spacing w:val="-3"/>
              </w:rPr>
              <w:t>二类</w:t>
            </w:r>
          </w:p>
        </w:tc>
        <w:tc>
          <w:tcPr>
            <w:tcW w:w="829" w:type="dxa"/>
            <w:vAlign w:val="top"/>
          </w:tcPr>
          <w:p>
            <w:pPr>
              <w:pStyle w:val="TableText"/>
              <w:spacing w:before="271" w:line="219" w:lineRule="auto"/>
              <w:ind w:left="252"/>
            </w:pPr>
            <w:r>
              <w:rPr>
                <w:spacing w:val="-3"/>
              </w:rPr>
              <w:t>二类</w:t>
            </w:r>
          </w:p>
        </w:tc>
        <w:tc>
          <w:tcPr>
            <w:tcW w:w="879" w:type="dxa"/>
            <w:vAlign w:val="top"/>
          </w:tcPr>
          <w:p>
            <w:pPr>
              <w:pStyle w:val="TableText"/>
              <w:spacing w:before="271" w:line="219" w:lineRule="auto"/>
              <w:ind w:left="282"/>
            </w:pPr>
            <w:r>
              <w:rPr>
                <w:spacing w:val="-3"/>
              </w:rPr>
              <w:t>二类</w:t>
            </w:r>
          </w:p>
        </w:tc>
        <w:tc>
          <w:tcPr>
            <w:tcW w:w="809" w:type="dxa"/>
            <w:vAlign w:val="top"/>
          </w:tcPr>
          <w:p>
            <w:pPr>
              <w:pStyle w:val="TableText"/>
              <w:spacing w:before="271" w:line="219" w:lineRule="auto"/>
              <w:ind w:left="243"/>
            </w:pPr>
            <w:r>
              <w:rPr>
                <w:spacing w:val="-3"/>
              </w:rPr>
              <w:t>二类</w:t>
            </w:r>
          </w:p>
        </w:tc>
        <w:tc>
          <w:tcPr>
            <w:tcW w:w="769" w:type="dxa"/>
            <w:vAlign w:val="top"/>
          </w:tcPr>
          <w:p>
            <w:pPr>
              <w:pStyle w:val="TableText"/>
              <w:spacing w:before="271" w:line="219" w:lineRule="auto"/>
              <w:ind w:left="224"/>
            </w:pPr>
            <w:r>
              <w:rPr>
                <w:spacing w:val="-3"/>
              </w:rPr>
              <w:t>二类</w:t>
            </w:r>
          </w:p>
        </w:tc>
        <w:tc>
          <w:tcPr>
            <w:tcW w:w="899" w:type="dxa"/>
            <w:vAlign w:val="top"/>
          </w:tcPr>
          <w:p>
            <w:pPr>
              <w:pStyle w:val="TableText"/>
              <w:spacing w:before="271" w:line="219" w:lineRule="auto"/>
              <w:ind w:left="295"/>
            </w:pPr>
            <w:r>
              <w:rPr>
                <w:spacing w:val="-3"/>
              </w:rPr>
              <w:t>二类</w:t>
            </w:r>
          </w:p>
        </w:tc>
        <w:tc>
          <w:tcPr>
            <w:tcW w:w="859" w:type="dxa"/>
            <w:vAlign w:val="top"/>
          </w:tcPr>
          <w:p>
            <w:pPr>
              <w:pStyle w:val="TableText"/>
              <w:spacing w:before="271" w:line="219" w:lineRule="auto"/>
              <w:ind w:left="277"/>
            </w:pPr>
            <w:r>
              <w:rPr>
                <w:spacing w:val="-3"/>
              </w:rPr>
              <w:t>二类</w:t>
            </w:r>
          </w:p>
        </w:tc>
        <w:tc>
          <w:tcPr>
            <w:tcW w:w="789" w:type="dxa"/>
            <w:vAlign w:val="top"/>
          </w:tcPr>
          <w:p>
            <w:pPr>
              <w:pStyle w:val="TableText"/>
              <w:spacing w:before="271" w:line="219" w:lineRule="auto"/>
              <w:ind w:left="238"/>
            </w:pPr>
            <w:r>
              <w:rPr>
                <w:spacing w:val="-3"/>
              </w:rPr>
              <w:t>二类</w:t>
            </w:r>
          </w:p>
        </w:tc>
        <w:tc>
          <w:tcPr>
            <w:tcW w:w="934" w:type="dxa"/>
            <w:vAlign w:val="top"/>
          </w:tcPr>
          <w:p>
            <w:pPr>
              <w:pStyle w:val="TableText"/>
              <w:spacing w:before="261" w:line="219" w:lineRule="auto"/>
              <w:ind w:left="309"/>
            </w:pPr>
            <w:r>
              <w:rPr>
                <w:spacing w:val="-3"/>
              </w:rPr>
              <w:t>二类</w:t>
            </w:r>
          </w:p>
        </w:tc>
      </w:tr>
      <w:tr>
        <w:tblPrEx>
          <w:tblW w:w="9120" w:type="dxa"/>
          <w:tblInd w:w="5" w:type="dxa"/>
          <w:tblLayout w:type="fixed"/>
        </w:tblPrEx>
        <w:trPr>
          <w:trHeight w:val="559"/>
        </w:trPr>
        <w:tc>
          <w:tcPr>
            <w:tcW w:w="954" w:type="dxa"/>
            <w:vAlign w:val="top"/>
          </w:tcPr>
          <w:p>
            <w:pPr>
              <w:spacing w:line="263" w:lineRule="auto"/>
              <w:rPr>
                <w:rFonts w:ascii="Arial"/>
                <w:sz w:val="21"/>
              </w:rPr>
            </w:pPr>
          </w:p>
          <w:p>
            <w:pPr>
              <w:pStyle w:val="TableText"/>
              <w:spacing w:before="36" w:line="219" w:lineRule="auto"/>
              <w:ind w:left="244"/>
              <w:rPr>
                <w:sz w:val="11"/>
                <w:szCs w:val="11"/>
              </w:rPr>
            </w:pPr>
            <w:r>
              <w:rPr>
                <w:spacing w:val="-2"/>
                <w:sz w:val="11"/>
                <w:szCs w:val="11"/>
              </w:rPr>
              <w:t>耐火等规</w:t>
            </w:r>
          </w:p>
        </w:tc>
        <w:tc>
          <w:tcPr>
            <w:tcW w:w="629" w:type="dxa"/>
            <w:vAlign w:val="top"/>
          </w:tcPr>
          <w:p>
            <w:pPr>
              <w:pStyle w:val="TableText"/>
              <w:spacing w:before="134" w:line="255" w:lineRule="auto"/>
              <w:ind w:left="41" w:right="58"/>
            </w:pPr>
            <w:r>
              <w:rPr>
                <w:spacing w:val="-2"/>
              </w:rPr>
              <w:t>地上2级</w:t>
            </w:r>
            <w:r>
              <w:rPr>
                <w:spacing w:val="1"/>
              </w:rPr>
              <w:t xml:space="preserve"> </w:t>
            </w:r>
            <w:r>
              <w:rPr>
                <w:spacing w:val="-2"/>
              </w:rPr>
              <w:t>地下1级</w:t>
            </w:r>
          </w:p>
        </w:tc>
        <w:tc>
          <w:tcPr>
            <w:tcW w:w="770" w:type="dxa"/>
            <w:vAlign w:val="top"/>
          </w:tcPr>
          <w:p>
            <w:pPr>
              <w:pStyle w:val="TableText"/>
              <w:spacing w:before="134" w:line="255" w:lineRule="auto"/>
              <w:ind w:left="112" w:right="128"/>
            </w:pPr>
            <w:r>
              <w:rPr>
                <w:spacing w:val="-2"/>
              </w:rPr>
              <w:t>地上2级</w:t>
            </w:r>
            <w:r>
              <w:rPr>
                <w:spacing w:val="1"/>
              </w:rPr>
              <w:t xml:space="preserve"> </w:t>
            </w:r>
            <w:r>
              <w:rPr>
                <w:spacing w:val="-2"/>
              </w:rPr>
              <w:t>地下1级</w:t>
            </w:r>
          </w:p>
        </w:tc>
        <w:tc>
          <w:tcPr>
            <w:tcW w:w="829" w:type="dxa"/>
            <w:vAlign w:val="top"/>
          </w:tcPr>
          <w:p>
            <w:pPr>
              <w:pStyle w:val="TableText"/>
              <w:spacing w:before="134" w:line="255" w:lineRule="auto"/>
              <w:ind w:left="142" w:right="157"/>
            </w:pPr>
            <w:r>
              <w:rPr>
                <w:spacing w:val="-2"/>
              </w:rPr>
              <w:t>地上2级</w:t>
            </w:r>
            <w:r>
              <w:rPr>
                <w:spacing w:val="1"/>
              </w:rPr>
              <w:t xml:space="preserve"> </w:t>
            </w:r>
            <w:r>
              <w:rPr>
                <w:spacing w:val="-2"/>
              </w:rPr>
              <w:t>地下1级</w:t>
            </w:r>
          </w:p>
        </w:tc>
        <w:tc>
          <w:tcPr>
            <w:tcW w:w="879" w:type="dxa"/>
            <w:vAlign w:val="top"/>
          </w:tcPr>
          <w:p>
            <w:pPr>
              <w:pStyle w:val="TableText"/>
              <w:spacing w:before="134" w:line="255" w:lineRule="auto"/>
              <w:ind w:left="163" w:right="166"/>
            </w:pPr>
            <w:r>
              <w:rPr>
                <w:spacing w:val="3"/>
              </w:rPr>
              <w:t>地上2级</w:t>
            </w:r>
            <w:r>
              <w:rPr>
                <w:spacing w:val="1"/>
              </w:rPr>
              <w:t xml:space="preserve"> </w:t>
            </w:r>
            <w:r>
              <w:rPr>
                <w:spacing w:val="3"/>
              </w:rPr>
              <w:t>地下1级</w:t>
            </w:r>
          </w:p>
        </w:tc>
        <w:tc>
          <w:tcPr>
            <w:tcW w:w="809" w:type="dxa"/>
            <w:vAlign w:val="top"/>
          </w:tcPr>
          <w:p>
            <w:pPr>
              <w:pStyle w:val="TableText"/>
              <w:spacing w:before="134" w:line="255" w:lineRule="auto"/>
              <w:ind w:left="134" w:right="145"/>
            </w:pPr>
            <w:r>
              <w:rPr>
                <w:spacing w:val="-2"/>
              </w:rPr>
              <w:t>地上2级</w:t>
            </w:r>
            <w:r>
              <w:rPr>
                <w:spacing w:val="1"/>
              </w:rPr>
              <w:t xml:space="preserve"> </w:t>
            </w:r>
            <w:r>
              <w:rPr>
                <w:spacing w:val="-2"/>
              </w:rPr>
              <w:t>地下1级</w:t>
            </w:r>
          </w:p>
        </w:tc>
        <w:tc>
          <w:tcPr>
            <w:tcW w:w="769" w:type="dxa"/>
            <w:vAlign w:val="top"/>
          </w:tcPr>
          <w:p>
            <w:pPr>
              <w:pStyle w:val="TableText"/>
              <w:spacing w:before="134" w:line="255" w:lineRule="auto"/>
              <w:ind w:left="65" w:right="64" w:firstLine="50"/>
            </w:pPr>
            <w:r>
              <w:rPr>
                <w:spacing w:val="-2"/>
              </w:rPr>
              <w:t>地上2级</w:t>
            </w:r>
            <w:r>
              <w:t xml:space="preserve">  </w:t>
            </w:r>
            <w:r>
              <w:rPr>
                <w:spacing w:val="-11"/>
              </w:rPr>
              <w:t>地</w:t>
            </w:r>
            <w:r>
              <w:rPr>
                <w:spacing w:val="-27"/>
              </w:rPr>
              <w:t xml:space="preserve"> </w:t>
            </w:r>
            <w:r>
              <w:rPr>
                <w:spacing w:val="-11"/>
              </w:rPr>
              <w:t>下</w:t>
            </w:r>
            <w:r>
              <w:rPr>
                <w:spacing w:val="-21"/>
              </w:rPr>
              <w:t xml:space="preserve"> </w:t>
            </w:r>
            <w:r>
              <w:rPr>
                <w:spacing w:val="-11"/>
              </w:rPr>
              <w:t>1</w:t>
            </w:r>
            <w:r>
              <w:rPr>
                <w:spacing w:val="-30"/>
              </w:rPr>
              <w:t xml:space="preserve"> </w:t>
            </w:r>
            <w:r>
              <w:rPr>
                <w:spacing w:val="-11"/>
              </w:rPr>
              <w:t>级</w:t>
            </w:r>
          </w:p>
        </w:tc>
        <w:tc>
          <w:tcPr>
            <w:tcW w:w="899" w:type="dxa"/>
            <w:vAlign w:val="top"/>
          </w:tcPr>
          <w:p>
            <w:pPr>
              <w:pStyle w:val="TableText"/>
              <w:spacing w:before="134" w:line="255" w:lineRule="auto"/>
              <w:ind w:left="176" w:right="173"/>
            </w:pPr>
            <w:r>
              <w:rPr>
                <w:spacing w:val="3"/>
              </w:rPr>
              <w:t>地上2级</w:t>
            </w:r>
            <w:r>
              <w:rPr>
                <w:spacing w:val="1"/>
              </w:rPr>
              <w:t xml:space="preserve"> </w:t>
            </w:r>
            <w:r>
              <w:rPr>
                <w:spacing w:val="3"/>
              </w:rPr>
              <w:t>地下1级</w:t>
            </w:r>
          </w:p>
        </w:tc>
        <w:tc>
          <w:tcPr>
            <w:tcW w:w="859" w:type="dxa"/>
            <w:vAlign w:val="top"/>
          </w:tcPr>
          <w:p>
            <w:pPr>
              <w:pStyle w:val="TableText"/>
              <w:spacing w:before="134" w:line="255" w:lineRule="auto"/>
              <w:ind w:left="156" w:right="152"/>
            </w:pPr>
            <w:r>
              <w:rPr>
                <w:spacing w:val="3"/>
              </w:rPr>
              <w:t>地上2级</w:t>
            </w:r>
            <w:r>
              <w:rPr>
                <w:spacing w:val="1"/>
              </w:rPr>
              <w:t xml:space="preserve"> </w:t>
            </w:r>
            <w:r>
              <w:rPr>
                <w:spacing w:val="3"/>
              </w:rPr>
              <w:t>地下1级</w:t>
            </w:r>
          </w:p>
        </w:tc>
        <w:tc>
          <w:tcPr>
            <w:tcW w:w="789" w:type="dxa"/>
            <w:vAlign w:val="top"/>
          </w:tcPr>
          <w:p>
            <w:pPr>
              <w:pStyle w:val="TableText"/>
              <w:spacing w:before="134" w:line="255" w:lineRule="auto"/>
              <w:ind w:left="127" w:right="131"/>
            </w:pPr>
            <w:r>
              <w:rPr>
                <w:spacing w:val="-2"/>
              </w:rPr>
              <w:t>地上2级</w:t>
            </w:r>
            <w:r>
              <w:rPr>
                <w:spacing w:val="1"/>
              </w:rPr>
              <w:t xml:space="preserve"> </w:t>
            </w:r>
            <w:r>
              <w:rPr>
                <w:spacing w:val="-2"/>
              </w:rPr>
              <w:t>地下1级</w:t>
            </w:r>
          </w:p>
        </w:tc>
        <w:tc>
          <w:tcPr>
            <w:tcW w:w="934" w:type="dxa"/>
            <w:vAlign w:val="top"/>
          </w:tcPr>
          <w:p>
            <w:pPr>
              <w:pStyle w:val="TableText"/>
              <w:spacing w:before="133" w:line="267" w:lineRule="exact"/>
              <w:ind w:left="198"/>
            </w:pPr>
            <w:r>
              <w:rPr>
                <w:spacing w:val="-2"/>
                <w:position w:val="9"/>
              </w:rPr>
              <w:t>地上2级</w:t>
            </w:r>
          </w:p>
          <w:p>
            <w:pPr>
              <w:pStyle w:val="TableText"/>
              <w:spacing w:line="182" w:lineRule="auto"/>
              <w:ind w:left="198"/>
            </w:pPr>
            <w:r>
              <w:rPr>
                <w:spacing w:val="-2"/>
              </w:rPr>
              <w:t>地下1级</w:t>
            </w:r>
          </w:p>
        </w:tc>
      </w:tr>
      <w:tr>
        <w:tblPrEx>
          <w:tblW w:w="9120" w:type="dxa"/>
          <w:tblInd w:w="5" w:type="dxa"/>
          <w:tblLayout w:type="fixed"/>
        </w:tblPrEx>
        <w:trPr>
          <w:trHeight w:val="558"/>
        </w:trPr>
        <w:tc>
          <w:tcPr>
            <w:tcW w:w="954" w:type="dxa"/>
            <w:vAlign w:val="top"/>
          </w:tcPr>
          <w:p>
            <w:pPr>
              <w:spacing w:line="254" w:lineRule="auto"/>
              <w:rPr>
                <w:rFonts w:ascii="Arial"/>
                <w:sz w:val="21"/>
              </w:rPr>
            </w:pPr>
          </w:p>
          <w:p>
            <w:pPr>
              <w:pStyle w:val="TableText"/>
              <w:spacing w:before="35" w:line="219" w:lineRule="auto"/>
              <w:ind w:left="135"/>
              <w:rPr>
                <w:sz w:val="11"/>
                <w:szCs w:val="11"/>
              </w:rPr>
            </w:pPr>
            <w:r>
              <w:rPr>
                <w:spacing w:val="-1"/>
                <w:sz w:val="11"/>
                <w:szCs w:val="11"/>
              </w:rPr>
              <w:t>抗震设防酸度</w:t>
            </w:r>
          </w:p>
        </w:tc>
        <w:tc>
          <w:tcPr>
            <w:tcW w:w="629" w:type="dxa"/>
            <w:vAlign w:val="top"/>
          </w:tcPr>
          <w:p>
            <w:pPr>
              <w:pStyle w:val="TableText"/>
              <w:spacing w:before="263" w:line="220" w:lineRule="auto"/>
              <w:ind w:left="191"/>
            </w:pPr>
            <w:r>
              <w:rPr>
                <w:spacing w:val="-2"/>
              </w:rPr>
              <w:t>6度</w:t>
            </w:r>
          </w:p>
        </w:tc>
        <w:tc>
          <w:tcPr>
            <w:tcW w:w="770" w:type="dxa"/>
            <w:vAlign w:val="top"/>
          </w:tcPr>
          <w:p>
            <w:pPr>
              <w:pStyle w:val="TableText"/>
              <w:spacing w:before="263" w:line="220" w:lineRule="auto"/>
              <w:ind w:left="261"/>
            </w:pPr>
            <w:r>
              <w:rPr>
                <w:spacing w:val="-2"/>
              </w:rPr>
              <w:t>6度</w:t>
            </w:r>
          </w:p>
        </w:tc>
        <w:tc>
          <w:tcPr>
            <w:tcW w:w="829" w:type="dxa"/>
            <w:vAlign w:val="top"/>
          </w:tcPr>
          <w:p>
            <w:pPr>
              <w:pStyle w:val="TableText"/>
              <w:spacing w:before="263" w:line="220" w:lineRule="auto"/>
              <w:ind w:left="291"/>
            </w:pPr>
            <w:r>
              <w:rPr>
                <w:spacing w:val="-2"/>
              </w:rPr>
              <w:t>6度</w:t>
            </w:r>
          </w:p>
        </w:tc>
        <w:tc>
          <w:tcPr>
            <w:tcW w:w="879" w:type="dxa"/>
            <w:vAlign w:val="top"/>
          </w:tcPr>
          <w:p>
            <w:pPr>
              <w:pStyle w:val="TableText"/>
              <w:spacing w:before="263" w:line="220" w:lineRule="auto"/>
              <w:ind w:left="312"/>
            </w:pPr>
            <w:r>
              <w:rPr>
                <w:spacing w:val="6"/>
              </w:rPr>
              <w:t>6度</w:t>
            </w:r>
          </w:p>
        </w:tc>
        <w:tc>
          <w:tcPr>
            <w:tcW w:w="809" w:type="dxa"/>
            <w:vAlign w:val="top"/>
          </w:tcPr>
          <w:p>
            <w:pPr>
              <w:pStyle w:val="TableText"/>
              <w:spacing w:before="263" w:line="220" w:lineRule="auto"/>
              <w:ind w:left="284"/>
            </w:pPr>
            <w:r>
              <w:rPr>
                <w:spacing w:val="-2"/>
              </w:rPr>
              <w:t>6度</w:t>
            </w:r>
          </w:p>
        </w:tc>
        <w:tc>
          <w:tcPr>
            <w:tcW w:w="769" w:type="dxa"/>
            <w:vAlign w:val="top"/>
          </w:tcPr>
          <w:p>
            <w:pPr>
              <w:pStyle w:val="TableText"/>
              <w:spacing w:before="263" w:line="220" w:lineRule="auto"/>
              <w:ind w:left="264"/>
            </w:pPr>
            <w:r>
              <w:rPr>
                <w:spacing w:val="-2"/>
              </w:rPr>
              <w:t>6度</w:t>
            </w:r>
          </w:p>
        </w:tc>
        <w:tc>
          <w:tcPr>
            <w:tcW w:w="899" w:type="dxa"/>
            <w:vAlign w:val="top"/>
          </w:tcPr>
          <w:p>
            <w:pPr>
              <w:pStyle w:val="TableText"/>
              <w:spacing w:before="263" w:line="220" w:lineRule="auto"/>
              <w:ind w:left="326"/>
            </w:pPr>
            <w:r>
              <w:rPr>
                <w:spacing w:val="6"/>
              </w:rPr>
              <w:t>6度</w:t>
            </w:r>
          </w:p>
        </w:tc>
        <w:tc>
          <w:tcPr>
            <w:tcW w:w="859" w:type="dxa"/>
            <w:vAlign w:val="top"/>
          </w:tcPr>
          <w:p>
            <w:pPr>
              <w:pStyle w:val="TableText"/>
              <w:spacing w:before="213" w:line="220" w:lineRule="auto"/>
              <w:ind w:left="307"/>
            </w:pPr>
            <w:r>
              <w:rPr>
                <w:spacing w:val="6"/>
              </w:rPr>
              <w:t>6度</w:t>
            </w:r>
          </w:p>
        </w:tc>
        <w:tc>
          <w:tcPr>
            <w:tcW w:w="789" w:type="dxa"/>
            <w:vAlign w:val="top"/>
          </w:tcPr>
          <w:p>
            <w:pPr>
              <w:pStyle w:val="TableText"/>
              <w:spacing w:before="263" w:line="220" w:lineRule="auto"/>
              <w:ind w:left="278"/>
            </w:pPr>
            <w:r>
              <w:rPr>
                <w:spacing w:val="-2"/>
              </w:rPr>
              <w:t>6度</w:t>
            </w:r>
          </w:p>
        </w:tc>
        <w:tc>
          <w:tcPr>
            <w:tcW w:w="934" w:type="dxa"/>
            <w:vAlign w:val="top"/>
          </w:tcPr>
          <w:p>
            <w:pPr>
              <w:pStyle w:val="TableText"/>
              <w:spacing w:before="263" w:line="220" w:lineRule="auto"/>
              <w:ind w:left="349"/>
            </w:pPr>
            <w:r>
              <w:rPr>
                <w:spacing w:val="-2"/>
              </w:rPr>
              <w:t>6度</w:t>
            </w:r>
          </w:p>
        </w:tc>
      </w:tr>
      <w:tr>
        <w:tblPrEx>
          <w:tblW w:w="9120" w:type="dxa"/>
          <w:tblInd w:w="5" w:type="dxa"/>
          <w:tblLayout w:type="fixed"/>
        </w:tblPrEx>
        <w:trPr>
          <w:trHeight w:val="559"/>
        </w:trPr>
        <w:tc>
          <w:tcPr>
            <w:tcW w:w="954" w:type="dxa"/>
            <w:vAlign w:val="top"/>
          </w:tcPr>
          <w:p>
            <w:pPr>
              <w:pStyle w:val="TableText"/>
              <w:spacing w:before="263" w:line="219" w:lineRule="auto"/>
              <w:ind w:left="45"/>
              <w:rPr>
                <w:sz w:val="11"/>
                <w:szCs w:val="11"/>
              </w:rPr>
            </w:pPr>
            <w:r>
              <w:rPr>
                <w:spacing w:val="2"/>
                <w:sz w:val="11"/>
                <w:szCs w:val="11"/>
              </w:rPr>
              <w:t>建筑高度(m)</w:t>
            </w:r>
          </w:p>
        </w:tc>
        <w:tc>
          <w:tcPr>
            <w:tcW w:w="629" w:type="dxa"/>
            <w:vAlign w:val="top"/>
          </w:tcPr>
          <w:p>
            <w:pPr>
              <w:spacing w:line="253" w:lineRule="auto"/>
              <w:rPr>
                <w:rFonts w:ascii="Arial"/>
                <w:sz w:val="21"/>
              </w:rPr>
            </w:pPr>
          </w:p>
          <w:p>
            <w:pPr>
              <w:pStyle w:val="TableText"/>
              <w:spacing w:before="49" w:line="183" w:lineRule="auto"/>
              <w:ind w:left="110"/>
            </w:pPr>
            <w:r>
              <w:rPr>
                <w:spacing w:val="-2"/>
              </w:rPr>
              <w:t>53.00</w:t>
            </w:r>
          </w:p>
        </w:tc>
        <w:tc>
          <w:tcPr>
            <w:tcW w:w="770" w:type="dxa"/>
            <w:vAlign w:val="top"/>
          </w:tcPr>
          <w:p>
            <w:pPr>
              <w:spacing w:line="272" w:lineRule="auto"/>
              <w:rPr>
                <w:rFonts w:ascii="Arial"/>
                <w:sz w:val="21"/>
              </w:rPr>
            </w:pPr>
          </w:p>
          <w:p>
            <w:pPr>
              <w:pStyle w:val="TableText"/>
              <w:spacing w:before="49" w:line="184" w:lineRule="auto"/>
              <w:ind w:left="182"/>
            </w:pPr>
            <w:r>
              <w:rPr>
                <w:spacing w:val="-1"/>
              </w:rPr>
              <w:t>41.30</w:t>
            </w:r>
          </w:p>
        </w:tc>
        <w:tc>
          <w:tcPr>
            <w:tcW w:w="829" w:type="dxa"/>
            <w:vAlign w:val="top"/>
          </w:tcPr>
          <w:p>
            <w:pPr>
              <w:spacing w:line="253" w:lineRule="auto"/>
              <w:rPr>
                <w:rFonts w:ascii="Arial"/>
                <w:sz w:val="21"/>
              </w:rPr>
            </w:pPr>
          </w:p>
          <w:p>
            <w:pPr>
              <w:pStyle w:val="TableText"/>
              <w:spacing w:before="49" w:line="183" w:lineRule="auto"/>
              <w:ind w:left="212"/>
            </w:pPr>
            <w:r>
              <w:rPr>
                <w:spacing w:val="-2"/>
              </w:rPr>
              <w:t>53.30</w:t>
            </w:r>
          </w:p>
        </w:tc>
        <w:tc>
          <w:tcPr>
            <w:tcW w:w="879" w:type="dxa"/>
            <w:vAlign w:val="top"/>
          </w:tcPr>
          <w:p>
            <w:pPr>
              <w:spacing w:line="253" w:lineRule="auto"/>
              <w:rPr>
                <w:rFonts w:ascii="Arial"/>
                <w:sz w:val="21"/>
              </w:rPr>
            </w:pPr>
          </w:p>
          <w:p>
            <w:pPr>
              <w:pStyle w:val="TableText"/>
              <w:spacing w:before="49" w:line="183" w:lineRule="auto"/>
              <w:ind w:left="243"/>
            </w:pPr>
            <w:r>
              <w:rPr>
                <w:spacing w:val="-1"/>
              </w:rPr>
              <w:t>44.25</w:t>
            </w:r>
          </w:p>
        </w:tc>
        <w:tc>
          <w:tcPr>
            <w:tcW w:w="809" w:type="dxa"/>
            <w:vAlign w:val="top"/>
          </w:tcPr>
          <w:p>
            <w:pPr>
              <w:spacing w:line="253" w:lineRule="auto"/>
              <w:rPr>
                <w:rFonts w:ascii="Arial"/>
                <w:sz w:val="21"/>
              </w:rPr>
            </w:pPr>
          </w:p>
          <w:p>
            <w:pPr>
              <w:pStyle w:val="TableText"/>
              <w:spacing w:before="49" w:line="183" w:lineRule="auto"/>
              <w:ind w:left="203"/>
            </w:pPr>
            <w:r>
              <w:rPr>
                <w:spacing w:val="-1"/>
              </w:rPr>
              <w:t>44.25</w:t>
            </w:r>
          </w:p>
        </w:tc>
        <w:tc>
          <w:tcPr>
            <w:tcW w:w="769" w:type="dxa"/>
            <w:vAlign w:val="top"/>
          </w:tcPr>
          <w:p>
            <w:pPr>
              <w:spacing w:line="252" w:lineRule="auto"/>
              <w:rPr>
                <w:rFonts w:ascii="Arial"/>
                <w:sz w:val="21"/>
              </w:rPr>
            </w:pPr>
          </w:p>
          <w:p>
            <w:pPr>
              <w:pStyle w:val="TableText"/>
              <w:spacing w:before="49" w:line="184" w:lineRule="auto"/>
              <w:ind w:left="185"/>
            </w:pPr>
            <w:r>
              <w:rPr>
                <w:spacing w:val="-2"/>
              </w:rPr>
              <w:t>53.10</w:t>
            </w:r>
          </w:p>
        </w:tc>
        <w:tc>
          <w:tcPr>
            <w:tcW w:w="899" w:type="dxa"/>
            <w:vAlign w:val="top"/>
          </w:tcPr>
          <w:p>
            <w:pPr>
              <w:spacing w:line="253" w:lineRule="auto"/>
              <w:rPr>
                <w:rFonts w:ascii="Arial"/>
                <w:sz w:val="21"/>
              </w:rPr>
            </w:pPr>
          </w:p>
          <w:p>
            <w:pPr>
              <w:pStyle w:val="TableText"/>
              <w:spacing w:before="49" w:line="183" w:lineRule="auto"/>
              <w:ind w:left="255"/>
            </w:pPr>
            <w:r>
              <w:rPr>
                <w:spacing w:val="-1"/>
              </w:rPr>
              <w:t>44.25</w:t>
            </w:r>
          </w:p>
        </w:tc>
        <w:tc>
          <w:tcPr>
            <w:tcW w:w="859" w:type="dxa"/>
            <w:vAlign w:val="top"/>
          </w:tcPr>
          <w:p>
            <w:pPr>
              <w:spacing w:line="253" w:lineRule="auto"/>
              <w:rPr>
                <w:rFonts w:ascii="Arial"/>
                <w:sz w:val="21"/>
              </w:rPr>
            </w:pPr>
          </w:p>
          <w:p>
            <w:pPr>
              <w:pStyle w:val="TableText"/>
              <w:spacing w:before="49" w:line="183" w:lineRule="auto"/>
              <w:ind w:left="237"/>
            </w:pPr>
            <w:r>
              <w:rPr>
                <w:spacing w:val="-2"/>
              </w:rPr>
              <w:t>53.30</w:t>
            </w:r>
          </w:p>
        </w:tc>
        <w:tc>
          <w:tcPr>
            <w:tcW w:w="789" w:type="dxa"/>
            <w:vAlign w:val="top"/>
          </w:tcPr>
          <w:p>
            <w:pPr>
              <w:spacing w:line="253" w:lineRule="auto"/>
              <w:rPr>
                <w:rFonts w:ascii="Arial"/>
                <w:sz w:val="21"/>
              </w:rPr>
            </w:pPr>
          </w:p>
          <w:p>
            <w:pPr>
              <w:pStyle w:val="TableText"/>
              <w:spacing w:before="49" w:line="183" w:lineRule="auto"/>
              <w:ind w:left="198"/>
            </w:pPr>
            <w:r>
              <w:rPr>
                <w:spacing w:val="-2"/>
              </w:rPr>
              <w:t>53.30</w:t>
            </w:r>
          </w:p>
        </w:tc>
        <w:tc>
          <w:tcPr>
            <w:tcW w:w="934" w:type="dxa"/>
            <w:vAlign w:val="top"/>
          </w:tcPr>
          <w:p>
            <w:pPr>
              <w:spacing w:line="242" w:lineRule="auto"/>
              <w:rPr>
                <w:rFonts w:ascii="Arial"/>
                <w:sz w:val="21"/>
              </w:rPr>
            </w:pPr>
          </w:p>
          <w:p>
            <w:pPr>
              <w:pStyle w:val="TableText"/>
              <w:spacing w:before="49" w:line="184" w:lineRule="auto"/>
              <w:ind w:left="269"/>
            </w:pPr>
            <w:r>
              <w:rPr>
                <w:spacing w:val="-1"/>
              </w:rPr>
              <w:t>41.30</w:t>
            </w:r>
          </w:p>
        </w:tc>
      </w:tr>
      <w:tr>
        <w:tblPrEx>
          <w:tblW w:w="9120" w:type="dxa"/>
          <w:tblInd w:w="5" w:type="dxa"/>
          <w:tblLayout w:type="fixed"/>
        </w:tblPrEx>
        <w:trPr>
          <w:trHeight w:val="564"/>
        </w:trPr>
        <w:tc>
          <w:tcPr>
            <w:tcW w:w="954" w:type="dxa"/>
            <w:vAlign w:val="top"/>
          </w:tcPr>
          <w:p>
            <w:pPr>
              <w:pStyle w:val="TableText"/>
              <w:spacing w:before="274" w:line="219" w:lineRule="auto"/>
              <w:ind w:left="55"/>
              <w:rPr>
                <w:sz w:val="11"/>
                <w:szCs w:val="11"/>
              </w:rPr>
            </w:pPr>
            <w:r>
              <w:rPr>
                <w:spacing w:val="-1"/>
                <w:sz w:val="11"/>
                <w:szCs w:val="11"/>
              </w:rPr>
              <w:t>相对标高±0.000</w:t>
            </w:r>
          </w:p>
        </w:tc>
        <w:tc>
          <w:tcPr>
            <w:tcW w:w="629" w:type="dxa"/>
            <w:vAlign w:val="top"/>
          </w:tcPr>
          <w:p>
            <w:pPr>
              <w:spacing w:line="264" w:lineRule="auto"/>
              <w:rPr>
                <w:rFonts w:ascii="Arial"/>
                <w:sz w:val="21"/>
              </w:rPr>
            </w:pPr>
          </w:p>
          <w:p>
            <w:pPr>
              <w:pStyle w:val="TableText"/>
              <w:spacing w:before="49" w:line="183" w:lineRule="auto"/>
              <w:ind w:left="110"/>
            </w:pPr>
            <w:r>
              <w:rPr>
                <w:spacing w:val="-2"/>
              </w:rPr>
              <w:t>6.800</w:t>
            </w:r>
          </w:p>
        </w:tc>
        <w:tc>
          <w:tcPr>
            <w:tcW w:w="770" w:type="dxa"/>
            <w:vAlign w:val="top"/>
          </w:tcPr>
          <w:p>
            <w:pPr>
              <w:spacing w:line="264" w:lineRule="auto"/>
              <w:rPr>
                <w:rFonts w:ascii="Arial"/>
                <w:sz w:val="21"/>
              </w:rPr>
            </w:pPr>
          </w:p>
          <w:p>
            <w:pPr>
              <w:pStyle w:val="TableText"/>
              <w:spacing w:before="49" w:line="183" w:lineRule="auto"/>
              <w:ind w:left="182"/>
            </w:pPr>
            <w:r>
              <w:rPr>
                <w:spacing w:val="-2"/>
              </w:rPr>
              <w:t>6.800</w:t>
            </w:r>
          </w:p>
        </w:tc>
        <w:tc>
          <w:tcPr>
            <w:tcW w:w="829" w:type="dxa"/>
            <w:vAlign w:val="top"/>
          </w:tcPr>
          <w:p>
            <w:pPr>
              <w:spacing w:line="264" w:lineRule="auto"/>
              <w:rPr>
                <w:rFonts w:ascii="Arial"/>
                <w:sz w:val="21"/>
              </w:rPr>
            </w:pPr>
          </w:p>
          <w:p>
            <w:pPr>
              <w:pStyle w:val="TableText"/>
              <w:spacing w:before="49" w:line="183" w:lineRule="auto"/>
              <w:ind w:left="212"/>
            </w:pPr>
            <w:r>
              <w:rPr>
                <w:spacing w:val="-2"/>
              </w:rPr>
              <w:t>6.800</w:t>
            </w:r>
          </w:p>
        </w:tc>
        <w:tc>
          <w:tcPr>
            <w:tcW w:w="879" w:type="dxa"/>
            <w:vAlign w:val="top"/>
          </w:tcPr>
          <w:p>
            <w:pPr>
              <w:spacing w:line="264" w:lineRule="auto"/>
              <w:rPr>
                <w:rFonts w:ascii="Arial"/>
                <w:sz w:val="21"/>
              </w:rPr>
            </w:pPr>
          </w:p>
          <w:p>
            <w:pPr>
              <w:pStyle w:val="TableText"/>
              <w:spacing w:before="49" w:line="183" w:lineRule="auto"/>
              <w:ind w:left="243"/>
            </w:pPr>
            <w:r>
              <w:rPr>
                <w:spacing w:val="-2"/>
              </w:rPr>
              <w:t>6.800</w:t>
            </w:r>
          </w:p>
        </w:tc>
        <w:tc>
          <w:tcPr>
            <w:tcW w:w="809" w:type="dxa"/>
            <w:vAlign w:val="top"/>
          </w:tcPr>
          <w:p>
            <w:pPr>
              <w:spacing w:line="264" w:lineRule="auto"/>
              <w:rPr>
                <w:rFonts w:ascii="Arial"/>
                <w:sz w:val="21"/>
              </w:rPr>
            </w:pPr>
          </w:p>
          <w:p>
            <w:pPr>
              <w:pStyle w:val="TableText"/>
              <w:spacing w:before="49" w:line="183" w:lineRule="auto"/>
              <w:ind w:left="203"/>
            </w:pPr>
            <w:r>
              <w:rPr>
                <w:spacing w:val="-2"/>
              </w:rPr>
              <w:t>6.800</w:t>
            </w:r>
          </w:p>
        </w:tc>
        <w:tc>
          <w:tcPr>
            <w:tcW w:w="769" w:type="dxa"/>
            <w:vAlign w:val="top"/>
          </w:tcPr>
          <w:p>
            <w:pPr>
              <w:spacing w:line="264" w:lineRule="auto"/>
              <w:rPr>
                <w:rFonts w:ascii="Arial"/>
                <w:sz w:val="21"/>
              </w:rPr>
            </w:pPr>
          </w:p>
          <w:p>
            <w:pPr>
              <w:pStyle w:val="TableText"/>
              <w:spacing w:before="49" w:line="183" w:lineRule="auto"/>
              <w:ind w:left="185"/>
            </w:pPr>
            <w:r>
              <w:rPr>
                <w:spacing w:val="-2"/>
              </w:rPr>
              <w:t>6.800</w:t>
            </w:r>
          </w:p>
        </w:tc>
        <w:tc>
          <w:tcPr>
            <w:tcW w:w="899" w:type="dxa"/>
            <w:vAlign w:val="top"/>
          </w:tcPr>
          <w:p>
            <w:pPr>
              <w:spacing w:line="264" w:lineRule="auto"/>
              <w:rPr>
                <w:rFonts w:ascii="Arial"/>
                <w:sz w:val="21"/>
              </w:rPr>
            </w:pPr>
          </w:p>
          <w:p>
            <w:pPr>
              <w:pStyle w:val="TableText"/>
              <w:spacing w:before="49" w:line="183" w:lineRule="auto"/>
              <w:ind w:left="255"/>
            </w:pPr>
            <w:r>
              <w:rPr>
                <w:spacing w:val="-2"/>
              </w:rPr>
              <w:t>6.800</w:t>
            </w:r>
          </w:p>
        </w:tc>
        <w:tc>
          <w:tcPr>
            <w:tcW w:w="859" w:type="dxa"/>
            <w:vAlign w:val="top"/>
          </w:tcPr>
          <w:p>
            <w:pPr>
              <w:spacing w:line="264" w:lineRule="auto"/>
              <w:rPr>
                <w:rFonts w:ascii="Arial"/>
                <w:sz w:val="21"/>
              </w:rPr>
            </w:pPr>
          </w:p>
          <w:p>
            <w:pPr>
              <w:pStyle w:val="TableText"/>
              <w:spacing w:before="49" w:line="183" w:lineRule="auto"/>
              <w:ind w:left="237"/>
            </w:pPr>
            <w:r>
              <w:rPr>
                <w:spacing w:val="-2"/>
              </w:rPr>
              <w:t>6.800</w:t>
            </w:r>
          </w:p>
        </w:tc>
        <w:tc>
          <w:tcPr>
            <w:tcW w:w="789" w:type="dxa"/>
            <w:vAlign w:val="top"/>
          </w:tcPr>
          <w:p>
            <w:pPr>
              <w:spacing w:line="264" w:lineRule="auto"/>
              <w:rPr>
                <w:rFonts w:ascii="Arial"/>
                <w:sz w:val="21"/>
              </w:rPr>
            </w:pPr>
          </w:p>
          <w:p>
            <w:pPr>
              <w:pStyle w:val="TableText"/>
              <w:spacing w:before="49" w:line="183" w:lineRule="auto"/>
              <w:ind w:left="198"/>
            </w:pPr>
            <w:r>
              <w:rPr>
                <w:spacing w:val="-2"/>
              </w:rPr>
              <w:t>6.800</w:t>
            </w:r>
          </w:p>
        </w:tc>
        <w:tc>
          <w:tcPr>
            <w:tcW w:w="934" w:type="dxa"/>
            <w:vAlign w:val="top"/>
          </w:tcPr>
          <w:p>
            <w:pPr>
              <w:spacing w:line="264" w:lineRule="auto"/>
              <w:rPr>
                <w:rFonts w:ascii="Arial"/>
                <w:sz w:val="21"/>
              </w:rPr>
            </w:pPr>
          </w:p>
          <w:p>
            <w:pPr>
              <w:pStyle w:val="TableText"/>
              <w:spacing w:before="49" w:line="183" w:lineRule="auto"/>
              <w:ind w:left="269"/>
            </w:pPr>
            <w:r>
              <w:rPr>
                <w:spacing w:val="-2"/>
              </w:rPr>
              <w:t>6.800</w:t>
            </w:r>
          </w:p>
        </w:tc>
      </w:tr>
    </w:tbl>
    <w:p>
      <w:pPr>
        <w:rPr>
          <w:rFonts w:ascii="Arial"/>
          <w:sz w:val="21"/>
        </w:rPr>
      </w:pPr>
    </w:p>
    <w:p>
      <w:pPr>
        <w:rPr>
          <w:rFonts w:ascii="Arial" w:eastAsia="Arial" w:hAnsi="Arial" w:cs="Arial"/>
          <w:sz w:val="21"/>
          <w:szCs w:val="21"/>
        </w:rPr>
        <w:sectPr>
          <w:pgSz w:w="11910" w:h="16840"/>
          <w:pgMar w:top="1431" w:right="1313" w:bottom="0" w:left="1294" w:header="0" w:footer="0" w:gutter="0"/>
          <w:pgNumType w:start="4"/>
          <w:cols w:space="708"/>
        </w:sectPr>
      </w:pPr>
    </w:p>
    <w:p>
      <w:pPr>
        <w:spacing w:before="151" w:line="228" w:lineRule="auto"/>
        <w:ind w:left="2664"/>
        <w:rPr>
          <w:rFonts w:ascii="KaiTi" w:eastAsia="KaiTi" w:hAnsi="KaiTi" w:cs="KaiTi"/>
          <w:sz w:val="29"/>
          <w:szCs w:val="29"/>
        </w:rPr>
      </w:pPr>
      <w:r>
        <w:rPr>
          <w:rFonts w:ascii="KaiTi" w:eastAsia="KaiTi" w:hAnsi="KaiTi" w:cs="KaiTi"/>
          <w:b/>
          <w:bCs/>
          <w:spacing w:val="-2"/>
          <w:position w:val="1"/>
          <w:sz w:val="29"/>
          <w:szCs w:val="29"/>
        </w:rPr>
        <w:t>第二章</w:t>
      </w:r>
      <w:r>
        <w:rPr>
          <w:rFonts w:ascii="KaiTi" w:eastAsia="KaiTi" w:hAnsi="KaiTi" w:cs="KaiTi"/>
          <w:spacing w:val="11"/>
          <w:position w:val="1"/>
          <w:sz w:val="29"/>
          <w:szCs w:val="29"/>
        </w:rPr>
        <w:t xml:space="preserve">    </w:t>
      </w:r>
      <w:r>
        <w:rPr>
          <w:rFonts w:ascii="KaiTi" w:eastAsia="KaiTi" w:hAnsi="KaiTi" w:cs="KaiTi"/>
          <w:b/>
          <w:bCs/>
          <w:spacing w:val="-2"/>
          <w:sz w:val="29"/>
          <w:szCs w:val="29"/>
        </w:rPr>
        <w:t>监理工作流程</w:t>
      </w:r>
    </w:p>
    <w:p>
      <w:pPr>
        <w:spacing w:before="158" w:line="234" w:lineRule="auto"/>
        <w:ind w:left="144"/>
        <w:outlineLvl w:val="6"/>
        <w:rPr>
          <w:rFonts w:ascii="KaiTi" w:eastAsia="KaiTi" w:hAnsi="KaiTi" w:cs="KaiTi"/>
          <w:sz w:val="29"/>
          <w:szCs w:val="29"/>
        </w:rPr>
      </w:pPr>
      <w:r>
        <w:rPr>
          <w:rFonts w:ascii="KaiTi" w:eastAsia="KaiTi" w:hAnsi="KaiTi" w:cs="KaiTi"/>
          <w:b/>
          <w:bCs/>
          <w:spacing w:val="1"/>
          <w:sz w:val="29"/>
          <w:szCs w:val="29"/>
        </w:rPr>
        <w:t>一、监理依据</w:t>
      </w:r>
    </w:p>
    <w:p>
      <w:pPr>
        <w:spacing w:before="106" w:line="223" w:lineRule="auto"/>
        <w:ind w:left="509"/>
        <w:rPr>
          <w:rFonts w:ascii="KaiTi" w:eastAsia="KaiTi" w:hAnsi="KaiTi" w:cs="KaiTi"/>
          <w:sz w:val="21"/>
          <w:szCs w:val="21"/>
        </w:rPr>
      </w:pPr>
      <w:r>
        <w:rPr>
          <w:rFonts w:ascii="KaiTi" w:eastAsia="KaiTi" w:hAnsi="KaiTi" w:cs="KaiTi"/>
          <w:spacing w:val="7"/>
          <w:sz w:val="21"/>
          <w:szCs w:val="21"/>
        </w:rPr>
        <w:t>(1)设计图纸(包括技术说明、变更通知、图纸会审记录等)</w:t>
      </w:r>
    </w:p>
    <w:p>
      <w:pPr>
        <w:spacing w:before="96" w:line="223" w:lineRule="auto"/>
        <w:ind w:left="509"/>
        <w:rPr>
          <w:rFonts w:ascii="KaiTi" w:eastAsia="KaiTi" w:hAnsi="KaiTi" w:cs="KaiTi"/>
          <w:sz w:val="21"/>
          <w:szCs w:val="21"/>
        </w:rPr>
      </w:pPr>
      <w:r>
        <w:rPr>
          <w:rFonts w:ascii="KaiTi" w:eastAsia="KaiTi" w:hAnsi="KaiTi" w:cs="KaiTi"/>
          <w:spacing w:val="6"/>
          <w:sz w:val="21"/>
          <w:szCs w:val="21"/>
        </w:rPr>
        <w:t>(2)经审核批准的施工文件(包括施工组织设计、施工方案、技术核定等)</w:t>
      </w:r>
    </w:p>
    <w:p>
      <w:pPr>
        <w:spacing w:before="109" w:line="225" w:lineRule="auto"/>
        <w:ind w:left="509"/>
        <w:rPr>
          <w:rFonts w:ascii="KaiTi" w:eastAsia="KaiTi" w:hAnsi="KaiTi" w:cs="KaiTi"/>
          <w:sz w:val="21"/>
          <w:szCs w:val="21"/>
        </w:rPr>
      </w:pPr>
      <w:r>
        <w:rPr>
          <w:rFonts w:ascii="KaiTi" w:eastAsia="KaiTi" w:hAnsi="KaiTi" w:cs="KaiTi"/>
          <w:spacing w:val="4"/>
          <w:sz w:val="21"/>
          <w:szCs w:val="21"/>
        </w:rPr>
        <w:t>(3)国家有关规范和技术标准</w:t>
      </w:r>
    </w:p>
    <w:p>
      <w:pPr>
        <w:spacing w:before="115" w:line="227" w:lineRule="auto"/>
        <w:ind w:left="509"/>
        <w:rPr>
          <w:rFonts w:ascii="KaiTi" w:eastAsia="KaiTi" w:hAnsi="KaiTi" w:cs="KaiTi"/>
          <w:sz w:val="21"/>
          <w:szCs w:val="21"/>
        </w:rPr>
      </w:pPr>
      <w:r>
        <w:rPr>
          <w:rFonts w:ascii="KaiTi" w:eastAsia="KaiTi" w:hAnsi="KaiTi" w:cs="KaiTi"/>
          <w:spacing w:val="-6"/>
          <w:sz w:val="21"/>
          <w:szCs w:val="21"/>
        </w:rPr>
        <w:t>(4)</w:t>
      </w:r>
      <w:r>
        <w:rPr>
          <w:rFonts w:ascii="KaiTi" w:eastAsia="KaiTi" w:hAnsi="KaiTi" w:cs="KaiTi"/>
          <w:spacing w:val="-6"/>
          <w:sz w:val="21"/>
          <w:szCs w:val="21"/>
        </w:rPr>
        <w:t xml:space="preserve">  </w:t>
      </w:r>
      <w:r>
        <w:rPr>
          <w:rFonts w:ascii="KaiTi" w:eastAsia="KaiTi" w:hAnsi="KaiTi" w:cs="KaiTi"/>
          <w:spacing w:val="-6"/>
          <w:sz w:val="21"/>
          <w:szCs w:val="21"/>
        </w:rPr>
        <w:t>《建筑机械使用安全技术规程》JGJ33-2012</w:t>
      </w:r>
    </w:p>
    <w:p>
      <w:pPr>
        <w:spacing w:before="98" w:line="223" w:lineRule="auto"/>
        <w:ind w:left="509"/>
        <w:rPr>
          <w:rFonts w:ascii="KaiTi" w:eastAsia="KaiTi" w:hAnsi="KaiTi" w:cs="KaiTi"/>
          <w:sz w:val="21"/>
          <w:szCs w:val="21"/>
        </w:rPr>
      </w:pPr>
      <w:r>
        <w:rPr>
          <w:rFonts w:ascii="KaiTi" w:eastAsia="KaiTi" w:hAnsi="KaiTi" w:cs="KaiTi"/>
          <w:spacing w:val="-6"/>
          <w:sz w:val="21"/>
          <w:szCs w:val="21"/>
        </w:rPr>
        <w:t>(5)</w:t>
      </w:r>
      <w:r>
        <w:rPr>
          <w:rFonts w:ascii="KaiTi" w:eastAsia="KaiTi" w:hAnsi="KaiTi" w:cs="KaiTi"/>
          <w:spacing w:val="-6"/>
          <w:sz w:val="21"/>
          <w:szCs w:val="21"/>
        </w:rPr>
        <w:t xml:space="preserve">  </w:t>
      </w:r>
      <w:r>
        <w:rPr>
          <w:rFonts w:ascii="KaiTi" w:eastAsia="KaiTi" w:hAnsi="KaiTi" w:cs="KaiTi"/>
          <w:spacing w:val="-6"/>
          <w:sz w:val="21"/>
          <w:szCs w:val="21"/>
        </w:rPr>
        <w:t>《高处作业吊篮》GB/T19155-2017</w:t>
      </w:r>
    </w:p>
    <w:p>
      <w:pPr>
        <w:spacing w:before="100" w:line="227" w:lineRule="auto"/>
        <w:ind w:left="509"/>
        <w:rPr>
          <w:rFonts w:ascii="KaiTi" w:eastAsia="KaiTi" w:hAnsi="KaiTi" w:cs="KaiTi"/>
          <w:sz w:val="21"/>
          <w:szCs w:val="21"/>
        </w:rPr>
      </w:pPr>
      <w:r>
        <w:rPr>
          <w:rFonts w:ascii="KaiTi" w:eastAsia="KaiTi" w:hAnsi="KaiTi" w:cs="KaiTi"/>
          <w:spacing w:val="-5"/>
          <w:sz w:val="21"/>
          <w:szCs w:val="21"/>
        </w:rPr>
        <w:t>(6)</w:t>
      </w:r>
      <w:r>
        <w:rPr>
          <w:rFonts w:ascii="KaiTi" w:eastAsia="KaiTi" w:hAnsi="KaiTi" w:cs="KaiTi"/>
          <w:spacing w:val="98"/>
          <w:sz w:val="21"/>
          <w:szCs w:val="21"/>
        </w:rPr>
        <w:t xml:space="preserve"> </w:t>
      </w:r>
      <w:r>
        <w:rPr>
          <w:rFonts w:ascii="KaiTi" w:eastAsia="KaiTi" w:hAnsi="KaiTi" w:cs="KaiTi"/>
          <w:spacing w:val="-5"/>
          <w:sz w:val="21"/>
          <w:szCs w:val="21"/>
        </w:rPr>
        <w:t>《建筑工程施工质量验收统一标准》GB50300-20</w:t>
      </w:r>
      <w:r>
        <w:rPr>
          <w:rFonts w:ascii="KaiTi" w:eastAsia="KaiTi" w:hAnsi="KaiTi" w:cs="KaiTi"/>
          <w:spacing w:val="-6"/>
          <w:sz w:val="21"/>
          <w:szCs w:val="21"/>
        </w:rPr>
        <w:t>13</w:t>
      </w:r>
    </w:p>
    <w:p>
      <w:pPr>
        <w:spacing w:before="101" w:line="227" w:lineRule="auto"/>
        <w:ind w:left="509"/>
        <w:rPr>
          <w:rFonts w:ascii="KaiTi" w:eastAsia="KaiTi" w:hAnsi="KaiTi" w:cs="KaiTi"/>
          <w:sz w:val="21"/>
          <w:szCs w:val="21"/>
        </w:rPr>
      </w:pPr>
      <w:r>
        <w:rPr>
          <w:rFonts w:ascii="KaiTi" w:eastAsia="KaiTi" w:hAnsi="KaiTi" w:cs="KaiTi"/>
          <w:spacing w:val="-6"/>
          <w:sz w:val="21"/>
          <w:szCs w:val="21"/>
        </w:rPr>
        <w:t>(7)</w:t>
      </w:r>
      <w:r>
        <w:rPr>
          <w:rFonts w:ascii="KaiTi" w:eastAsia="KaiTi" w:hAnsi="KaiTi" w:cs="KaiTi"/>
          <w:spacing w:val="-6"/>
          <w:sz w:val="21"/>
          <w:szCs w:val="21"/>
        </w:rPr>
        <w:t xml:space="preserve">  </w:t>
      </w:r>
      <w:r>
        <w:rPr>
          <w:rFonts w:ascii="KaiTi" w:eastAsia="KaiTi" w:hAnsi="KaiTi" w:cs="KaiTi"/>
          <w:spacing w:val="-6"/>
          <w:sz w:val="21"/>
          <w:szCs w:val="21"/>
        </w:rPr>
        <w:t>《建设工程监理规范》GB/T50139-2013</w:t>
      </w:r>
    </w:p>
    <w:p>
      <w:pPr>
        <w:spacing w:before="112" w:line="227" w:lineRule="auto"/>
        <w:ind w:left="509"/>
        <w:rPr>
          <w:rFonts w:ascii="KaiTi" w:eastAsia="KaiTi" w:hAnsi="KaiTi" w:cs="KaiTi"/>
          <w:sz w:val="21"/>
          <w:szCs w:val="21"/>
        </w:rPr>
      </w:pPr>
      <w:r>
        <w:rPr>
          <w:rFonts w:ascii="KaiTi" w:eastAsia="KaiTi" w:hAnsi="KaiTi" w:cs="KaiTi"/>
          <w:spacing w:val="-6"/>
          <w:sz w:val="21"/>
          <w:szCs w:val="21"/>
        </w:rPr>
        <w:t>(8)</w:t>
      </w:r>
      <w:r>
        <w:rPr>
          <w:rFonts w:ascii="KaiTi" w:eastAsia="KaiTi" w:hAnsi="KaiTi" w:cs="KaiTi"/>
          <w:spacing w:val="115"/>
          <w:sz w:val="21"/>
          <w:szCs w:val="21"/>
        </w:rPr>
        <w:t xml:space="preserve"> </w:t>
      </w:r>
      <w:r>
        <w:rPr>
          <w:rFonts w:ascii="KaiTi" w:eastAsia="KaiTi" w:hAnsi="KaiTi" w:cs="KaiTi"/>
          <w:spacing w:val="-6"/>
          <w:sz w:val="21"/>
          <w:szCs w:val="21"/>
        </w:rPr>
        <w:t>《建筑施工安全技术统一规范》GB50870-2013</w:t>
      </w:r>
    </w:p>
    <w:p>
      <w:pPr>
        <w:spacing w:before="88" w:line="223" w:lineRule="auto"/>
        <w:ind w:left="509"/>
        <w:rPr>
          <w:rFonts w:ascii="KaiTi" w:eastAsia="KaiTi" w:hAnsi="KaiTi" w:cs="KaiTi"/>
          <w:sz w:val="21"/>
          <w:szCs w:val="21"/>
        </w:rPr>
      </w:pPr>
      <w:r>
        <w:rPr>
          <w:rFonts w:ascii="KaiTi" w:eastAsia="KaiTi" w:hAnsi="KaiTi" w:cs="KaiTi"/>
          <w:spacing w:val="-4"/>
          <w:sz w:val="21"/>
          <w:szCs w:val="21"/>
        </w:rPr>
        <w:t>(9)</w:t>
      </w:r>
      <w:r>
        <w:rPr>
          <w:rFonts w:ascii="KaiTi" w:eastAsia="KaiTi" w:hAnsi="KaiTi" w:cs="KaiTi"/>
          <w:spacing w:val="107"/>
          <w:sz w:val="21"/>
          <w:szCs w:val="21"/>
        </w:rPr>
        <w:t xml:space="preserve"> </w:t>
      </w:r>
      <w:r>
        <w:rPr>
          <w:rFonts w:ascii="KaiTi" w:eastAsia="KaiTi" w:hAnsi="KaiTi" w:cs="KaiTi"/>
          <w:spacing w:val="-4"/>
          <w:sz w:val="21"/>
          <w:szCs w:val="21"/>
        </w:rPr>
        <w:t>《房屋建筑和市政基础设施工程档案资料管理规范》DGJ32/TJ143-2012</w:t>
      </w:r>
    </w:p>
    <w:p>
      <w:pPr>
        <w:spacing w:before="110" w:line="227" w:lineRule="auto"/>
        <w:ind w:left="509"/>
        <w:rPr>
          <w:rFonts w:ascii="KaiTi" w:eastAsia="KaiTi" w:hAnsi="KaiTi" w:cs="KaiTi"/>
          <w:sz w:val="21"/>
          <w:szCs w:val="21"/>
        </w:rPr>
      </w:pPr>
      <w:r>
        <w:rPr>
          <w:rFonts w:ascii="KaiTi" w:eastAsia="KaiTi" w:hAnsi="KaiTi" w:cs="KaiTi"/>
          <w:spacing w:val="-8"/>
          <w:sz w:val="21"/>
          <w:szCs w:val="21"/>
        </w:rPr>
        <w:t>(10)</w:t>
      </w:r>
      <w:r>
        <w:rPr>
          <w:rFonts w:ascii="KaiTi" w:eastAsia="KaiTi" w:hAnsi="KaiTi" w:cs="KaiTi"/>
          <w:spacing w:val="92"/>
          <w:sz w:val="21"/>
          <w:szCs w:val="21"/>
        </w:rPr>
        <w:t xml:space="preserve"> </w:t>
      </w:r>
      <w:r>
        <w:rPr>
          <w:rFonts w:ascii="KaiTi" w:eastAsia="KaiTi" w:hAnsi="KaiTi" w:cs="KaiTi"/>
          <w:spacing w:val="-8"/>
          <w:sz w:val="21"/>
          <w:szCs w:val="21"/>
        </w:rPr>
        <w:t>《施工现场临时用电安全技术规范》</w:t>
      </w:r>
      <w:r>
        <w:rPr>
          <w:rFonts w:ascii="KaiTi" w:eastAsia="KaiTi" w:hAnsi="KaiTi" w:cs="KaiTi"/>
          <w:spacing w:val="75"/>
          <w:sz w:val="21"/>
          <w:szCs w:val="21"/>
        </w:rPr>
        <w:t xml:space="preserve"> </w:t>
      </w:r>
      <w:r>
        <w:rPr>
          <w:rFonts w:ascii="KaiTi" w:eastAsia="KaiTi" w:hAnsi="KaiTi" w:cs="KaiTi"/>
          <w:spacing w:val="-8"/>
          <w:sz w:val="21"/>
          <w:szCs w:val="21"/>
        </w:rPr>
        <w:t>(JGJ46—2005)</w:t>
      </w:r>
    </w:p>
    <w:p>
      <w:pPr>
        <w:spacing w:before="102" w:line="227" w:lineRule="auto"/>
        <w:ind w:left="509"/>
        <w:rPr>
          <w:rFonts w:ascii="KaiTi" w:eastAsia="KaiTi" w:hAnsi="KaiTi" w:cs="KaiTi"/>
          <w:sz w:val="21"/>
          <w:szCs w:val="21"/>
        </w:rPr>
      </w:pPr>
      <w:r>
        <w:rPr>
          <w:rFonts w:ascii="KaiTi" w:eastAsia="KaiTi" w:hAnsi="KaiTi" w:cs="KaiTi"/>
          <w:spacing w:val="-9"/>
          <w:sz w:val="21"/>
          <w:szCs w:val="21"/>
        </w:rPr>
        <w:t>(11)</w:t>
      </w:r>
      <w:r>
        <w:rPr>
          <w:rFonts w:ascii="KaiTi" w:eastAsia="KaiTi" w:hAnsi="KaiTi" w:cs="KaiTi"/>
          <w:spacing w:val="-9"/>
          <w:sz w:val="21"/>
          <w:szCs w:val="21"/>
        </w:rPr>
        <w:t xml:space="preserve">  </w:t>
      </w:r>
      <w:r>
        <w:rPr>
          <w:rFonts w:ascii="KaiTi" w:eastAsia="KaiTi" w:hAnsi="KaiTi" w:cs="KaiTi"/>
          <w:spacing w:val="-9"/>
          <w:sz w:val="21"/>
          <w:szCs w:val="21"/>
        </w:rPr>
        <w:t>《建筑施工安全检查标准》</w:t>
      </w:r>
      <w:r>
        <w:rPr>
          <w:rFonts w:ascii="KaiTi" w:eastAsia="KaiTi" w:hAnsi="KaiTi" w:cs="KaiTi"/>
          <w:spacing w:val="85"/>
          <w:sz w:val="21"/>
          <w:szCs w:val="21"/>
        </w:rPr>
        <w:t xml:space="preserve"> </w:t>
      </w:r>
      <w:r>
        <w:rPr>
          <w:rFonts w:ascii="KaiTi" w:eastAsia="KaiTi" w:hAnsi="KaiTi" w:cs="KaiTi"/>
          <w:spacing w:val="-9"/>
          <w:sz w:val="21"/>
          <w:szCs w:val="21"/>
        </w:rPr>
        <w:t>(JG</w:t>
      </w:r>
      <w:r>
        <w:rPr>
          <w:rFonts w:ascii="KaiTi" w:eastAsia="KaiTi" w:hAnsi="KaiTi" w:cs="KaiTi"/>
          <w:spacing w:val="-10"/>
          <w:sz w:val="21"/>
          <w:szCs w:val="21"/>
        </w:rPr>
        <w:t>J59-2011)</w:t>
      </w:r>
    </w:p>
    <w:p>
      <w:pPr>
        <w:spacing w:before="95" w:line="220" w:lineRule="auto"/>
        <w:ind w:left="509"/>
        <w:rPr>
          <w:rFonts w:ascii="KaiTi" w:eastAsia="KaiTi" w:hAnsi="KaiTi" w:cs="KaiTi"/>
          <w:sz w:val="21"/>
          <w:szCs w:val="21"/>
        </w:rPr>
      </w:pPr>
      <w:r>
        <w:rPr>
          <w:rFonts w:ascii="KaiTi" w:eastAsia="KaiTi" w:hAnsi="KaiTi" w:cs="KaiTi"/>
          <w:spacing w:val="-8"/>
          <w:sz w:val="21"/>
          <w:szCs w:val="21"/>
        </w:rPr>
        <w:t>(12)</w:t>
      </w:r>
      <w:r>
        <w:rPr>
          <w:rFonts w:ascii="KaiTi" w:eastAsia="KaiTi" w:hAnsi="KaiTi" w:cs="KaiTi"/>
          <w:spacing w:val="108"/>
          <w:sz w:val="21"/>
          <w:szCs w:val="21"/>
        </w:rPr>
        <w:t xml:space="preserve"> </w:t>
      </w:r>
      <w:r>
        <w:rPr>
          <w:rFonts w:ascii="KaiTi" w:eastAsia="KaiTi" w:hAnsi="KaiTi" w:cs="KaiTi"/>
          <w:spacing w:val="-8"/>
          <w:sz w:val="21"/>
          <w:szCs w:val="21"/>
        </w:rPr>
        <w:t>《建筑装饰装修工程质量验收标准》</w:t>
      </w:r>
      <w:r>
        <w:rPr>
          <w:rFonts w:ascii="KaiTi" w:eastAsia="KaiTi" w:hAnsi="KaiTi" w:cs="KaiTi"/>
          <w:spacing w:val="75"/>
          <w:sz w:val="21"/>
          <w:szCs w:val="21"/>
        </w:rPr>
        <w:t xml:space="preserve"> </w:t>
      </w:r>
      <w:r>
        <w:rPr>
          <w:rFonts w:ascii="KaiTi" w:eastAsia="KaiTi" w:hAnsi="KaiTi" w:cs="KaiTi"/>
          <w:spacing w:val="-8"/>
          <w:sz w:val="21"/>
          <w:szCs w:val="21"/>
        </w:rPr>
        <w:t>(GB50210-2018)</w:t>
      </w:r>
    </w:p>
    <w:p>
      <w:pPr>
        <w:spacing w:before="124" w:line="270" w:lineRule="auto"/>
        <w:ind w:left="99" w:firstLine="410"/>
        <w:rPr>
          <w:rFonts w:ascii="KaiTi" w:eastAsia="KaiTi" w:hAnsi="KaiTi" w:cs="KaiTi"/>
          <w:sz w:val="21"/>
          <w:szCs w:val="21"/>
        </w:rPr>
      </w:pPr>
      <w:r>
        <w:rPr>
          <w:rFonts w:ascii="KaiTi" w:eastAsia="KaiTi" w:hAnsi="KaiTi" w:cs="KaiTi"/>
          <w:spacing w:val="5"/>
          <w:sz w:val="21"/>
          <w:szCs w:val="21"/>
        </w:rPr>
        <w:t>(13)江苏省房屋建筑和市政基础设施工程危险性较大的分部分项工程安全管理实施细则</w:t>
      </w:r>
      <w:r>
        <w:rPr>
          <w:rFonts w:ascii="KaiTi" w:eastAsia="KaiTi" w:hAnsi="KaiTi" w:cs="KaiTi"/>
          <w:spacing w:val="11"/>
          <w:sz w:val="21"/>
          <w:szCs w:val="21"/>
        </w:rPr>
        <w:t xml:space="preserve"> </w:t>
      </w:r>
      <w:r>
        <w:rPr>
          <w:rFonts w:ascii="KaiTi" w:eastAsia="KaiTi" w:hAnsi="KaiTi" w:cs="KaiTi"/>
          <w:spacing w:val="11"/>
          <w:sz w:val="21"/>
          <w:szCs w:val="21"/>
        </w:rPr>
        <w:t>(2019版)</w:t>
      </w:r>
    </w:p>
    <w:p>
      <w:pPr>
        <w:spacing w:before="115" w:line="223" w:lineRule="auto"/>
        <w:ind w:left="509"/>
        <w:rPr>
          <w:rFonts w:ascii="KaiTi" w:eastAsia="KaiTi" w:hAnsi="KaiTi" w:cs="KaiTi"/>
          <w:sz w:val="21"/>
          <w:szCs w:val="21"/>
        </w:rPr>
      </w:pPr>
      <w:r>
        <w:rPr>
          <w:rFonts w:ascii="KaiTi" w:eastAsia="KaiTi" w:hAnsi="KaiTi" w:cs="KaiTi"/>
          <w:spacing w:val="-3"/>
          <w:sz w:val="21"/>
          <w:szCs w:val="21"/>
        </w:rPr>
        <w:t>(14)</w:t>
      </w:r>
      <w:r>
        <w:rPr>
          <w:rFonts w:ascii="KaiTi" w:eastAsia="KaiTi" w:hAnsi="KaiTi" w:cs="KaiTi"/>
          <w:spacing w:val="106"/>
          <w:sz w:val="21"/>
          <w:szCs w:val="21"/>
        </w:rPr>
        <w:t xml:space="preserve"> </w:t>
      </w:r>
      <w:r>
        <w:rPr>
          <w:rFonts w:ascii="KaiTi" w:eastAsia="KaiTi" w:hAnsi="KaiTi" w:cs="KaiTi"/>
          <w:spacing w:val="-3"/>
          <w:sz w:val="21"/>
          <w:szCs w:val="21"/>
        </w:rPr>
        <w:t>《危险性较大的分部分项工程安全管理规定》住建部【2018】37号令</w:t>
      </w:r>
    </w:p>
    <w:p>
      <w:pPr>
        <w:spacing w:before="86" w:line="382" w:lineRule="exact"/>
        <w:ind w:right="2"/>
        <w:jc w:val="right"/>
        <w:rPr>
          <w:rFonts w:ascii="KaiTi" w:eastAsia="KaiTi" w:hAnsi="KaiTi" w:cs="KaiTi"/>
          <w:sz w:val="21"/>
          <w:szCs w:val="21"/>
        </w:rPr>
      </w:pPr>
      <w:r>
        <w:rPr>
          <w:rFonts w:ascii="KaiTi" w:eastAsia="KaiTi" w:hAnsi="KaiTi" w:cs="KaiTi"/>
          <w:spacing w:val="1"/>
          <w:position w:val="12"/>
          <w:sz w:val="21"/>
          <w:szCs w:val="21"/>
        </w:rPr>
        <w:t>(15)住房城乡建设部办公厅关于实施</w:t>
      </w:r>
      <w:r>
        <w:rPr>
          <w:rFonts w:ascii="KaiTi" w:eastAsia="KaiTi" w:hAnsi="KaiTi" w:cs="KaiTi"/>
          <w:spacing w:val="84"/>
          <w:position w:val="12"/>
          <w:sz w:val="21"/>
          <w:szCs w:val="21"/>
        </w:rPr>
        <w:t xml:space="preserve"> </w:t>
      </w:r>
      <w:r>
        <w:rPr>
          <w:rFonts w:ascii="KaiTi" w:eastAsia="KaiTi" w:hAnsi="KaiTi" w:cs="KaiTi"/>
          <w:spacing w:val="1"/>
          <w:position w:val="12"/>
          <w:sz w:val="21"/>
          <w:szCs w:val="21"/>
        </w:rPr>
        <w:t>《危险性较大的分部分项工程安全管理规定》</w:t>
      </w:r>
      <w:r>
        <w:rPr>
          <w:rFonts w:ascii="KaiTi" w:eastAsia="KaiTi" w:hAnsi="KaiTi" w:cs="KaiTi"/>
          <w:spacing w:val="85"/>
          <w:position w:val="12"/>
          <w:sz w:val="21"/>
          <w:szCs w:val="21"/>
        </w:rPr>
        <w:t xml:space="preserve"> </w:t>
      </w:r>
      <w:r>
        <w:rPr>
          <w:rFonts w:ascii="KaiTi" w:eastAsia="KaiTi" w:hAnsi="KaiTi" w:cs="KaiTi"/>
          <w:spacing w:val="1"/>
          <w:position w:val="12"/>
          <w:sz w:val="21"/>
          <w:szCs w:val="21"/>
        </w:rPr>
        <w:t>有</w:t>
      </w:r>
    </w:p>
    <w:p>
      <w:pPr>
        <w:spacing w:before="1" w:line="225" w:lineRule="auto"/>
        <w:rPr>
          <w:rFonts w:ascii="KaiTi" w:eastAsia="KaiTi" w:hAnsi="KaiTi" w:cs="KaiTi"/>
          <w:sz w:val="21"/>
          <w:szCs w:val="21"/>
        </w:rPr>
      </w:pPr>
      <w:r>
        <w:rPr>
          <w:rFonts w:ascii="KaiTi" w:eastAsia="KaiTi" w:hAnsi="KaiTi" w:cs="KaiTi"/>
          <w:spacing w:val="3"/>
          <w:sz w:val="21"/>
          <w:szCs w:val="21"/>
        </w:rPr>
        <w:t>关问题的通知建办质〔2018〕31</w:t>
      </w:r>
      <w:r>
        <w:rPr>
          <w:rFonts w:ascii="KaiTi" w:eastAsia="KaiTi" w:hAnsi="KaiTi" w:cs="KaiTi"/>
          <w:spacing w:val="3"/>
          <w:sz w:val="21"/>
          <w:szCs w:val="21"/>
        </w:rPr>
        <w:t xml:space="preserve"> </w:t>
      </w:r>
      <w:r>
        <w:rPr>
          <w:rFonts w:ascii="KaiTi" w:eastAsia="KaiTi" w:hAnsi="KaiTi" w:cs="KaiTi"/>
          <w:spacing w:val="3"/>
          <w:sz w:val="21"/>
          <w:szCs w:val="21"/>
        </w:rPr>
        <w:t>号</w:t>
      </w:r>
    </w:p>
    <w:p>
      <w:pPr>
        <w:spacing w:line="225" w:lineRule="auto"/>
        <w:rPr>
          <w:rFonts w:ascii="KaiTi" w:eastAsia="KaiTi" w:hAnsi="KaiTi" w:cs="KaiTi"/>
          <w:sz w:val="21"/>
          <w:szCs w:val="21"/>
        </w:rPr>
        <w:sectPr>
          <w:pgSz w:w="11910" w:h="16840"/>
          <w:pgMar w:top="1431" w:right="1527" w:bottom="0" w:left="1680" w:header="0" w:footer="0" w:gutter="0"/>
          <w:pgNumType w:start="5"/>
          <w:cols w:space="708"/>
        </w:sectPr>
      </w:pPr>
    </w:p>
    <w:p>
      <w:pPr>
        <w:spacing w:before="149" w:line="223" w:lineRule="auto"/>
        <w:ind w:left="80"/>
        <w:outlineLvl w:val="6"/>
        <w:rPr>
          <w:rFonts w:ascii="KaiTi" w:eastAsia="KaiTi" w:hAnsi="KaiTi" w:cs="KaiTi"/>
          <w:sz w:val="30"/>
          <w:szCs w:val="30"/>
        </w:rPr>
      </w:pPr>
      <w:r>
        <w:rPr>
          <w:rFonts w:ascii="KaiTi" w:eastAsia="KaiTi" w:hAnsi="KaiTi" w:cs="KaiTi"/>
          <w:b/>
          <w:bCs/>
          <w:spacing w:val="-9"/>
          <w:sz w:val="30"/>
          <w:szCs w:val="30"/>
        </w:rPr>
        <w:t>二、监理工作流程</w:t>
      </w:r>
    </w:p>
    <w:p>
      <w:pPr>
        <w:pStyle w:val="BodyText"/>
        <w:spacing w:before="146" w:line="8600" w:lineRule="exact"/>
        <w:ind w:firstLine="156"/>
      </w:pPr>
      <w:r>
        <w:rPr>
          <w:position w:val="-172"/>
        </w:rPr>
        <w:pict>
          <v:group id="_x0000_i1025" style="width:405.5pt;height:430.05pt;mso-position-horizontal-relative:char;mso-position-vertical-relative:line" coordorigin="0,0" coordsize="8110,860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110;height:8600;position:absolute" filled="f" stroked="f">
              <v:imagedata r:id="rId4" o:title=""/>
            </v:shape>
            <v:shapetype id="_x0000_t202" coordsize="21600,21600" o:spt="202" path="m,l,21600r21600,l21600,xe">
              <v:stroke joinstyle="miter"/>
              <v:path gradientshapeok="t" o:connecttype="rect"/>
            </v:shapetype>
            <v:shape id="_x0000_s1027" type="#_x0000_t202" style="width:7812;height:8347;left:149;position:absolute;top:122" filled="f" stroked="f">
              <o:lock v:ext="edit" aspectratio="f"/>
              <v:textbox inset="0,0,0,0">
                <w:txbxContent>
                  <w:p>
                    <w:pPr>
                      <w:spacing w:before="19" w:line="223" w:lineRule="auto"/>
                      <w:ind w:left="2380"/>
                      <w:rPr>
                        <w:rFonts w:ascii="KaiTi" w:eastAsia="KaiTi" w:hAnsi="KaiTi" w:cs="KaiTi"/>
                        <w:sz w:val="17"/>
                        <w:szCs w:val="17"/>
                      </w:rPr>
                    </w:pPr>
                    <w:r>
                      <w:rPr>
                        <w:rFonts w:ascii="KaiTi" w:eastAsia="KaiTi" w:hAnsi="KaiTi" w:cs="KaiTi"/>
                        <w:spacing w:val="-7"/>
                        <w:sz w:val="17"/>
                        <w:szCs w:val="17"/>
                      </w:rPr>
                      <w:t>制定高处作业吊篮监理实施细则</w:t>
                    </w:r>
                  </w:p>
                  <w:p>
                    <w:pPr>
                      <w:spacing w:before="294" w:line="223" w:lineRule="auto"/>
                      <w:ind w:left="5770"/>
                      <w:rPr>
                        <w:rFonts w:ascii="KaiTi" w:eastAsia="KaiTi" w:hAnsi="KaiTi" w:cs="KaiTi"/>
                        <w:sz w:val="17"/>
                        <w:szCs w:val="17"/>
                      </w:rPr>
                    </w:pPr>
                    <w:r>
                      <w:rPr>
                        <w:rFonts w:ascii="KaiTi" w:eastAsia="KaiTi" w:hAnsi="KaiTi" w:cs="KaiTi"/>
                        <w:spacing w:val="-5"/>
                        <w:sz w:val="17"/>
                        <w:szCs w:val="17"/>
                      </w:rPr>
                      <w:t>1.</w:t>
                    </w:r>
                    <w:r>
                      <w:rPr>
                        <w:rFonts w:ascii="KaiTi" w:eastAsia="KaiTi" w:hAnsi="KaiTi" w:cs="KaiTi"/>
                        <w:spacing w:val="70"/>
                        <w:sz w:val="17"/>
                        <w:szCs w:val="17"/>
                      </w:rPr>
                      <w:t xml:space="preserve"> </w:t>
                    </w:r>
                    <w:r>
                      <w:rPr>
                        <w:rFonts w:ascii="KaiTi" w:eastAsia="KaiTi" w:hAnsi="KaiTi" w:cs="KaiTi"/>
                        <w:spacing w:val="-5"/>
                        <w:sz w:val="17"/>
                        <w:szCs w:val="17"/>
                      </w:rPr>
                      <w:t>安全生产管理制度</w:t>
                    </w:r>
                  </w:p>
                  <w:p>
                    <w:pPr>
                      <w:spacing w:before="34" w:line="242" w:lineRule="auto"/>
                      <w:ind w:left="5770" w:right="210"/>
                      <w:rPr>
                        <w:rFonts w:ascii="KaiTi" w:eastAsia="KaiTi" w:hAnsi="KaiTi" w:cs="KaiTi"/>
                        <w:sz w:val="17"/>
                        <w:szCs w:val="17"/>
                      </w:rPr>
                    </w:pPr>
                    <w:r>
                      <w:rPr>
                        <w:rFonts w:ascii="KaiTi" w:eastAsia="KaiTi" w:hAnsi="KaiTi" w:cs="KaiTi"/>
                        <w:spacing w:val="-3"/>
                        <w:sz w:val="17"/>
                        <w:szCs w:val="17"/>
                      </w:rPr>
                      <w:t>2.</w:t>
                    </w:r>
                    <w:r>
                      <w:rPr>
                        <w:rFonts w:ascii="KaiTi" w:eastAsia="KaiTi" w:hAnsi="KaiTi" w:cs="KaiTi"/>
                        <w:spacing w:val="-3"/>
                        <w:sz w:val="17"/>
                        <w:szCs w:val="17"/>
                      </w:rPr>
                      <w:t xml:space="preserve">  </w:t>
                    </w:r>
                    <w:r>
                      <w:rPr>
                        <w:rFonts w:ascii="KaiTi" w:eastAsia="KaiTi" w:hAnsi="KaiTi" w:cs="KaiTi"/>
                        <w:spacing w:val="-3"/>
                        <w:sz w:val="17"/>
                        <w:szCs w:val="17"/>
                      </w:rPr>
                      <w:t>安全生产岗位责任制</w:t>
                    </w:r>
                    <w:r>
                      <w:rPr>
                        <w:rFonts w:ascii="KaiTi" w:eastAsia="KaiTi" w:hAnsi="KaiTi" w:cs="KaiTi"/>
                        <w:sz w:val="17"/>
                        <w:szCs w:val="17"/>
                      </w:rPr>
                      <w:t xml:space="preserve"> </w:t>
                    </w:r>
                    <w:r>
                      <w:rPr>
                        <w:rFonts w:ascii="KaiTi" w:eastAsia="KaiTi" w:hAnsi="KaiTi" w:cs="KaiTi"/>
                        <w:spacing w:val="-5"/>
                        <w:sz w:val="17"/>
                        <w:szCs w:val="17"/>
                      </w:rPr>
                      <w:t>3.</w:t>
                    </w:r>
                    <w:r>
                      <w:rPr>
                        <w:rFonts w:ascii="KaiTi" w:eastAsia="KaiTi" w:hAnsi="KaiTi" w:cs="KaiTi"/>
                        <w:spacing w:val="71"/>
                        <w:w w:val="101"/>
                        <w:sz w:val="17"/>
                        <w:szCs w:val="17"/>
                      </w:rPr>
                      <w:t xml:space="preserve"> </w:t>
                    </w:r>
                    <w:r>
                      <w:rPr>
                        <w:rFonts w:ascii="KaiTi" w:eastAsia="KaiTi" w:hAnsi="KaiTi" w:cs="KaiTi"/>
                        <w:spacing w:val="-5"/>
                        <w:sz w:val="17"/>
                        <w:szCs w:val="17"/>
                      </w:rPr>
                      <w:t>安全生产操作规程</w:t>
                    </w:r>
                  </w:p>
                  <w:p>
                    <w:pPr>
                      <w:spacing w:before="44" w:line="223" w:lineRule="auto"/>
                      <w:ind w:left="5770"/>
                      <w:rPr>
                        <w:rFonts w:ascii="KaiTi" w:eastAsia="KaiTi" w:hAnsi="KaiTi" w:cs="KaiTi"/>
                        <w:sz w:val="17"/>
                        <w:szCs w:val="17"/>
                      </w:rPr>
                    </w:pPr>
                    <w:r>
                      <w:rPr>
                        <w:rFonts w:ascii="KaiTi" w:eastAsia="KaiTi" w:hAnsi="KaiTi" w:cs="KaiTi"/>
                        <w:spacing w:val="-1"/>
                        <w:sz w:val="17"/>
                        <w:szCs w:val="17"/>
                      </w:rPr>
                      <w:t>4.</w:t>
                    </w:r>
                    <w:r>
                      <w:rPr>
                        <w:rFonts w:ascii="KaiTi" w:eastAsia="KaiTi" w:hAnsi="KaiTi" w:cs="KaiTi"/>
                        <w:spacing w:val="67"/>
                        <w:sz w:val="17"/>
                        <w:szCs w:val="17"/>
                      </w:rPr>
                      <w:t xml:space="preserve"> </w:t>
                    </w:r>
                    <w:r>
                      <w:rPr>
                        <w:rFonts w:ascii="KaiTi" w:eastAsia="KaiTi" w:hAnsi="KaiTi" w:cs="KaiTi"/>
                        <w:spacing w:val="-1"/>
                        <w:sz w:val="17"/>
                        <w:szCs w:val="17"/>
                      </w:rPr>
                      <w:t>安全管理人员到岗</w:t>
                    </w:r>
                  </w:p>
                  <w:p>
                    <w:pPr>
                      <w:spacing w:line="257" w:lineRule="auto"/>
                      <w:rPr>
                        <w:rFonts w:ascii="Arial"/>
                        <w:sz w:val="21"/>
                      </w:rPr>
                    </w:pPr>
                  </w:p>
                  <w:p>
                    <w:pPr>
                      <w:spacing w:before="56" w:line="247" w:lineRule="auto"/>
                      <w:ind w:left="5870" w:right="216" w:firstLine="10"/>
                      <w:rPr>
                        <w:rFonts w:ascii="KaiTi" w:eastAsia="KaiTi" w:hAnsi="KaiTi" w:cs="KaiTi"/>
                        <w:sz w:val="17"/>
                        <w:szCs w:val="17"/>
                      </w:rPr>
                    </w:pPr>
                    <w:r>
                      <w:rPr>
                        <w:rFonts w:ascii="KaiTi" w:eastAsia="KaiTi" w:hAnsi="KaiTi" w:cs="KaiTi"/>
                        <w:spacing w:val="1"/>
                        <w:sz w:val="17"/>
                        <w:szCs w:val="17"/>
                      </w:rPr>
                      <w:t>审查施工组织设计或专</w:t>
                    </w:r>
                    <w:r>
                      <w:rPr>
                        <w:rFonts w:ascii="KaiTi" w:eastAsia="KaiTi" w:hAnsi="KaiTi" w:cs="KaiTi"/>
                        <w:spacing w:val="4"/>
                        <w:sz w:val="17"/>
                        <w:szCs w:val="17"/>
                      </w:rPr>
                      <w:t xml:space="preserve"> </w:t>
                    </w:r>
                    <w:r>
                      <w:rPr>
                        <w:rFonts w:ascii="KaiTi" w:eastAsia="KaiTi" w:hAnsi="KaiTi" w:cs="KaiTi"/>
                        <w:spacing w:val="-2"/>
                        <w:sz w:val="17"/>
                        <w:szCs w:val="17"/>
                      </w:rPr>
                      <w:t>项施工方案</w:t>
                    </w:r>
                  </w:p>
                  <w:p>
                    <w:pPr>
                      <w:spacing w:line="258" w:lineRule="auto"/>
                      <w:rPr>
                        <w:rFonts w:ascii="Arial"/>
                        <w:sz w:val="21"/>
                      </w:rPr>
                    </w:pPr>
                  </w:p>
                  <w:p>
                    <w:pPr>
                      <w:spacing w:before="56" w:line="223" w:lineRule="exact"/>
                      <w:ind w:left="20"/>
                      <w:rPr>
                        <w:rFonts w:ascii="KaiTi" w:eastAsia="KaiTi" w:hAnsi="KaiTi" w:cs="KaiTi"/>
                        <w:sz w:val="17"/>
                        <w:szCs w:val="17"/>
                      </w:rPr>
                    </w:pPr>
                    <w:r>
                      <w:rPr>
                        <w:rFonts w:ascii="KaiTi" w:eastAsia="KaiTi" w:hAnsi="KaiTi" w:cs="KaiTi"/>
                        <w:spacing w:val="-2"/>
                        <w:position w:val="3"/>
                        <w:sz w:val="17"/>
                        <w:szCs w:val="17"/>
                      </w:rPr>
                      <w:t>2.</w:t>
                    </w:r>
                    <w:r>
                      <w:rPr>
                        <w:rFonts w:ascii="KaiTi" w:eastAsia="KaiTi" w:hAnsi="KaiTi" w:cs="KaiTi"/>
                        <w:spacing w:val="-2"/>
                        <w:position w:val="3"/>
                        <w:sz w:val="17"/>
                        <w:szCs w:val="17"/>
                      </w:rPr>
                      <w:t xml:space="preserve">  </w:t>
                    </w:r>
                    <w:r>
                      <w:rPr>
                        <w:rFonts w:ascii="KaiTi" w:eastAsia="KaiTi" w:hAnsi="KaiTi" w:cs="KaiTi"/>
                        <w:spacing w:val="-2"/>
                        <w:position w:val="3"/>
                        <w:sz w:val="17"/>
                        <w:szCs w:val="17"/>
                      </w:rPr>
                      <w:t>高处作业吊篮的使</w:t>
                    </w:r>
                  </w:p>
                  <w:p>
                    <w:pPr>
                      <w:spacing w:before="1" w:line="226" w:lineRule="auto"/>
                      <w:ind w:left="370"/>
                      <w:rPr>
                        <w:rFonts w:ascii="KaiTi" w:eastAsia="KaiTi" w:hAnsi="KaiTi" w:cs="KaiTi"/>
                        <w:sz w:val="17"/>
                        <w:szCs w:val="17"/>
                      </w:rPr>
                    </w:pPr>
                    <w:r>
                      <w:rPr>
                        <w:rFonts w:ascii="KaiTi" w:eastAsia="KaiTi" w:hAnsi="KaiTi" w:cs="KaiTi"/>
                        <w:spacing w:val="-5"/>
                        <w:sz w:val="17"/>
                        <w:szCs w:val="17"/>
                      </w:rPr>
                      <w:t>用情况</w:t>
                    </w:r>
                  </w:p>
                  <w:p>
                    <w:pPr>
                      <w:spacing w:before="28" w:line="262" w:lineRule="exact"/>
                      <w:ind w:left="20"/>
                      <w:rPr>
                        <w:rFonts w:ascii="KaiTi" w:eastAsia="KaiTi" w:hAnsi="KaiTi" w:cs="KaiTi"/>
                        <w:sz w:val="17"/>
                        <w:szCs w:val="17"/>
                      </w:rPr>
                    </w:pPr>
                    <w:r>
                      <w:rPr>
                        <w:rFonts w:ascii="KaiTi" w:eastAsia="KaiTi" w:hAnsi="KaiTi" w:cs="KaiTi"/>
                        <w:spacing w:val="-3"/>
                        <w:position w:val="6"/>
                        <w:sz w:val="17"/>
                        <w:szCs w:val="17"/>
                      </w:rPr>
                      <w:t>3.</w:t>
                    </w:r>
                    <w:r>
                      <w:rPr>
                        <w:rFonts w:ascii="KaiTi" w:eastAsia="KaiTi" w:hAnsi="KaiTi" w:cs="KaiTi"/>
                        <w:spacing w:val="84"/>
                        <w:position w:val="6"/>
                        <w:sz w:val="17"/>
                        <w:szCs w:val="17"/>
                      </w:rPr>
                      <w:t xml:space="preserve"> </w:t>
                    </w:r>
                    <w:r>
                      <w:rPr>
                        <w:rFonts w:ascii="KaiTi" w:eastAsia="KaiTi" w:hAnsi="KaiTi" w:cs="KaiTi"/>
                        <w:spacing w:val="-3"/>
                        <w:position w:val="6"/>
                        <w:sz w:val="17"/>
                        <w:szCs w:val="17"/>
                      </w:rPr>
                      <w:t>高处作业吊篮的拆</w:t>
                    </w:r>
                  </w:p>
                  <w:p>
                    <w:pPr>
                      <w:spacing w:before="1" w:line="225" w:lineRule="auto"/>
                      <w:ind w:left="370"/>
                      <w:rPr>
                        <w:rFonts w:ascii="KaiTi" w:eastAsia="KaiTi" w:hAnsi="KaiTi" w:cs="KaiTi"/>
                        <w:sz w:val="17"/>
                        <w:szCs w:val="17"/>
                      </w:rPr>
                    </w:pPr>
                    <w:r>
                      <w:rPr>
                        <w:rFonts w:ascii="KaiTi" w:eastAsia="KaiTi" w:hAnsi="KaiTi" w:cs="KaiTi"/>
                        <w:spacing w:val="-3"/>
                        <w:sz w:val="17"/>
                        <w:szCs w:val="17"/>
                      </w:rPr>
                      <w:t>卸情况</w:t>
                    </w:r>
                  </w:p>
                  <w:p>
                    <w:pPr>
                      <w:spacing w:before="132" w:line="227" w:lineRule="auto"/>
                      <w:ind w:left="5770"/>
                      <w:rPr>
                        <w:rFonts w:ascii="KaiTi" w:eastAsia="KaiTi" w:hAnsi="KaiTi" w:cs="KaiTi"/>
                        <w:sz w:val="17"/>
                        <w:szCs w:val="17"/>
                      </w:rPr>
                    </w:pPr>
                    <w:r>
                      <w:rPr>
                        <w:rFonts w:ascii="KaiTi" w:eastAsia="KaiTi" w:hAnsi="KaiTi" w:cs="KaiTi"/>
                        <w:spacing w:val="-4"/>
                        <w:sz w:val="17"/>
                        <w:szCs w:val="17"/>
                      </w:rPr>
                      <w:t>2.</w:t>
                    </w:r>
                    <w:r>
                      <w:rPr>
                        <w:rFonts w:ascii="KaiTi" w:eastAsia="KaiTi" w:hAnsi="KaiTi" w:cs="KaiTi"/>
                        <w:spacing w:val="82"/>
                        <w:sz w:val="17"/>
                        <w:szCs w:val="17"/>
                      </w:rPr>
                      <w:t xml:space="preserve"> </w:t>
                    </w:r>
                    <w:r>
                      <w:rPr>
                        <w:rFonts w:ascii="KaiTi" w:eastAsia="KaiTi" w:hAnsi="KaiTi" w:cs="KaiTi"/>
                        <w:spacing w:val="-4"/>
                        <w:sz w:val="17"/>
                        <w:szCs w:val="17"/>
                      </w:rPr>
                      <w:t>检查钢丝绳磨损情况</w:t>
                    </w:r>
                  </w:p>
                  <w:p>
                    <w:pPr>
                      <w:spacing w:before="20" w:line="225" w:lineRule="auto"/>
                      <w:ind w:right="18"/>
                      <w:jc w:val="right"/>
                      <w:rPr>
                        <w:rFonts w:ascii="KaiTi" w:eastAsia="KaiTi" w:hAnsi="KaiTi" w:cs="KaiTi"/>
                        <w:sz w:val="17"/>
                        <w:szCs w:val="17"/>
                      </w:rPr>
                    </w:pPr>
                    <w:r>
                      <w:rPr>
                        <w:rFonts w:ascii="KaiTi" w:eastAsia="KaiTi" w:hAnsi="KaiTi" w:cs="KaiTi"/>
                        <w:spacing w:val="-2"/>
                        <w:sz w:val="17"/>
                        <w:szCs w:val="17"/>
                      </w:rPr>
                      <w:t>3.</w:t>
                    </w:r>
                    <w:r>
                      <w:rPr>
                        <w:rFonts w:ascii="KaiTi" w:eastAsia="KaiTi" w:hAnsi="KaiTi" w:cs="KaiTi"/>
                        <w:spacing w:val="-2"/>
                        <w:sz w:val="17"/>
                        <w:szCs w:val="17"/>
                      </w:rPr>
                      <w:t xml:space="preserve">  </w:t>
                    </w:r>
                    <w:r>
                      <w:rPr>
                        <w:rFonts w:ascii="KaiTi" w:eastAsia="KaiTi" w:hAnsi="KaiTi" w:cs="KaiTi"/>
                        <w:spacing w:val="-2"/>
                        <w:sz w:val="17"/>
                        <w:szCs w:val="17"/>
                      </w:rPr>
                      <w:t>限位开关灵活可靠有无</w:t>
                    </w:r>
                  </w:p>
                  <w:p>
                    <w:pPr>
                      <w:spacing w:before="24" w:line="227" w:lineRule="auto"/>
                      <w:ind w:left="6110"/>
                      <w:rPr>
                        <w:rFonts w:ascii="KaiTi" w:eastAsia="KaiTi" w:hAnsi="KaiTi" w:cs="KaiTi"/>
                        <w:sz w:val="17"/>
                        <w:szCs w:val="17"/>
                      </w:rPr>
                    </w:pPr>
                    <w:r>
                      <w:rPr>
                        <w:rFonts w:ascii="KaiTi" w:eastAsia="KaiTi" w:hAnsi="KaiTi" w:cs="KaiTi"/>
                        <w:spacing w:val="-4"/>
                        <w:sz w:val="17"/>
                        <w:szCs w:val="17"/>
                      </w:rPr>
                      <w:t>漏电情况</w:t>
                    </w:r>
                  </w:p>
                  <w:p>
                    <w:pPr>
                      <w:spacing w:before="154" w:line="229" w:lineRule="auto"/>
                      <w:ind w:left="3100"/>
                      <w:rPr>
                        <w:rFonts w:ascii="KaiTi" w:eastAsia="KaiTi" w:hAnsi="KaiTi" w:cs="KaiTi"/>
                        <w:sz w:val="17"/>
                        <w:szCs w:val="17"/>
                      </w:rPr>
                    </w:pPr>
                    <w:r>
                      <w:rPr>
                        <w:rFonts w:ascii="KaiTi" w:eastAsia="KaiTi" w:hAnsi="KaiTi" w:cs="KaiTi"/>
                        <w:spacing w:val="-7"/>
                        <w:w w:val="97"/>
                        <w:sz w:val="17"/>
                        <w:szCs w:val="17"/>
                      </w:rPr>
                      <w:t>危大工程巡视</w:t>
                    </w:r>
                  </w:p>
                  <w:p>
                    <w:pPr>
                      <w:spacing w:before="145" w:line="225" w:lineRule="auto"/>
                      <w:ind w:left="2010"/>
                      <w:rPr>
                        <w:rFonts w:ascii="KaiTi" w:eastAsia="KaiTi" w:hAnsi="KaiTi" w:cs="KaiTi"/>
                        <w:sz w:val="17"/>
                        <w:szCs w:val="17"/>
                      </w:rPr>
                    </w:pPr>
                    <w:r>
                      <w:rPr>
                        <w:rFonts w:ascii="KaiTi" w:eastAsia="KaiTi" w:hAnsi="KaiTi" w:cs="KaiTi"/>
                        <w:spacing w:val="-2"/>
                        <w:sz w:val="17"/>
                        <w:szCs w:val="17"/>
                      </w:rPr>
                      <w:t>有隐忠</w:t>
                    </w:r>
                  </w:p>
                  <w:p>
                    <w:pPr>
                      <w:spacing w:before="251" w:line="246" w:lineRule="auto"/>
                      <w:ind w:left="4370" w:right="1471"/>
                      <w:rPr>
                        <w:rFonts w:ascii="FangSong" w:eastAsia="FangSong" w:hAnsi="FangSong" w:cs="FangSong"/>
                        <w:sz w:val="17"/>
                        <w:szCs w:val="17"/>
                      </w:rPr>
                    </w:pPr>
                    <w:r>
                      <w:rPr>
                        <w:rFonts w:ascii="KaiTi" w:eastAsia="KaiTi" w:hAnsi="KaiTi" w:cs="KaiTi"/>
                        <w:spacing w:val="1"/>
                        <w:sz w:val="17"/>
                        <w:szCs w:val="17"/>
                      </w:rPr>
                      <w:t>对高危作业/易发生安全风</w:t>
                    </w:r>
                    <w:r>
                      <w:rPr>
                        <w:rFonts w:ascii="KaiTi" w:eastAsia="KaiTi" w:hAnsi="KaiTi" w:cs="KaiTi"/>
                        <w:spacing w:val="1"/>
                        <w:sz w:val="17"/>
                        <w:szCs w:val="17"/>
                      </w:rPr>
                      <w:t xml:space="preserve"> </w:t>
                    </w:r>
                    <w:r>
                      <w:rPr>
                        <w:rFonts w:ascii="FangSong" w:eastAsia="FangSong" w:hAnsi="FangSong" w:cs="FangSong"/>
                        <w:spacing w:val="-9"/>
                        <w:sz w:val="17"/>
                        <w:szCs w:val="17"/>
                      </w:rPr>
                      <w:t>险源重点检查</w:t>
                    </w:r>
                  </w:p>
                  <w:p>
                    <w:pPr>
                      <w:spacing w:line="256" w:lineRule="auto"/>
                      <w:rPr>
                        <w:rFonts w:ascii="Arial"/>
                        <w:sz w:val="21"/>
                      </w:rPr>
                    </w:pPr>
                  </w:p>
                  <w:p>
                    <w:pPr>
                      <w:spacing w:before="56" w:line="229" w:lineRule="auto"/>
                      <w:ind w:left="4040"/>
                      <w:rPr>
                        <w:rFonts w:ascii="KaiTi" w:eastAsia="KaiTi" w:hAnsi="KaiTi" w:cs="KaiTi"/>
                        <w:sz w:val="17"/>
                        <w:szCs w:val="17"/>
                      </w:rPr>
                    </w:pPr>
                    <w:r>
                      <w:rPr>
                        <w:rFonts w:ascii="KaiTi" w:eastAsia="KaiTi" w:hAnsi="KaiTi" w:cs="KaiTi"/>
                        <w:spacing w:val="-1"/>
                        <w:sz w:val="17"/>
                        <w:szCs w:val="17"/>
                      </w:rPr>
                      <w:t>合格</w:t>
                    </w:r>
                  </w:p>
                  <w:p>
                    <w:pPr>
                      <w:spacing w:before="76" w:line="227" w:lineRule="auto"/>
                      <w:ind w:left="4869"/>
                      <w:rPr>
                        <w:rFonts w:ascii="KaiTi" w:eastAsia="KaiTi" w:hAnsi="KaiTi" w:cs="KaiTi"/>
                        <w:sz w:val="17"/>
                        <w:szCs w:val="17"/>
                      </w:rPr>
                    </w:pPr>
                    <w:r>
                      <w:rPr>
                        <w:rFonts w:ascii="KaiTi" w:eastAsia="KaiTi" w:hAnsi="KaiTi" w:cs="KaiTi"/>
                        <w:spacing w:val="-5"/>
                        <w:sz w:val="17"/>
                        <w:szCs w:val="17"/>
                      </w:rPr>
                      <w:t>做好安全记录</w:t>
                    </w:r>
                  </w:p>
                  <w:p>
                    <w:pPr>
                      <w:spacing w:line="315" w:lineRule="auto"/>
                      <w:rPr>
                        <w:rFonts w:ascii="Arial"/>
                        <w:sz w:val="21"/>
                      </w:rPr>
                    </w:pPr>
                  </w:p>
                  <w:p>
                    <w:pPr>
                      <w:spacing w:line="315" w:lineRule="auto"/>
                      <w:rPr>
                        <w:rFonts w:ascii="Arial"/>
                        <w:sz w:val="21"/>
                      </w:rPr>
                    </w:pPr>
                  </w:p>
                  <w:p>
                    <w:pPr>
                      <w:spacing w:before="56" w:line="246" w:lineRule="exact"/>
                      <w:ind w:left="2920"/>
                      <w:rPr>
                        <w:rFonts w:ascii="KaiTi" w:eastAsia="KaiTi" w:hAnsi="KaiTi" w:cs="KaiTi"/>
                        <w:sz w:val="17"/>
                        <w:szCs w:val="17"/>
                      </w:rPr>
                    </w:pPr>
                    <w:r>
                      <w:rPr>
                        <w:rFonts w:ascii="KaiTi" w:eastAsia="KaiTi" w:hAnsi="KaiTi" w:cs="KaiTi"/>
                        <w:spacing w:val="4"/>
                        <w:position w:val="5"/>
                        <w:sz w:val="17"/>
                        <w:szCs w:val="17"/>
                      </w:rPr>
                      <w:t>施工单位拒不</w:t>
                    </w:r>
                  </w:p>
                  <w:p>
                    <w:pPr>
                      <w:spacing w:before="1" w:line="232" w:lineRule="auto"/>
                      <w:ind w:left="2920"/>
                      <w:rPr>
                        <w:rFonts w:ascii="KaiTi" w:eastAsia="KaiTi" w:hAnsi="KaiTi" w:cs="KaiTi"/>
                        <w:sz w:val="17"/>
                        <w:szCs w:val="17"/>
                      </w:rPr>
                    </w:pPr>
                    <w:r>
                      <w:rPr>
                        <w:rFonts w:ascii="KaiTi" w:eastAsia="KaiTi" w:hAnsi="KaiTi" w:cs="KaiTi"/>
                        <w:spacing w:val="-7"/>
                        <w:sz w:val="17"/>
                        <w:szCs w:val="17"/>
                      </w:rPr>
                      <w:t>停工、不整改</w:t>
                    </w:r>
                  </w:p>
                  <w:p>
                    <w:pPr>
                      <w:spacing w:line="397" w:lineRule="auto"/>
                      <w:rPr>
                        <w:rFonts w:ascii="Arial"/>
                        <w:sz w:val="21"/>
                      </w:rPr>
                    </w:pPr>
                  </w:p>
                  <w:p>
                    <w:pPr>
                      <w:spacing w:before="56" w:line="236" w:lineRule="auto"/>
                      <w:ind w:left="2770"/>
                      <w:rPr>
                        <w:rFonts w:ascii="KaiTi" w:eastAsia="KaiTi" w:hAnsi="KaiTi" w:cs="KaiTi"/>
                        <w:sz w:val="17"/>
                        <w:szCs w:val="17"/>
                      </w:rPr>
                    </w:pPr>
                    <w:r>
                      <w:rPr>
                        <w:rFonts w:ascii="KaiTi" w:eastAsia="KaiTi" w:hAnsi="KaiTi" w:cs="KaiTi"/>
                        <w:spacing w:val="-6"/>
                        <w:position w:val="-1"/>
                        <w:sz w:val="17"/>
                        <w:szCs w:val="17"/>
                      </w:rPr>
                      <w:t>报告有关主管部门</w:t>
                    </w:r>
                    <w:r>
                      <w:rPr>
                        <w:rFonts w:ascii="KaiTi" w:eastAsia="KaiTi" w:hAnsi="KaiTi" w:cs="KaiTi"/>
                        <w:spacing w:val="5"/>
                        <w:position w:val="-1"/>
                        <w:sz w:val="17"/>
                        <w:szCs w:val="17"/>
                      </w:rPr>
                      <w:t xml:space="preserve">         </w:t>
                    </w:r>
                    <w:r>
                      <w:rPr>
                        <w:rFonts w:ascii="KaiTi" w:eastAsia="KaiTi" w:hAnsi="KaiTi" w:cs="KaiTi"/>
                        <w:spacing w:val="-6"/>
                        <w:position w:val="2"/>
                        <w:sz w:val="17"/>
                        <w:szCs w:val="17"/>
                      </w:rPr>
                      <w:t>安全监理总结</w:t>
                    </w:r>
                  </w:p>
                </w:txbxContent>
              </v:textbox>
            </v:shape>
            <v:shape id="_x0000_s1028" type="#_x0000_t202" style="width:1698;height:480;left:149;position:absolute;top:2152" filled="f" stroked="f">
              <o:lock v:ext="edit" aspectratio="f"/>
              <v:textbox inset="0,0,0,0">
                <w:txbxContent>
                  <w:p>
                    <w:pPr>
                      <w:spacing w:before="19" w:line="223" w:lineRule="auto"/>
                      <w:ind w:left="20"/>
                      <w:rPr>
                        <w:rFonts w:ascii="KaiTi" w:eastAsia="KaiTi" w:hAnsi="KaiTi" w:cs="KaiTi"/>
                        <w:sz w:val="17"/>
                        <w:szCs w:val="17"/>
                      </w:rPr>
                    </w:pPr>
                    <w:r>
                      <w:rPr>
                        <w:rFonts w:ascii="KaiTi" w:eastAsia="KaiTi" w:hAnsi="KaiTi" w:cs="KaiTi"/>
                        <w:spacing w:val="-4"/>
                        <w:sz w:val="17"/>
                        <w:szCs w:val="17"/>
                      </w:rPr>
                      <w:t>1.</w:t>
                    </w:r>
                    <w:r>
                      <w:rPr>
                        <w:rFonts w:ascii="KaiTi" w:eastAsia="KaiTi" w:hAnsi="KaiTi" w:cs="KaiTi"/>
                        <w:spacing w:val="84"/>
                        <w:sz w:val="17"/>
                        <w:szCs w:val="17"/>
                      </w:rPr>
                      <w:t xml:space="preserve"> </w:t>
                    </w:r>
                    <w:r>
                      <w:rPr>
                        <w:rFonts w:ascii="KaiTi" w:eastAsia="KaiTi" w:hAnsi="KaiTi" w:cs="KaiTi"/>
                        <w:spacing w:val="-4"/>
                        <w:sz w:val="17"/>
                        <w:szCs w:val="17"/>
                      </w:rPr>
                      <w:t>高处作业吊篮的安</w:t>
                    </w:r>
                  </w:p>
                  <w:p>
                    <w:pPr>
                      <w:spacing w:before="57" w:line="227" w:lineRule="auto"/>
                      <w:ind w:left="370"/>
                      <w:rPr>
                        <w:rFonts w:ascii="KaiTi" w:eastAsia="KaiTi" w:hAnsi="KaiTi" w:cs="KaiTi"/>
                        <w:sz w:val="17"/>
                        <w:szCs w:val="17"/>
                      </w:rPr>
                    </w:pPr>
                    <w:r>
                      <w:rPr>
                        <w:rFonts w:ascii="KaiTi" w:eastAsia="KaiTi" w:hAnsi="KaiTi" w:cs="KaiTi"/>
                        <w:spacing w:val="-2"/>
                        <w:sz w:val="17"/>
                        <w:szCs w:val="17"/>
                      </w:rPr>
                      <w:t>装情况</w:t>
                    </w:r>
                  </w:p>
                </w:txbxContent>
              </v:textbox>
            </v:shape>
            <v:shape id="_x0000_s1029" type="#_x0000_t202" style="width:713;height:820;left:2200;position:absolute;top:5466" filled="f" stroked="f">
              <o:lock v:ext="edit" aspectratio="f"/>
              <v:textbox inset="0,0,0,0">
                <w:txbxContent>
                  <w:p>
                    <w:pPr>
                      <w:spacing w:before="20" w:line="219" w:lineRule="auto"/>
                      <w:ind w:left="20"/>
                      <w:rPr>
                        <w:rFonts w:ascii="SimSun" w:eastAsia="SimSun" w:hAnsi="SimSun" w:cs="SimSun"/>
                        <w:sz w:val="17"/>
                        <w:szCs w:val="17"/>
                      </w:rPr>
                    </w:pPr>
                    <w:r>
                      <w:rPr>
                        <w:rFonts w:ascii="SimSun" w:eastAsia="SimSun" w:hAnsi="SimSun" w:cs="SimSun"/>
                        <w:spacing w:val="-2"/>
                        <w:sz w:val="17"/>
                        <w:szCs w:val="17"/>
                      </w:rPr>
                      <w:t>整改通知</w:t>
                    </w:r>
                  </w:p>
                  <w:p>
                    <w:pPr>
                      <w:spacing w:line="343" w:lineRule="auto"/>
                      <w:rPr>
                        <w:rFonts w:ascii="Arial"/>
                        <w:sz w:val="21"/>
                      </w:rPr>
                    </w:pPr>
                  </w:p>
                  <w:p>
                    <w:pPr>
                      <w:spacing w:before="55" w:line="229" w:lineRule="auto"/>
                      <w:ind w:left="70"/>
                      <w:rPr>
                        <w:rFonts w:ascii="KaiTi" w:eastAsia="KaiTi" w:hAnsi="KaiTi" w:cs="KaiTi"/>
                        <w:sz w:val="17"/>
                        <w:szCs w:val="17"/>
                      </w:rPr>
                    </w:pPr>
                    <w:r>
                      <w:rPr>
                        <w:rFonts w:ascii="KaiTi" w:eastAsia="KaiTi" w:hAnsi="KaiTi" w:cs="KaiTi"/>
                        <w:spacing w:val="-2"/>
                        <w:sz w:val="17"/>
                        <w:szCs w:val="17"/>
                      </w:rPr>
                      <w:t>不合格</w:t>
                    </w:r>
                  </w:p>
                </w:txbxContent>
              </v:textbox>
            </v:shape>
            <v:shape id="_x0000_s1030" type="#_x0000_t202" style="width:2001;height:217;left:2770;position:absolute;top:2904" filled="f" stroked="f">
              <o:lock v:ext="edit" aspectratio="f"/>
              <v:textbox inset="0,0,0,0">
                <w:txbxContent>
                  <w:p>
                    <w:pPr>
                      <w:spacing w:before="20" w:line="224" w:lineRule="auto"/>
                      <w:ind w:left="20"/>
                      <w:rPr>
                        <w:rFonts w:ascii="KaiTi" w:eastAsia="KaiTi" w:hAnsi="KaiTi" w:cs="KaiTi"/>
                        <w:sz w:val="17"/>
                        <w:szCs w:val="17"/>
                      </w:rPr>
                    </w:pPr>
                    <w:r>
                      <w:rPr>
                        <w:rFonts w:ascii="KaiTi" w:eastAsia="KaiTi" w:hAnsi="KaiTi" w:cs="KaiTi"/>
                        <w:spacing w:val="-6"/>
                        <w:sz w:val="17"/>
                        <w:szCs w:val="17"/>
                      </w:rPr>
                      <w:t>检查吊篮安装、使用、拆卸</w:t>
                    </w:r>
                  </w:p>
                </w:txbxContent>
              </v:textbox>
            </v:shape>
            <v:shape id="_x0000_s1031" type="#_x0000_t202" style="width:1676;height:217;left:2899;position:absolute;top:2032" filled="f" stroked="f">
              <o:lock v:ext="edit" aspectratio="f"/>
              <v:textbox inset="0,0,0,0">
                <w:txbxContent>
                  <w:p>
                    <w:pPr>
                      <w:spacing w:before="19" w:line="223" w:lineRule="auto"/>
                      <w:ind w:left="20"/>
                      <w:rPr>
                        <w:rFonts w:ascii="KaiTi" w:eastAsia="KaiTi" w:hAnsi="KaiTi" w:cs="KaiTi"/>
                        <w:sz w:val="17"/>
                        <w:szCs w:val="17"/>
                      </w:rPr>
                    </w:pPr>
                    <w:r>
                      <w:rPr>
                        <w:rFonts w:ascii="KaiTi" w:eastAsia="KaiTi" w:hAnsi="KaiTi" w:cs="KaiTi"/>
                        <w:spacing w:val="-6"/>
                        <w:sz w:val="17"/>
                        <w:szCs w:val="17"/>
                      </w:rPr>
                      <w:t>核查安全生产技术措施</w:t>
                    </w:r>
                  </w:p>
                </w:txbxContent>
              </v:textbox>
            </v:shape>
            <v:shape id="_x0000_s1032" type="#_x0000_t202" style="width:1676;height:217;left:2899;position:absolute;top:3800" filled="f" stroked="f">
              <o:lock v:ext="edit" aspectratio="f"/>
              <v:textbox inset="0,0,0,0">
                <w:txbxContent>
                  <w:p>
                    <w:pPr>
                      <w:spacing w:before="19" w:line="232" w:lineRule="auto"/>
                      <w:ind w:left="20"/>
                      <w:rPr>
                        <w:rFonts w:ascii="KaiTi" w:eastAsia="KaiTi" w:hAnsi="KaiTi" w:cs="KaiTi"/>
                        <w:sz w:val="17"/>
                        <w:szCs w:val="17"/>
                      </w:rPr>
                    </w:pPr>
                    <w:r>
                      <w:rPr>
                        <w:rFonts w:ascii="KaiTi" w:eastAsia="KaiTi" w:hAnsi="KaiTi" w:cs="KaiTi"/>
                        <w:spacing w:val="-6"/>
                        <w:sz w:val="17"/>
                        <w:szCs w:val="17"/>
                      </w:rPr>
                      <w:t>检查施工现场安全环境</w:t>
                    </w:r>
                  </w:p>
                </w:txbxContent>
              </v:textbox>
            </v:shape>
            <v:shape id="_x0000_s1033" type="#_x0000_t202" style="width:1648;height:217;left:2899;position:absolute;top:1002" filled="f" stroked="f">
              <o:lock v:ext="edit" aspectratio="f"/>
              <v:textbox inset="0,0,0,0">
                <w:txbxContent>
                  <w:p>
                    <w:pPr>
                      <w:spacing w:before="19" w:line="223" w:lineRule="auto"/>
                      <w:ind w:left="20"/>
                      <w:rPr>
                        <w:rFonts w:ascii="KaiTi" w:eastAsia="KaiTi" w:hAnsi="KaiTi" w:cs="KaiTi"/>
                        <w:sz w:val="17"/>
                        <w:szCs w:val="17"/>
                      </w:rPr>
                    </w:pPr>
                    <w:r>
                      <w:rPr>
                        <w:rFonts w:ascii="KaiTi" w:eastAsia="KaiTi" w:hAnsi="KaiTi" w:cs="KaiTi"/>
                        <w:spacing w:val="-9"/>
                        <w:sz w:val="17"/>
                        <w:szCs w:val="17"/>
                      </w:rPr>
                      <w:t>核查安全生产保证体系</w:t>
                    </w:r>
                  </w:p>
                </w:txbxContent>
              </v:textbox>
            </v:shape>
            <v:shape id="_x0000_s1034" type="#_x0000_t202" style="width:1343;height:217;left:5899;position:absolute;top:3470" filled="f" stroked="f">
              <o:lock v:ext="edit" aspectratio="f"/>
              <v:textbox inset="0,0,0,0">
                <w:txbxContent>
                  <w:p>
                    <w:pPr>
                      <w:spacing w:before="19" w:line="231" w:lineRule="auto"/>
                      <w:ind w:left="20"/>
                      <w:rPr>
                        <w:rFonts w:ascii="KaiTi" w:eastAsia="KaiTi" w:hAnsi="KaiTi" w:cs="KaiTi"/>
                        <w:sz w:val="17"/>
                        <w:szCs w:val="17"/>
                      </w:rPr>
                    </w:pPr>
                    <w:r>
                      <w:rPr>
                        <w:rFonts w:ascii="KaiTi" w:eastAsia="KaiTi" w:hAnsi="KaiTi" w:cs="KaiTi"/>
                        <w:spacing w:val="-5"/>
                        <w:sz w:val="17"/>
                        <w:szCs w:val="17"/>
                      </w:rPr>
                      <w:t>1.</w:t>
                    </w:r>
                    <w:r>
                      <w:rPr>
                        <w:rFonts w:ascii="KaiTi" w:eastAsia="KaiTi" w:hAnsi="KaiTi" w:cs="KaiTi"/>
                        <w:spacing w:val="70"/>
                        <w:sz w:val="17"/>
                        <w:szCs w:val="17"/>
                      </w:rPr>
                      <w:t xml:space="preserve"> </w:t>
                    </w:r>
                    <w:r>
                      <w:rPr>
                        <w:rFonts w:ascii="KaiTi" w:eastAsia="KaiTi" w:hAnsi="KaiTi" w:cs="KaiTi"/>
                        <w:spacing w:val="-5"/>
                        <w:sz w:val="17"/>
                        <w:szCs w:val="17"/>
                      </w:rPr>
                      <w:t>检查机械状态</w:t>
                    </w:r>
                  </w:p>
                </w:txbxContent>
              </v:textbox>
            </v:shape>
            <v:shape id="_x0000_s1035" type="#_x0000_t202" style="width:1028;height:217;left:1080;position:absolute;top:7484" filled="f" stroked="f">
              <o:lock v:ext="edit" aspectratio="f"/>
              <v:textbox inset="0,0,0,0">
                <w:txbxContent>
                  <w:p>
                    <w:pPr>
                      <w:spacing w:before="20" w:line="225" w:lineRule="auto"/>
                      <w:ind w:left="20"/>
                      <w:rPr>
                        <w:rFonts w:ascii="KaiTi" w:eastAsia="KaiTi" w:hAnsi="KaiTi" w:cs="KaiTi"/>
                        <w:sz w:val="17"/>
                        <w:szCs w:val="17"/>
                      </w:rPr>
                    </w:pPr>
                    <w:r>
                      <w:rPr>
                        <w:rFonts w:ascii="KaiTi" w:eastAsia="KaiTi" w:hAnsi="KaiTi" w:cs="KaiTi"/>
                        <w:spacing w:val="-5"/>
                        <w:sz w:val="17"/>
                        <w:szCs w:val="17"/>
                      </w:rPr>
                      <w:t>报告建设单位</w:t>
                    </w:r>
                  </w:p>
                </w:txbxContent>
              </v:textbox>
            </v:shape>
            <v:shape id="_x0000_s1036" type="#_x0000_t202" style="width:715;height:217;left:1239;position:absolute;top:6381" filled="f" stroked="f">
              <o:lock v:ext="edit" aspectratio="f"/>
              <v:textbox inset="0,0,0,0">
                <w:txbxContent>
                  <w:p>
                    <w:pPr>
                      <w:spacing w:before="20" w:line="232" w:lineRule="auto"/>
                      <w:ind w:left="20"/>
                      <w:rPr>
                        <w:rFonts w:ascii="KaiTi" w:eastAsia="KaiTi" w:hAnsi="KaiTi" w:cs="KaiTi"/>
                        <w:sz w:val="17"/>
                        <w:szCs w:val="17"/>
                      </w:rPr>
                    </w:pPr>
                    <w:r>
                      <w:rPr>
                        <w:rFonts w:ascii="KaiTi" w:eastAsia="KaiTi" w:hAnsi="KaiTi" w:cs="KaiTi"/>
                        <w:spacing w:val="-1"/>
                        <w:sz w:val="17"/>
                        <w:szCs w:val="17"/>
                      </w:rPr>
                      <w:t>停工整改</w:t>
                    </w:r>
                  </w:p>
                </w:txbxContent>
              </v:textbox>
            </v:shape>
            <v:shape id="_x0000_s1037" type="#_x0000_t202" style="width:710;height:217;left:3109;position:absolute;top:6410" filled="f" stroked="f">
              <o:lock v:ext="edit" aspectratio="f"/>
              <v:textbox inset="0,0,0,0">
                <w:txbxContent>
                  <w:p>
                    <w:pPr>
                      <w:spacing w:before="19" w:line="232" w:lineRule="auto"/>
                      <w:ind w:left="20"/>
                      <w:rPr>
                        <w:rFonts w:ascii="KaiTi" w:eastAsia="KaiTi" w:hAnsi="KaiTi" w:cs="KaiTi"/>
                        <w:sz w:val="17"/>
                        <w:szCs w:val="17"/>
                      </w:rPr>
                    </w:pPr>
                    <w:r>
                      <w:rPr>
                        <w:rFonts w:ascii="KaiTi" w:eastAsia="KaiTi" w:hAnsi="KaiTi" w:cs="KaiTi"/>
                        <w:spacing w:val="-3"/>
                        <w:sz w:val="17"/>
                        <w:szCs w:val="17"/>
                      </w:rPr>
                      <w:t>整改复验</w:t>
                    </w:r>
                  </w:p>
                </w:txbxContent>
              </v:textbox>
            </v:shape>
            <v:shape id="_x0000_s1038" type="#_x0000_t202" style="width:709;height:213;left:5170;position:absolute;top:7306" filled="f" stroked="f">
              <o:lock v:ext="edit" aspectratio="f"/>
              <v:textbox inset="0,0,0,0">
                <w:txbxContent>
                  <w:p>
                    <w:pPr>
                      <w:spacing w:before="19" w:line="224" w:lineRule="auto"/>
                      <w:ind w:left="20"/>
                      <w:rPr>
                        <w:rFonts w:ascii="FangSong" w:eastAsia="FangSong" w:hAnsi="FangSong" w:cs="FangSong"/>
                        <w:sz w:val="17"/>
                        <w:szCs w:val="17"/>
                      </w:rPr>
                    </w:pPr>
                    <w:r>
                      <w:rPr>
                        <w:rFonts w:ascii="FangSong" w:eastAsia="FangSong" w:hAnsi="FangSong" w:cs="FangSong"/>
                        <w:spacing w:val="-3"/>
                        <w:sz w:val="17"/>
                        <w:szCs w:val="17"/>
                      </w:rPr>
                      <w:t>继续施工</w:t>
                    </w:r>
                  </w:p>
                </w:txbxContent>
              </v:textbox>
            </v:shape>
            <v:shape id="_x0000_s1039" type="#_x0000_t202" style="width:540;height:213;left:3500;position:absolute;top:5275" filled="f" stroked="f">
              <o:lock v:ext="edit" aspectratio="f"/>
              <v:textbox inset="0,0,0,0">
                <w:txbxContent>
                  <w:p>
                    <w:pPr>
                      <w:spacing w:before="20" w:line="222" w:lineRule="auto"/>
                      <w:ind w:left="20"/>
                      <w:rPr>
                        <w:rFonts w:ascii="FangSong" w:eastAsia="FangSong" w:hAnsi="FangSong" w:cs="FangSong"/>
                        <w:sz w:val="17"/>
                        <w:szCs w:val="17"/>
                      </w:rPr>
                    </w:pPr>
                    <w:r>
                      <w:rPr>
                        <w:rFonts w:ascii="FangSong" w:eastAsia="FangSong" w:hAnsi="FangSong" w:cs="FangSong"/>
                        <w:spacing w:val="-3"/>
                        <w:sz w:val="17"/>
                        <w:szCs w:val="17"/>
                      </w:rPr>
                      <w:t>有隐志</w:t>
                    </w:r>
                  </w:p>
                </w:txbxContent>
              </v:textbox>
            </v:shape>
            <v:shape id="_x0000_s1040" type="#_x0000_t202" style="width:202;height:564;left:1143;position:absolute;top:5489" filled="f" stroked="f">
              <o:lock v:ext="edit" aspectratio="f"/>
              <v:textbox style="layout-flow:vertical-ideographic" inset="0,0,0,0">
                <w:txbxContent>
                  <w:p>
                    <w:pPr>
                      <w:spacing w:before="20" w:line="216" w:lineRule="auto"/>
                      <w:ind w:left="20"/>
                      <w:rPr>
                        <w:rFonts w:ascii="SimSun" w:eastAsia="SimSun" w:hAnsi="SimSun" w:cs="SimSun"/>
                        <w:sz w:val="16"/>
                        <w:szCs w:val="16"/>
                      </w:rPr>
                    </w:pPr>
                    <w:r>
                      <w:rPr>
                        <w:rFonts w:ascii="SimSun" w:eastAsia="SimSun" w:hAnsi="SimSun" w:cs="SimSun"/>
                        <w:spacing w:val="14"/>
                        <w:sz w:val="16"/>
                        <w:szCs w:val="16"/>
                      </w:rPr>
                      <w:t>不整改</w:t>
                    </w:r>
                  </w:p>
                </w:txbxContent>
              </v:textbox>
            </v:shape>
            <w10:wrap type="none"/>
          </v:group>
        </w:pict>
      </w:r>
    </w:p>
    <w:p>
      <w:pPr>
        <w:spacing w:before="270" w:line="223" w:lineRule="auto"/>
        <w:ind w:left="2600"/>
        <w:rPr>
          <w:rFonts w:ascii="KaiTi" w:eastAsia="KaiTi" w:hAnsi="KaiTi" w:cs="KaiTi"/>
          <w:sz w:val="30"/>
          <w:szCs w:val="30"/>
        </w:rPr>
      </w:pPr>
      <w:r>
        <w:rPr>
          <w:rFonts w:ascii="KaiTi" w:eastAsia="KaiTi" w:hAnsi="KaiTi" w:cs="KaiTi"/>
          <w:b/>
          <w:bCs/>
          <w:spacing w:val="-5"/>
          <w:sz w:val="30"/>
          <w:szCs w:val="30"/>
        </w:rPr>
        <w:t>第三章</w:t>
      </w:r>
      <w:r>
        <w:rPr>
          <w:rFonts w:ascii="KaiTi" w:eastAsia="KaiTi" w:hAnsi="KaiTi" w:cs="KaiTi"/>
          <w:spacing w:val="40"/>
          <w:sz w:val="30"/>
          <w:szCs w:val="30"/>
        </w:rPr>
        <w:t xml:space="preserve">   </w:t>
      </w:r>
      <w:r>
        <w:rPr>
          <w:rFonts w:ascii="KaiTi" w:eastAsia="KaiTi" w:hAnsi="KaiTi" w:cs="KaiTi"/>
          <w:b/>
          <w:bCs/>
          <w:spacing w:val="-5"/>
          <w:sz w:val="30"/>
          <w:szCs w:val="30"/>
        </w:rPr>
        <w:t>监理工作要点</w:t>
      </w:r>
    </w:p>
    <w:p>
      <w:pPr>
        <w:spacing w:before="79" w:line="224" w:lineRule="auto"/>
        <w:outlineLvl w:val="6"/>
        <w:rPr>
          <w:rFonts w:ascii="KaiTi" w:eastAsia="KaiTi" w:hAnsi="KaiTi" w:cs="KaiTi"/>
          <w:sz w:val="24"/>
          <w:szCs w:val="24"/>
        </w:rPr>
      </w:pPr>
      <w:r>
        <w:rPr>
          <w:rFonts w:ascii="KaiTi" w:eastAsia="KaiTi" w:hAnsi="KaiTi" w:cs="KaiTi"/>
          <w:b/>
          <w:bCs/>
          <w:spacing w:val="-4"/>
          <w:sz w:val="24"/>
          <w:szCs w:val="24"/>
        </w:rPr>
        <w:t>一、事前监理控制要点与方法</w:t>
      </w:r>
    </w:p>
    <w:p>
      <w:pPr>
        <w:spacing w:before="100" w:line="360" w:lineRule="exact"/>
        <w:ind w:left="326"/>
        <w:rPr>
          <w:rFonts w:ascii="KaiTi" w:eastAsia="KaiTi" w:hAnsi="KaiTi" w:cs="KaiTi"/>
          <w:sz w:val="21"/>
          <w:szCs w:val="21"/>
        </w:rPr>
      </w:pPr>
      <w:r>
        <w:rPr>
          <w:rFonts w:ascii="KaiTi" w:eastAsia="KaiTi" w:hAnsi="KaiTi" w:cs="KaiTi"/>
          <w:spacing w:val="-1"/>
          <w:position w:val="10"/>
          <w:sz w:val="21"/>
          <w:szCs w:val="21"/>
        </w:rPr>
        <w:t>1、审查总承包单位申报的高处作业吊篮进场安装申请</w:t>
      </w:r>
    </w:p>
    <w:p>
      <w:pPr>
        <w:spacing w:before="1" w:line="222" w:lineRule="auto"/>
        <w:ind w:left="326"/>
        <w:rPr>
          <w:rFonts w:ascii="KaiTi" w:eastAsia="KaiTi" w:hAnsi="KaiTi" w:cs="KaiTi"/>
          <w:sz w:val="21"/>
          <w:szCs w:val="21"/>
        </w:rPr>
      </w:pPr>
      <w:r>
        <w:rPr>
          <w:rFonts w:ascii="KaiTi" w:eastAsia="KaiTi" w:hAnsi="KaiTi" w:cs="KaiTi"/>
          <w:spacing w:val="-1"/>
          <w:sz w:val="21"/>
          <w:szCs w:val="21"/>
        </w:rPr>
        <w:t>1.1</w:t>
      </w:r>
      <w:r>
        <w:rPr>
          <w:rFonts w:ascii="KaiTi" w:eastAsia="KaiTi" w:hAnsi="KaiTi" w:cs="KaiTi"/>
          <w:spacing w:val="-48"/>
          <w:sz w:val="21"/>
          <w:szCs w:val="21"/>
        </w:rPr>
        <w:t xml:space="preserve"> </w:t>
      </w:r>
      <w:r>
        <w:rPr>
          <w:rFonts w:ascii="KaiTi" w:eastAsia="KaiTi" w:hAnsi="KaiTi" w:cs="KaiTi"/>
          <w:spacing w:val="-1"/>
          <w:sz w:val="21"/>
          <w:szCs w:val="21"/>
        </w:rPr>
        <w:t>核查高处作业吊篮生产企业的营业执照、生产资质</w:t>
      </w:r>
    </w:p>
    <w:p>
      <w:pPr>
        <w:spacing w:before="107" w:line="265" w:lineRule="auto"/>
        <w:ind w:left="326" w:right="1664"/>
        <w:rPr>
          <w:rFonts w:ascii="KaiTi" w:eastAsia="KaiTi" w:hAnsi="KaiTi" w:cs="KaiTi"/>
          <w:sz w:val="21"/>
          <w:szCs w:val="21"/>
        </w:rPr>
      </w:pPr>
      <w:r>
        <w:rPr>
          <w:rFonts w:ascii="KaiTi" w:eastAsia="KaiTi" w:hAnsi="KaiTi" w:cs="KaiTi"/>
          <w:spacing w:val="1"/>
          <w:sz w:val="21"/>
          <w:szCs w:val="21"/>
        </w:rPr>
        <w:t>1.2核查高处作业吊篮安装单位的安全生产许可证、企业资质、安</w:t>
      </w:r>
      <w:r>
        <w:rPr>
          <w:rFonts w:ascii="KaiTi" w:eastAsia="KaiTi" w:hAnsi="KaiTi" w:cs="KaiTi"/>
          <w:sz w:val="21"/>
          <w:szCs w:val="21"/>
        </w:rPr>
        <w:t>装资质</w:t>
      </w:r>
      <w:r>
        <w:rPr>
          <w:rFonts w:ascii="KaiTi" w:eastAsia="KaiTi" w:hAnsi="KaiTi" w:cs="KaiTi"/>
          <w:sz w:val="21"/>
          <w:szCs w:val="21"/>
        </w:rPr>
        <w:t xml:space="preserve"> </w:t>
      </w:r>
      <w:r>
        <w:rPr>
          <w:rFonts w:ascii="KaiTi" w:eastAsia="KaiTi" w:hAnsi="KaiTi" w:cs="KaiTi"/>
          <w:spacing w:val="-3"/>
          <w:sz w:val="21"/>
          <w:szCs w:val="21"/>
        </w:rPr>
        <w:t>2、审查高处作业吊篮的专项施工方案</w:t>
      </w:r>
    </w:p>
    <w:p>
      <w:pPr>
        <w:spacing w:before="83" w:line="387" w:lineRule="exact"/>
        <w:jc w:val="right"/>
        <w:rPr>
          <w:rFonts w:ascii="KaiTi" w:eastAsia="KaiTi" w:hAnsi="KaiTi" w:cs="KaiTi"/>
          <w:sz w:val="21"/>
          <w:szCs w:val="21"/>
        </w:rPr>
      </w:pPr>
      <w:r>
        <w:rPr>
          <w:rFonts w:ascii="KaiTi" w:eastAsia="KaiTi" w:hAnsi="KaiTi" w:cs="KaiTi"/>
          <w:position w:val="13"/>
          <w:sz w:val="21"/>
          <w:szCs w:val="21"/>
        </w:rPr>
        <w:t>2.1审查高处作业吊篮专项施工方案的编制依据是否符合工程实际，有无采用过期规范、是</w:t>
      </w:r>
    </w:p>
    <w:p>
      <w:pPr>
        <w:spacing w:before="1" w:line="225" w:lineRule="auto"/>
        <w:ind w:left="326"/>
        <w:rPr>
          <w:rFonts w:ascii="KaiTi" w:eastAsia="KaiTi" w:hAnsi="KaiTi" w:cs="KaiTi"/>
          <w:sz w:val="21"/>
          <w:szCs w:val="21"/>
        </w:rPr>
      </w:pPr>
      <w:r>
        <w:rPr>
          <w:rFonts w:ascii="KaiTi" w:eastAsia="KaiTi" w:hAnsi="KaiTi" w:cs="KaiTi"/>
          <w:spacing w:val="-2"/>
          <w:sz w:val="21"/>
          <w:szCs w:val="21"/>
        </w:rPr>
        <w:t>否缺项等</w:t>
      </w:r>
    </w:p>
    <w:p>
      <w:pPr>
        <w:spacing w:before="99" w:line="367" w:lineRule="exact"/>
        <w:ind w:left="326"/>
        <w:rPr>
          <w:rFonts w:ascii="KaiTi" w:eastAsia="KaiTi" w:hAnsi="KaiTi" w:cs="KaiTi"/>
          <w:sz w:val="21"/>
          <w:szCs w:val="21"/>
        </w:rPr>
      </w:pPr>
      <w:r>
        <w:rPr>
          <w:rFonts w:ascii="KaiTi" w:eastAsia="KaiTi" w:hAnsi="KaiTi" w:cs="KaiTi"/>
          <w:position w:val="11"/>
          <w:sz w:val="21"/>
          <w:szCs w:val="21"/>
        </w:rPr>
        <w:t>2.2审查高处作业吊篮专项施工方案的工程概况是否与设计文件一致</w:t>
      </w:r>
    </w:p>
    <w:p>
      <w:pPr>
        <w:spacing w:line="220" w:lineRule="auto"/>
        <w:ind w:left="326"/>
        <w:rPr>
          <w:rFonts w:ascii="KaiTi" w:eastAsia="KaiTi" w:hAnsi="KaiTi" w:cs="KaiTi"/>
          <w:sz w:val="21"/>
          <w:szCs w:val="21"/>
        </w:rPr>
      </w:pPr>
      <w:r>
        <w:rPr>
          <w:rFonts w:ascii="KaiTi" w:eastAsia="KaiTi" w:hAnsi="KaiTi" w:cs="KaiTi"/>
          <w:spacing w:val="2"/>
          <w:sz w:val="21"/>
          <w:szCs w:val="21"/>
        </w:rPr>
        <w:t>2.3审查总承包单位的质量、安全体系是否健全，有无具体人员名单</w:t>
      </w:r>
    </w:p>
    <w:p>
      <w:pPr>
        <w:spacing w:before="113" w:line="223" w:lineRule="auto"/>
        <w:ind w:left="326"/>
        <w:rPr>
          <w:rFonts w:ascii="KaiTi" w:eastAsia="KaiTi" w:hAnsi="KaiTi" w:cs="KaiTi"/>
          <w:sz w:val="21"/>
          <w:szCs w:val="21"/>
        </w:rPr>
      </w:pPr>
      <w:r>
        <w:rPr>
          <w:rFonts w:ascii="KaiTi" w:eastAsia="KaiTi" w:hAnsi="KaiTi" w:cs="KaiTi"/>
          <w:spacing w:val="2"/>
          <w:sz w:val="21"/>
          <w:szCs w:val="21"/>
        </w:rPr>
        <w:t>2.4审查高处作业吊篮安装人员的特种作业人员是</w:t>
      </w:r>
      <w:r>
        <w:rPr>
          <w:rFonts w:ascii="KaiTi" w:eastAsia="KaiTi" w:hAnsi="KaiTi" w:cs="KaiTi"/>
          <w:spacing w:val="1"/>
          <w:sz w:val="21"/>
          <w:szCs w:val="21"/>
        </w:rPr>
        <w:t>否过期以及人证相符情况</w:t>
      </w:r>
    </w:p>
    <w:p>
      <w:pPr>
        <w:spacing w:before="103" w:line="220" w:lineRule="auto"/>
        <w:jc w:val="right"/>
        <w:rPr>
          <w:rFonts w:ascii="KaiTi" w:eastAsia="KaiTi" w:hAnsi="KaiTi" w:cs="KaiTi"/>
          <w:sz w:val="21"/>
          <w:szCs w:val="21"/>
        </w:rPr>
      </w:pPr>
      <w:r>
        <w:rPr>
          <w:rFonts w:ascii="KaiTi" w:eastAsia="KaiTi" w:hAnsi="KaiTi" w:cs="KaiTi"/>
          <w:sz w:val="21"/>
          <w:szCs w:val="21"/>
        </w:rPr>
        <w:t>2.5审查高处作业吊篮施工工期及施工进度安排计划是否突破总进度计划，是否突破施工合</w:t>
      </w:r>
    </w:p>
    <w:p>
      <w:pPr>
        <w:spacing w:line="220" w:lineRule="auto"/>
        <w:rPr>
          <w:rFonts w:ascii="KaiTi" w:eastAsia="KaiTi" w:hAnsi="KaiTi" w:cs="KaiTi"/>
          <w:sz w:val="21"/>
          <w:szCs w:val="21"/>
        </w:rPr>
        <w:sectPr>
          <w:pgSz w:w="11910" w:h="16840"/>
          <w:pgMar w:top="1431" w:right="1539" w:bottom="0" w:left="1733" w:header="0" w:footer="0" w:gutter="0"/>
          <w:pgNumType w:start="6"/>
          <w:cols w:space="708"/>
        </w:sectPr>
      </w:pPr>
    </w:p>
    <w:p>
      <w:pPr>
        <w:spacing w:before="112" w:line="223" w:lineRule="auto"/>
        <w:ind w:left="316"/>
        <w:rPr>
          <w:rFonts w:ascii="KaiTi" w:eastAsia="KaiTi" w:hAnsi="KaiTi" w:cs="KaiTi"/>
          <w:sz w:val="21"/>
          <w:szCs w:val="21"/>
        </w:rPr>
      </w:pPr>
      <w:r>
        <w:rPr>
          <w:rFonts w:ascii="KaiTi" w:eastAsia="KaiTi" w:hAnsi="KaiTi" w:cs="KaiTi"/>
          <w:spacing w:val="-8"/>
          <w:sz w:val="21"/>
          <w:szCs w:val="21"/>
        </w:rPr>
        <w:t>同约定</w:t>
      </w:r>
    </w:p>
    <w:p>
      <w:pPr>
        <w:spacing w:before="102" w:line="269" w:lineRule="auto"/>
        <w:ind w:left="316" w:right="106"/>
        <w:rPr>
          <w:rFonts w:ascii="KaiTi" w:eastAsia="KaiTi" w:hAnsi="KaiTi" w:cs="KaiTi"/>
          <w:sz w:val="21"/>
          <w:szCs w:val="21"/>
        </w:rPr>
      </w:pPr>
      <w:r>
        <w:rPr>
          <w:rFonts w:ascii="KaiTi" w:eastAsia="KaiTi" w:hAnsi="KaiTi" w:cs="KaiTi"/>
          <w:sz w:val="21"/>
          <w:szCs w:val="21"/>
        </w:rPr>
        <w:t>2.6审查劳动力与机械设备配置、材料和构件等供应计划是否满足工程施</w:t>
      </w:r>
      <w:r>
        <w:rPr>
          <w:rFonts w:ascii="KaiTi" w:eastAsia="KaiTi" w:hAnsi="KaiTi" w:cs="KaiTi"/>
          <w:spacing w:val="-1"/>
          <w:sz w:val="21"/>
          <w:szCs w:val="21"/>
        </w:rPr>
        <w:t>工进度安排，具有</w:t>
      </w:r>
      <w:r>
        <w:rPr>
          <w:rFonts w:ascii="KaiTi" w:eastAsia="KaiTi" w:hAnsi="KaiTi" w:cs="KaiTi"/>
          <w:sz w:val="21"/>
          <w:szCs w:val="21"/>
        </w:rPr>
        <w:t xml:space="preserve"> </w:t>
      </w:r>
      <w:r>
        <w:rPr>
          <w:rFonts w:ascii="KaiTi" w:eastAsia="KaiTi" w:hAnsi="KaiTi" w:cs="KaiTi"/>
          <w:spacing w:val="-1"/>
          <w:sz w:val="21"/>
          <w:szCs w:val="21"/>
        </w:rPr>
        <w:t>合理性</w:t>
      </w:r>
    </w:p>
    <w:p>
      <w:pPr>
        <w:spacing w:before="112" w:line="265" w:lineRule="auto"/>
        <w:ind w:left="316" w:right="84"/>
        <w:rPr>
          <w:rFonts w:ascii="KaiTi" w:eastAsia="KaiTi" w:hAnsi="KaiTi" w:cs="KaiTi"/>
          <w:sz w:val="21"/>
          <w:szCs w:val="21"/>
        </w:rPr>
      </w:pPr>
      <w:r>
        <w:rPr>
          <w:rFonts w:ascii="KaiTi" w:eastAsia="KaiTi" w:hAnsi="KaiTi" w:cs="KaiTi"/>
          <w:sz w:val="21"/>
          <w:szCs w:val="21"/>
        </w:rPr>
        <w:t>2.7审查主要分部分项工程施工作业方案和施工工艺流程、技术要求是否满足工程设计、相</w:t>
      </w:r>
      <w:r>
        <w:rPr>
          <w:rFonts w:ascii="KaiTi" w:eastAsia="KaiTi" w:hAnsi="KaiTi" w:cs="KaiTi"/>
          <w:spacing w:val="14"/>
          <w:sz w:val="21"/>
          <w:szCs w:val="21"/>
        </w:rPr>
        <w:t xml:space="preserve"> </w:t>
      </w:r>
      <w:r>
        <w:rPr>
          <w:rFonts w:ascii="KaiTi" w:eastAsia="KaiTi" w:hAnsi="KaiTi" w:cs="KaiTi"/>
          <w:spacing w:val="-2"/>
          <w:sz w:val="21"/>
          <w:szCs w:val="21"/>
        </w:rPr>
        <w:t>关规范和规程的要求具有针对性、合理性、可操作性</w:t>
      </w:r>
    </w:p>
    <w:p>
      <w:pPr>
        <w:spacing w:before="116" w:line="269" w:lineRule="auto"/>
        <w:ind w:left="316" w:right="106"/>
        <w:rPr>
          <w:rFonts w:ascii="KaiTi" w:eastAsia="KaiTi" w:hAnsi="KaiTi" w:cs="KaiTi"/>
          <w:sz w:val="21"/>
          <w:szCs w:val="21"/>
        </w:rPr>
      </w:pPr>
      <w:r>
        <w:rPr>
          <w:rFonts w:ascii="KaiTi" w:eastAsia="KaiTi" w:hAnsi="KaiTi" w:cs="KaiTi"/>
          <w:sz w:val="21"/>
          <w:szCs w:val="21"/>
        </w:rPr>
        <w:t>2.8审查高处作业吊篮专项施工方案中的质量措施、安全措施、环保措施</w:t>
      </w:r>
      <w:r>
        <w:rPr>
          <w:rFonts w:ascii="KaiTi" w:eastAsia="KaiTi" w:hAnsi="KaiTi" w:cs="KaiTi"/>
          <w:spacing w:val="-1"/>
          <w:sz w:val="21"/>
          <w:szCs w:val="21"/>
        </w:rPr>
        <w:t>、消防措施、和文</w:t>
      </w:r>
      <w:r>
        <w:rPr>
          <w:rFonts w:ascii="KaiTi" w:eastAsia="KaiTi" w:hAnsi="KaiTi" w:cs="KaiTi"/>
          <w:sz w:val="21"/>
          <w:szCs w:val="21"/>
        </w:rPr>
        <w:t xml:space="preserve"> </w:t>
      </w:r>
      <w:r>
        <w:rPr>
          <w:rFonts w:ascii="KaiTi" w:eastAsia="KaiTi" w:hAnsi="KaiTi" w:cs="KaiTi"/>
          <w:spacing w:val="-5"/>
          <w:sz w:val="21"/>
          <w:szCs w:val="21"/>
        </w:rPr>
        <w:t>明施工措施</w:t>
      </w:r>
    </w:p>
    <w:p>
      <w:pPr>
        <w:spacing w:before="107" w:line="273" w:lineRule="auto"/>
        <w:ind w:left="316" w:right="80"/>
        <w:rPr>
          <w:rFonts w:ascii="KaiTi" w:eastAsia="KaiTi" w:hAnsi="KaiTi" w:cs="KaiTi"/>
          <w:sz w:val="21"/>
          <w:szCs w:val="21"/>
        </w:rPr>
      </w:pPr>
      <w:r>
        <w:rPr>
          <w:rFonts w:ascii="KaiTi" w:eastAsia="KaiTi" w:hAnsi="KaiTi" w:cs="KaiTi"/>
          <w:sz w:val="21"/>
          <w:szCs w:val="21"/>
        </w:rPr>
        <w:t>2.9审查高处作业吊篮专项施工方案中的验收要求、验收标准、验收程序、验收内容以及验</w:t>
      </w:r>
      <w:r>
        <w:rPr>
          <w:rFonts w:ascii="KaiTi" w:eastAsia="KaiTi" w:hAnsi="KaiTi" w:cs="KaiTi"/>
          <w:spacing w:val="18"/>
          <w:sz w:val="21"/>
          <w:szCs w:val="21"/>
        </w:rPr>
        <w:t xml:space="preserve"> </w:t>
      </w:r>
      <w:r>
        <w:rPr>
          <w:rFonts w:ascii="KaiTi" w:eastAsia="KaiTi" w:hAnsi="KaiTi" w:cs="KaiTi"/>
          <w:spacing w:val="-3"/>
          <w:sz w:val="21"/>
          <w:szCs w:val="21"/>
        </w:rPr>
        <w:t>收人员等</w:t>
      </w:r>
    </w:p>
    <w:p>
      <w:pPr>
        <w:spacing w:before="99" w:line="223" w:lineRule="auto"/>
        <w:ind w:left="316"/>
        <w:rPr>
          <w:rFonts w:ascii="KaiTi" w:eastAsia="KaiTi" w:hAnsi="KaiTi" w:cs="KaiTi"/>
          <w:sz w:val="21"/>
          <w:szCs w:val="21"/>
        </w:rPr>
      </w:pPr>
      <w:r>
        <w:rPr>
          <w:rFonts w:ascii="KaiTi" w:eastAsia="KaiTi" w:hAnsi="KaiTi" w:cs="KaiTi"/>
          <w:spacing w:val="2"/>
          <w:sz w:val="21"/>
          <w:szCs w:val="21"/>
        </w:rPr>
        <w:t>2.10审查高处作业吊篮专项施工方案中的机械原厂数据以及计算书</w:t>
      </w:r>
    </w:p>
    <w:p>
      <w:pPr>
        <w:spacing w:before="84" w:line="278" w:lineRule="auto"/>
        <w:ind w:left="316"/>
        <w:rPr>
          <w:rFonts w:ascii="KaiTi" w:eastAsia="KaiTi" w:hAnsi="KaiTi" w:cs="KaiTi"/>
          <w:sz w:val="21"/>
          <w:szCs w:val="21"/>
        </w:rPr>
      </w:pPr>
      <w:r>
        <w:rPr>
          <w:rFonts w:ascii="KaiTi" w:eastAsia="KaiTi" w:hAnsi="KaiTi" w:cs="KaiTi"/>
          <w:sz w:val="21"/>
          <w:szCs w:val="21"/>
        </w:rPr>
        <w:t>2.11审查高处作业吊篮专项施工方案中的应急救援预案，组织机构、职责分工</w:t>
      </w:r>
      <w:r>
        <w:rPr>
          <w:rFonts w:ascii="KaiTi" w:eastAsia="KaiTi" w:hAnsi="KaiTi" w:cs="KaiTi"/>
          <w:spacing w:val="-1"/>
          <w:sz w:val="21"/>
          <w:szCs w:val="21"/>
        </w:rPr>
        <w:t>情况、通讯、</w:t>
      </w:r>
      <w:r>
        <w:rPr>
          <w:rFonts w:ascii="KaiTi" w:eastAsia="KaiTi" w:hAnsi="KaiTi" w:cs="KaiTi"/>
          <w:sz w:val="21"/>
          <w:szCs w:val="21"/>
        </w:rPr>
        <w:t xml:space="preserve"> </w:t>
      </w:r>
      <w:r>
        <w:rPr>
          <w:rFonts w:ascii="KaiTi" w:eastAsia="KaiTi" w:hAnsi="KaiTi" w:cs="KaiTi"/>
          <w:spacing w:val="-3"/>
          <w:sz w:val="21"/>
          <w:szCs w:val="21"/>
        </w:rPr>
        <w:t>运输、物资情况、应急救援路线等</w:t>
      </w:r>
    </w:p>
    <w:p>
      <w:pPr>
        <w:spacing w:before="112" w:line="224" w:lineRule="auto"/>
        <w:ind w:left="316"/>
        <w:rPr>
          <w:rFonts w:ascii="KaiTi" w:eastAsia="KaiTi" w:hAnsi="KaiTi" w:cs="KaiTi"/>
          <w:sz w:val="21"/>
          <w:szCs w:val="21"/>
        </w:rPr>
      </w:pPr>
      <w:r>
        <w:rPr>
          <w:rFonts w:ascii="KaiTi" w:eastAsia="KaiTi" w:hAnsi="KaiTi" w:cs="KaiTi"/>
          <w:sz w:val="21"/>
          <w:szCs w:val="21"/>
        </w:rPr>
        <w:t>3、督促总承包单位在安装完成后进行第三方机械安装检测</w:t>
      </w:r>
    </w:p>
    <w:p>
      <w:pPr>
        <w:spacing w:before="93" w:line="222" w:lineRule="auto"/>
        <w:ind w:left="316"/>
        <w:rPr>
          <w:rFonts w:ascii="KaiTi" w:eastAsia="KaiTi" w:hAnsi="KaiTi" w:cs="KaiTi"/>
          <w:sz w:val="21"/>
          <w:szCs w:val="21"/>
        </w:rPr>
      </w:pPr>
      <w:r>
        <w:rPr>
          <w:rFonts w:ascii="KaiTi" w:eastAsia="KaiTi" w:hAnsi="KaiTi" w:cs="KaiTi"/>
          <w:sz w:val="21"/>
          <w:szCs w:val="21"/>
        </w:rPr>
        <w:t>4、参加总承包单位组织的高处作业吊篮安装危大工程验收并签署相关意见</w:t>
      </w:r>
    </w:p>
    <w:p>
      <w:pPr>
        <w:spacing w:before="118" w:line="350" w:lineRule="exact"/>
        <w:ind w:left="316"/>
        <w:rPr>
          <w:rFonts w:ascii="KaiTi" w:eastAsia="KaiTi" w:hAnsi="KaiTi" w:cs="KaiTi"/>
          <w:sz w:val="21"/>
          <w:szCs w:val="21"/>
        </w:rPr>
      </w:pPr>
      <w:r>
        <w:rPr>
          <w:rFonts w:ascii="KaiTi" w:eastAsia="KaiTi" w:hAnsi="KaiTi" w:cs="KaiTi"/>
          <w:spacing w:val="-2"/>
          <w:position w:val="10"/>
          <w:sz w:val="21"/>
          <w:szCs w:val="21"/>
        </w:rPr>
        <w:t>5、</w:t>
      </w:r>
      <w:r>
        <w:rPr>
          <w:rFonts w:ascii="KaiTi" w:eastAsia="KaiTi" w:hAnsi="KaiTi" w:cs="KaiTi"/>
          <w:spacing w:val="-49"/>
          <w:position w:val="10"/>
          <w:sz w:val="21"/>
          <w:szCs w:val="21"/>
        </w:rPr>
        <w:t xml:space="preserve"> </w:t>
      </w:r>
      <w:r>
        <w:rPr>
          <w:rFonts w:ascii="KaiTi" w:eastAsia="KaiTi" w:hAnsi="KaiTi" w:cs="KaiTi"/>
          <w:spacing w:val="-2"/>
          <w:position w:val="10"/>
          <w:sz w:val="21"/>
          <w:szCs w:val="21"/>
        </w:rPr>
        <w:t>审查总承包单位申报的高处作业吊篮使用申请</w:t>
      </w:r>
    </w:p>
    <w:p>
      <w:pPr>
        <w:spacing w:before="1" w:line="222" w:lineRule="auto"/>
        <w:ind w:left="316"/>
        <w:rPr>
          <w:rFonts w:ascii="KaiTi" w:eastAsia="KaiTi" w:hAnsi="KaiTi" w:cs="KaiTi"/>
          <w:sz w:val="21"/>
          <w:szCs w:val="21"/>
        </w:rPr>
      </w:pPr>
      <w:r>
        <w:rPr>
          <w:rFonts w:ascii="KaiTi" w:eastAsia="KaiTi" w:hAnsi="KaiTi" w:cs="KaiTi"/>
          <w:spacing w:val="-1"/>
          <w:sz w:val="21"/>
          <w:szCs w:val="21"/>
        </w:rPr>
        <w:t>5.1</w:t>
      </w:r>
      <w:r>
        <w:rPr>
          <w:rFonts w:ascii="KaiTi" w:eastAsia="KaiTi" w:hAnsi="KaiTi" w:cs="KaiTi"/>
          <w:spacing w:val="-32"/>
          <w:sz w:val="21"/>
          <w:szCs w:val="21"/>
        </w:rPr>
        <w:t xml:space="preserve"> </w:t>
      </w:r>
      <w:r>
        <w:rPr>
          <w:rFonts w:ascii="KaiTi" w:eastAsia="KaiTi" w:hAnsi="KaiTi" w:cs="KaiTi"/>
          <w:spacing w:val="-1"/>
          <w:sz w:val="21"/>
          <w:szCs w:val="21"/>
        </w:rPr>
        <w:t>核查高处作业吊篮的第三方安装检测报告</w:t>
      </w:r>
    </w:p>
    <w:p>
      <w:pPr>
        <w:spacing w:before="116" w:line="223" w:lineRule="auto"/>
        <w:ind w:left="316"/>
        <w:rPr>
          <w:rFonts w:ascii="KaiTi" w:eastAsia="KaiTi" w:hAnsi="KaiTi" w:cs="KaiTi"/>
          <w:sz w:val="21"/>
          <w:szCs w:val="21"/>
        </w:rPr>
      </w:pPr>
      <w:r>
        <w:rPr>
          <w:rFonts w:ascii="KaiTi" w:eastAsia="KaiTi" w:hAnsi="KaiTi" w:cs="KaiTi"/>
          <w:spacing w:val="2"/>
          <w:sz w:val="21"/>
          <w:szCs w:val="21"/>
        </w:rPr>
        <w:t>5.2核查高处作业吊篮维护保养制度</w:t>
      </w:r>
    </w:p>
    <w:p>
      <w:pPr>
        <w:spacing w:before="99" w:line="368" w:lineRule="exact"/>
        <w:ind w:left="316"/>
        <w:rPr>
          <w:rFonts w:ascii="KaiTi" w:eastAsia="KaiTi" w:hAnsi="KaiTi" w:cs="KaiTi"/>
          <w:sz w:val="21"/>
          <w:szCs w:val="21"/>
        </w:rPr>
      </w:pPr>
      <w:r>
        <w:rPr>
          <w:rFonts w:ascii="KaiTi" w:eastAsia="KaiTi" w:hAnsi="KaiTi" w:cs="KaiTi"/>
          <w:spacing w:val="2"/>
          <w:position w:val="11"/>
          <w:sz w:val="21"/>
          <w:szCs w:val="21"/>
        </w:rPr>
        <w:t>5.3核查安装单位自检合格记录</w:t>
      </w:r>
    </w:p>
    <w:p>
      <w:pPr>
        <w:spacing w:before="1" w:line="222" w:lineRule="auto"/>
        <w:ind w:left="316"/>
        <w:rPr>
          <w:rFonts w:ascii="KaiTi" w:eastAsia="KaiTi" w:hAnsi="KaiTi" w:cs="KaiTi"/>
          <w:sz w:val="21"/>
          <w:szCs w:val="21"/>
        </w:rPr>
      </w:pPr>
      <w:r>
        <w:rPr>
          <w:rFonts w:ascii="KaiTi" w:eastAsia="KaiTi" w:hAnsi="KaiTi" w:cs="KaiTi"/>
          <w:spacing w:val="2"/>
          <w:sz w:val="21"/>
          <w:szCs w:val="21"/>
        </w:rPr>
        <w:t>5.4核查高处作业吊篮验收记录</w:t>
      </w:r>
    </w:p>
    <w:p>
      <w:pPr>
        <w:spacing w:before="95" w:line="224" w:lineRule="auto"/>
        <w:outlineLvl w:val="6"/>
        <w:rPr>
          <w:rFonts w:ascii="KaiTi" w:eastAsia="KaiTi" w:hAnsi="KaiTi" w:cs="KaiTi"/>
          <w:sz w:val="24"/>
          <w:szCs w:val="24"/>
        </w:rPr>
      </w:pPr>
      <w:r>
        <w:rPr>
          <w:rFonts w:ascii="KaiTi" w:eastAsia="KaiTi" w:hAnsi="KaiTi" w:cs="KaiTi"/>
          <w:b/>
          <w:bCs/>
          <w:spacing w:val="-4"/>
          <w:sz w:val="24"/>
          <w:szCs w:val="24"/>
        </w:rPr>
        <w:t>二、事中监理控制要点与方法</w:t>
      </w:r>
    </w:p>
    <w:p>
      <w:pPr>
        <w:spacing w:before="70" w:line="223" w:lineRule="auto"/>
        <w:ind w:left="316"/>
        <w:rPr>
          <w:rFonts w:ascii="KaiTi" w:eastAsia="KaiTi" w:hAnsi="KaiTi" w:cs="KaiTi"/>
          <w:sz w:val="21"/>
          <w:szCs w:val="21"/>
        </w:rPr>
      </w:pPr>
      <w:r>
        <w:rPr>
          <w:rFonts w:ascii="KaiTi" w:eastAsia="KaiTi" w:hAnsi="KaiTi" w:cs="KaiTi"/>
          <w:spacing w:val="-1"/>
          <w:sz w:val="21"/>
          <w:szCs w:val="21"/>
        </w:rPr>
        <w:t>1、对高处作业吊篮使用进行日常危大工程巡视</w:t>
      </w:r>
    </w:p>
    <w:p>
      <w:pPr>
        <w:spacing w:before="119" w:line="360" w:lineRule="exact"/>
        <w:ind w:left="316"/>
        <w:rPr>
          <w:rFonts w:ascii="KaiTi" w:eastAsia="KaiTi" w:hAnsi="KaiTi" w:cs="KaiTi"/>
          <w:sz w:val="21"/>
          <w:szCs w:val="21"/>
        </w:rPr>
      </w:pPr>
      <w:r>
        <w:rPr>
          <w:rFonts w:ascii="KaiTi" w:eastAsia="KaiTi" w:hAnsi="KaiTi" w:cs="KaiTi"/>
          <w:spacing w:val="-3"/>
          <w:position w:val="10"/>
          <w:sz w:val="21"/>
          <w:szCs w:val="21"/>
        </w:rPr>
        <w:t>1.1</w:t>
      </w:r>
      <w:r>
        <w:rPr>
          <w:rFonts w:ascii="KaiTi" w:eastAsia="KaiTi" w:hAnsi="KaiTi" w:cs="KaiTi"/>
          <w:spacing w:val="-43"/>
          <w:position w:val="10"/>
          <w:sz w:val="21"/>
          <w:szCs w:val="21"/>
        </w:rPr>
        <w:t xml:space="preserve"> </w:t>
      </w:r>
      <w:r>
        <w:rPr>
          <w:rFonts w:ascii="KaiTi" w:eastAsia="KaiTi" w:hAnsi="KaiTi" w:cs="KaiTi"/>
          <w:spacing w:val="-3"/>
          <w:position w:val="10"/>
          <w:sz w:val="21"/>
          <w:szCs w:val="21"/>
        </w:rPr>
        <w:t>填写危大工程巡视记录</w:t>
      </w:r>
    </w:p>
    <w:p>
      <w:pPr>
        <w:spacing w:line="225" w:lineRule="auto"/>
        <w:ind w:left="316"/>
        <w:rPr>
          <w:rFonts w:ascii="KaiTi" w:eastAsia="KaiTi" w:hAnsi="KaiTi" w:cs="KaiTi"/>
          <w:sz w:val="21"/>
          <w:szCs w:val="21"/>
        </w:rPr>
      </w:pPr>
      <w:r>
        <w:rPr>
          <w:rFonts w:ascii="KaiTi" w:eastAsia="KaiTi" w:hAnsi="KaiTi" w:cs="KaiTi"/>
          <w:spacing w:val="1"/>
          <w:sz w:val="21"/>
          <w:szCs w:val="21"/>
        </w:rPr>
        <w:t>1.2巡查内容：</w:t>
      </w:r>
    </w:p>
    <w:p>
      <w:pPr>
        <w:spacing w:before="108" w:line="268" w:lineRule="auto"/>
        <w:ind w:left="316" w:right="22"/>
        <w:rPr>
          <w:rFonts w:ascii="KaiTi" w:eastAsia="KaiTi" w:hAnsi="KaiTi" w:cs="KaiTi"/>
          <w:sz w:val="21"/>
          <w:szCs w:val="21"/>
        </w:rPr>
      </w:pPr>
      <w:r>
        <w:rPr>
          <w:rFonts w:ascii="KaiTi" w:eastAsia="KaiTi" w:hAnsi="KaiTi" w:cs="KaiTi"/>
          <w:spacing w:val="-1"/>
          <w:sz w:val="21"/>
          <w:szCs w:val="21"/>
        </w:rPr>
        <w:t>检查各连接部位是否牢固可靠，螺母是否拧紧，钢丝绳是否完好，钢丝绳夹布置是否正确。</w:t>
      </w:r>
      <w:r>
        <w:rPr>
          <w:rFonts w:ascii="KaiTi" w:eastAsia="KaiTi" w:hAnsi="KaiTi" w:cs="KaiTi"/>
          <w:spacing w:val="11"/>
          <w:sz w:val="21"/>
          <w:szCs w:val="21"/>
        </w:rPr>
        <w:t xml:space="preserve"> </w:t>
      </w:r>
      <w:r>
        <w:rPr>
          <w:rFonts w:ascii="KaiTi" w:eastAsia="KaiTi" w:hAnsi="KaiTi" w:cs="KaiTi"/>
          <w:spacing w:val="-1"/>
          <w:sz w:val="21"/>
          <w:szCs w:val="21"/>
        </w:rPr>
        <w:t>将电器箱的电源插头插入电缆线对应的插座内，接</w:t>
      </w:r>
      <w:r>
        <w:rPr>
          <w:rFonts w:ascii="KaiTi" w:eastAsia="KaiTi" w:hAnsi="KaiTi" w:cs="KaiTi"/>
          <w:spacing w:val="-2"/>
          <w:sz w:val="21"/>
          <w:szCs w:val="21"/>
        </w:rPr>
        <w:t>通电源。</w:t>
      </w:r>
    </w:p>
    <w:p>
      <w:pPr>
        <w:spacing w:before="101" w:line="288" w:lineRule="auto"/>
        <w:ind w:left="316" w:right="85"/>
        <w:jc w:val="both"/>
        <w:rPr>
          <w:rFonts w:ascii="KaiTi" w:eastAsia="KaiTi" w:hAnsi="KaiTi" w:cs="KaiTi"/>
          <w:sz w:val="21"/>
          <w:szCs w:val="21"/>
        </w:rPr>
      </w:pPr>
      <w:r>
        <w:rPr>
          <w:rFonts w:ascii="KaiTi" w:eastAsia="KaiTi" w:hAnsi="KaiTi" w:cs="KaiTi"/>
          <w:sz w:val="21"/>
          <w:szCs w:val="21"/>
        </w:rPr>
        <w:t>检查接线是否正确。电源电压必须在380</w:t>
      </w:r>
      <w:r>
        <w:rPr>
          <w:rFonts w:ascii="Times New Roman" w:eastAsia="Times New Roman" w:hAnsi="Times New Roman" w:cs="Times New Roman"/>
          <w:sz w:val="21"/>
          <w:szCs w:val="21"/>
        </w:rPr>
        <w:t>V±5%</w:t>
      </w:r>
      <w:r>
        <w:rPr>
          <w:rFonts w:ascii="Times New Roman" w:eastAsia="Times New Roman" w:hAnsi="Times New Roman" w:cs="Times New Roman"/>
          <w:spacing w:val="44"/>
          <w:sz w:val="21"/>
          <w:szCs w:val="21"/>
        </w:rPr>
        <w:t xml:space="preserve"> </w:t>
      </w:r>
      <w:r>
        <w:rPr>
          <w:rFonts w:ascii="KaiTi" w:eastAsia="KaiTi" w:hAnsi="KaiTi" w:cs="KaiTi"/>
          <w:sz w:val="21"/>
          <w:szCs w:val="21"/>
        </w:rPr>
        <w:t>范围内，接通电源后，按漏电断路器上的试</w:t>
      </w:r>
      <w:r>
        <w:rPr>
          <w:rFonts w:ascii="KaiTi" w:eastAsia="KaiTi" w:hAnsi="KaiTi" w:cs="KaiTi"/>
          <w:sz w:val="21"/>
          <w:szCs w:val="21"/>
        </w:rPr>
        <w:t xml:space="preserve"> </w:t>
      </w:r>
      <w:r>
        <w:rPr>
          <w:rFonts w:ascii="KaiTi" w:eastAsia="KaiTi" w:hAnsi="KaiTi" w:cs="KaiTi"/>
          <w:spacing w:val="-3"/>
          <w:sz w:val="21"/>
          <w:szCs w:val="21"/>
        </w:rPr>
        <w:t>验按钮，漏电断路器应迅速动作。关好电器箱门，检查电铃、限位开关、手握开关、转换开</w:t>
      </w:r>
      <w:r>
        <w:rPr>
          <w:rFonts w:ascii="KaiTi" w:eastAsia="KaiTi" w:hAnsi="KaiTi" w:cs="KaiTi"/>
          <w:spacing w:val="17"/>
          <w:sz w:val="21"/>
          <w:szCs w:val="21"/>
        </w:rPr>
        <w:t xml:space="preserve"> </w:t>
      </w:r>
      <w:r>
        <w:rPr>
          <w:rFonts w:ascii="KaiTi" w:eastAsia="KaiTi" w:hAnsi="KaiTi" w:cs="KaiTi"/>
          <w:spacing w:val="-4"/>
          <w:sz w:val="21"/>
          <w:szCs w:val="21"/>
        </w:rPr>
        <w:t>关、电动机等是否正常。</w:t>
      </w:r>
    </w:p>
    <w:p>
      <w:pPr>
        <w:spacing w:before="107" w:line="284" w:lineRule="auto"/>
        <w:ind w:left="316" w:right="75"/>
        <w:jc w:val="both"/>
        <w:rPr>
          <w:rFonts w:ascii="KaiTi" w:eastAsia="KaiTi" w:hAnsi="KaiTi" w:cs="KaiTi"/>
          <w:sz w:val="21"/>
          <w:szCs w:val="21"/>
        </w:rPr>
      </w:pPr>
      <w:r>
        <w:rPr>
          <w:rFonts w:ascii="KaiTi" w:eastAsia="KaiTi" w:hAnsi="KaiTi" w:cs="KaiTi"/>
          <w:spacing w:val="-2"/>
          <w:sz w:val="21"/>
          <w:szCs w:val="21"/>
        </w:rPr>
        <w:t>将电器箱面板上的转换开关拨至待穿钢丝绳的提升机一侧，工作钢丝绳从安全锁的限位</w:t>
      </w:r>
      <w:r>
        <w:rPr>
          <w:rFonts w:ascii="KaiTi" w:eastAsia="KaiTi" w:hAnsi="KaiTi" w:cs="KaiTi"/>
          <w:spacing w:val="-3"/>
          <w:sz w:val="21"/>
          <w:szCs w:val="21"/>
        </w:rPr>
        <w:t>轮与</w:t>
      </w:r>
      <w:r>
        <w:rPr>
          <w:rFonts w:ascii="KaiTi" w:eastAsia="KaiTi" w:hAnsi="KaiTi" w:cs="KaiTi"/>
          <w:sz w:val="21"/>
          <w:szCs w:val="21"/>
        </w:rPr>
        <w:t xml:space="preserve"> </w:t>
      </w:r>
      <w:r>
        <w:rPr>
          <w:rFonts w:ascii="KaiTi" w:eastAsia="KaiTi" w:hAnsi="KaiTi" w:cs="KaiTi"/>
          <w:spacing w:val="-2"/>
          <w:sz w:val="21"/>
          <w:szCs w:val="21"/>
        </w:rPr>
        <w:t>挡环中穿过后插入提升机上端孔内，启动上行按钮，提升机即可自动</w:t>
      </w:r>
      <w:r>
        <w:rPr>
          <w:rFonts w:ascii="KaiTi" w:eastAsia="KaiTi" w:hAnsi="KaiTi" w:cs="KaiTi"/>
          <w:spacing w:val="-3"/>
          <w:sz w:val="21"/>
          <w:szCs w:val="21"/>
        </w:rPr>
        <w:t>卷绕完成工作钢丝绳的</w:t>
      </w:r>
      <w:r>
        <w:rPr>
          <w:rFonts w:ascii="KaiTi" w:eastAsia="KaiTi" w:hAnsi="KaiTi" w:cs="KaiTi"/>
          <w:sz w:val="21"/>
          <w:szCs w:val="21"/>
        </w:rPr>
        <w:t xml:space="preserve"> </w:t>
      </w:r>
      <w:r>
        <w:rPr>
          <w:rFonts w:ascii="KaiTi" w:eastAsia="KaiTi" w:hAnsi="KaiTi" w:cs="KaiTi"/>
          <w:spacing w:val="-1"/>
          <w:sz w:val="21"/>
          <w:szCs w:val="21"/>
        </w:rPr>
        <w:t>穿绳进位(穿绳过程中要密切注意有无异常现象，若有异常。应立</w:t>
      </w:r>
      <w:r>
        <w:rPr>
          <w:rFonts w:ascii="KaiTi" w:eastAsia="KaiTi" w:hAnsi="KaiTi" w:cs="KaiTi"/>
          <w:spacing w:val="-2"/>
          <w:sz w:val="21"/>
          <w:szCs w:val="21"/>
        </w:rPr>
        <w:t>即停止穿绳)。</w:t>
      </w:r>
    </w:p>
    <w:p>
      <w:pPr>
        <w:spacing w:before="112" w:line="291" w:lineRule="auto"/>
        <w:ind w:left="316" w:right="82"/>
        <w:jc w:val="both"/>
        <w:rPr>
          <w:rFonts w:ascii="KaiTi" w:eastAsia="KaiTi" w:hAnsi="KaiTi" w:cs="KaiTi"/>
          <w:sz w:val="21"/>
          <w:szCs w:val="21"/>
        </w:rPr>
      </w:pPr>
      <w:r>
        <w:rPr>
          <w:rFonts w:ascii="KaiTi" w:eastAsia="KaiTi" w:hAnsi="KaiTi" w:cs="KaiTi"/>
          <w:sz w:val="21"/>
          <w:szCs w:val="21"/>
        </w:rPr>
        <w:t>工作钢丝绳到位后，将自动打开安全锁，然后安全钢丝绳从安全锁的上端孔插入。(另一侧</w:t>
      </w:r>
      <w:r>
        <w:rPr>
          <w:rFonts w:ascii="KaiTi" w:eastAsia="KaiTi" w:hAnsi="KaiTi" w:cs="KaiTi"/>
          <w:spacing w:val="16"/>
          <w:sz w:val="21"/>
          <w:szCs w:val="21"/>
        </w:rPr>
        <w:t xml:space="preserve"> </w:t>
      </w:r>
      <w:r>
        <w:rPr>
          <w:rFonts w:ascii="KaiTi" w:eastAsia="KaiTi" w:hAnsi="KaiTi" w:cs="KaiTi"/>
          <w:sz w:val="21"/>
          <w:szCs w:val="21"/>
        </w:rPr>
        <w:t>提升机操作过程相同)注意：必须先将工作钢丝绳和安全钢丝绳理顺后才能分别</w:t>
      </w:r>
      <w:r>
        <w:rPr>
          <w:rFonts w:ascii="KaiTi" w:eastAsia="KaiTi" w:hAnsi="KaiTi" w:cs="KaiTi"/>
          <w:spacing w:val="-1"/>
          <w:sz w:val="21"/>
          <w:szCs w:val="21"/>
        </w:rPr>
        <w:t>插入提升机</w:t>
      </w:r>
      <w:r>
        <w:rPr>
          <w:rFonts w:ascii="KaiTi" w:eastAsia="KaiTi" w:hAnsi="KaiTi" w:cs="KaiTi"/>
          <w:sz w:val="21"/>
          <w:szCs w:val="21"/>
        </w:rPr>
        <w:t xml:space="preserve"> </w:t>
      </w:r>
      <w:r>
        <w:rPr>
          <w:rFonts w:ascii="KaiTi" w:eastAsia="KaiTi" w:hAnsi="KaiTi" w:cs="KaiTi"/>
          <w:sz w:val="21"/>
          <w:szCs w:val="21"/>
        </w:rPr>
        <w:t>和安全锁，以免钢丝绳产生扭曲。两侧钢丝绳都穿好后，将悬吊平台升高</w:t>
      </w:r>
      <w:r>
        <w:rPr>
          <w:rFonts w:ascii="KaiTi" w:eastAsia="KaiTi" w:hAnsi="KaiTi" w:cs="KaiTi"/>
          <w:spacing w:val="-1"/>
          <w:sz w:val="21"/>
          <w:szCs w:val="21"/>
        </w:rPr>
        <w:t>至离地面1米处调</w:t>
      </w:r>
      <w:r>
        <w:rPr>
          <w:rFonts w:ascii="KaiTi" w:eastAsia="KaiTi" w:hAnsi="KaiTi" w:cs="KaiTi"/>
          <w:sz w:val="21"/>
          <w:szCs w:val="21"/>
        </w:rPr>
        <w:t xml:space="preserve"> </w:t>
      </w:r>
      <w:r>
        <w:rPr>
          <w:rFonts w:ascii="KaiTi" w:eastAsia="KaiTi" w:hAnsi="KaiTi" w:cs="KaiTi"/>
          <w:sz w:val="21"/>
          <w:szCs w:val="21"/>
        </w:rPr>
        <w:t>平，在工作钢丝绳、安全钢丝绳上距地面15</w:t>
      </w:r>
      <w:r>
        <w:rPr>
          <w:rFonts w:ascii="Times New Roman" w:eastAsia="Times New Roman" w:hAnsi="Times New Roman" w:cs="Times New Roman"/>
          <w:sz w:val="21"/>
          <w:szCs w:val="21"/>
        </w:rPr>
        <w:t xml:space="preserve">cm </w:t>
      </w:r>
      <w:r>
        <w:rPr>
          <w:rFonts w:ascii="KaiTi" w:eastAsia="KaiTi" w:hAnsi="KaiTi" w:cs="KaiTi"/>
          <w:sz w:val="21"/>
          <w:szCs w:val="21"/>
        </w:rPr>
        <w:t>处安装重锤。如不正确</w:t>
      </w:r>
      <w:r>
        <w:rPr>
          <w:rFonts w:ascii="KaiTi" w:eastAsia="KaiTi" w:hAnsi="KaiTi" w:cs="KaiTi"/>
          <w:spacing w:val="-1"/>
          <w:sz w:val="21"/>
          <w:szCs w:val="21"/>
        </w:rPr>
        <w:t>安装重锤可能会使提</w:t>
      </w:r>
      <w:r>
        <w:rPr>
          <w:rFonts w:ascii="KaiTi" w:eastAsia="KaiTi" w:hAnsi="KaiTi" w:cs="KaiTi"/>
          <w:sz w:val="21"/>
          <w:szCs w:val="21"/>
        </w:rPr>
        <w:t xml:space="preserve"> </w:t>
      </w:r>
      <w:r>
        <w:rPr>
          <w:rFonts w:ascii="KaiTi" w:eastAsia="KaiTi" w:hAnsi="KaiTi" w:cs="KaiTi"/>
          <w:spacing w:val="-2"/>
          <w:sz w:val="21"/>
          <w:szCs w:val="21"/>
        </w:rPr>
        <w:t>升机和安全锁不能正常工作而发生事故。</w:t>
      </w:r>
    </w:p>
    <w:p>
      <w:pPr>
        <w:spacing w:before="123" w:line="220" w:lineRule="auto"/>
        <w:ind w:left="316"/>
        <w:rPr>
          <w:rFonts w:ascii="KaiTi" w:eastAsia="KaiTi" w:hAnsi="KaiTi" w:cs="KaiTi"/>
          <w:sz w:val="21"/>
          <w:szCs w:val="21"/>
        </w:rPr>
      </w:pPr>
      <w:r>
        <w:rPr>
          <w:rFonts w:ascii="KaiTi" w:eastAsia="KaiTi" w:hAnsi="KaiTi" w:cs="KaiTi"/>
          <w:spacing w:val="-3"/>
          <w:sz w:val="21"/>
          <w:szCs w:val="21"/>
        </w:rPr>
        <w:t>多余的钢丝绳要理好，圈起后捆扎好，防止意外损伤或弯曲。</w:t>
      </w:r>
    </w:p>
    <w:p>
      <w:pPr>
        <w:spacing w:before="130" w:line="220" w:lineRule="auto"/>
        <w:ind w:left="316"/>
        <w:rPr>
          <w:rFonts w:ascii="KaiTi" w:eastAsia="KaiTi" w:hAnsi="KaiTi" w:cs="KaiTi"/>
          <w:sz w:val="21"/>
          <w:szCs w:val="21"/>
        </w:rPr>
      </w:pPr>
      <w:r>
        <w:rPr>
          <w:rFonts w:ascii="KaiTi" w:eastAsia="KaiTi" w:hAnsi="KaiTi" w:cs="KaiTi"/>
          <w:spacing w:val="-2"/>
          <w:sz w:val="21"/>
          <w:szCs w:val="21"/>
        </w:rPr>
        <w:t>用户必须自备安全绳，并将其单独固定在工作区上方安全可靠的固定物上。</w:t>
      </w:r>
    </w:p>
    <w:p>
      <w:pPr>
        <w:spacing w:line="220" w:lineRule="auto"/>
        <w:rPr>
          <w:rFonts w:ascii="KaiTi" w:eastAsia="KaiTi" w:hAnsi="KaiTi" w:cs="KaiTi"/>
          <w:sz w:val="21"/>
          <w:szCs w:val="21"/>
        </w:rPr>
        <w:sectPr>
          <w:pgSz w:w="11910" w:h="16840"/>
          <w:pgMar w:top="1431" w:right="1455" w:bottom="0" w:left="1743" w:header="0" w:footer="0" w:gutter="0"/>
          <w:pgNumType w:start="7"/>
          <w:cols w:space="708"/>
        </w:sectPr>
      </w:pPr>
    </w:p>
    <w:p>
      <w:pPr>
        <w:spacing w:before="98" w:line="220" w:lineRule="auto"/>
        <w:ind w:left="346"/>
        <w:rPr>
          <w:rFonts w:ascii="KaiTi" w:eastAsia="KaiTi" w:hAnsi="KaiTi" w:cs="KaiTi"/>
          <w:sz w:val="21"/>
          <w:szCs w:val="21"/>
        </w:rPr>
      </w:pPr>
      <w:r>
        <w:rPr>
          <w:rFonts w:ascii="KaiTi" w:eastAsia="KaiTi" w:hAnsi="KaiTi" w:cs="KaiTi"/>
          <w:sz w:val="21"/>
          <w:szCs w:val="21"/>
        </w:rPr>
        <w:t>上机操作人员必须按有关规定戴好安全帽，系好安全带，并将安全带锁</w:t>
      </w:r>
      <w:r>
        <w:rPr>
          <w:rFonts w:ascii="KaiTi" w:eastAsia="KaiTi" w:hAnsi="KaiTi" w:cs="KaiTi"/>
          <w:spacing w:val="-1"/>
          <w:sz w:val="21"/>
          <w:szCs w:val="21"/>
        </w:rPr>
        <w:t>扣在安全绳上。</w:t>
      </w:r>
    </w:p>
    <w:p>
      <w:pPr>
        <w:pStyle w:val="BodyText"/>
        <w:spacing w:before="107" w:line="297" w:lineRule="auto"/>
        <w:ind w:left="346"/>
        <w:rPr>
          <w:rFonts w:ascii="KaiTi" w:eastAsia="KaiTi" w:hAnsi="KaiTi" w:cs="KaiTi"/>
          <w:sz w:val="21"/>
          <w:szCs w:val="21"/>
        </w:rPr>
      </w:pPr>
      <w:r>
        <w:rPr>
          <w:rFonts w:ascii="KaiTi" w:eastAsia="KaiTi" w:hAnsi="KaiTi" w:cs="KaiTi"/>
          <w:spacing w:val="-3"/>
          <w:sz w:val="21"/>
          <w:szCs w:val="21"/>
        </w:rPr>
        <w:t>检查安全锁的锁绳状况，具体步骤：将电器箱面板上的转换开关拨至中间位置，将悬吊平台</w:t>
      </w:r>
      <w:r>
        <w:rPr>
          <w:rFonts w:ascii="KaiTi" w:eastAsia="KaiTi" w:hAnsi="KaiTi" w:cs="KaiTi"/>
          <w:spacing w:val="2"/>
          <w:sz w:val="21"/>
          <w:szCs w:val="21"/>
        </w:rPr>
        <w:t xml:space="preserve">  </w:t>
      </w:r>
      <w:r>
        <w:rPr>
          <w:rFonts w:ascii="KaiTi" w:eastAsia="KaiTi" w:hAnsi="KaiTi" w:cs="KaiTi"/>
          <w:spacing w:val="3"/>
          <w:sz w:val="21"/>
          <w:szCs w:val="21"/>
        </w:rPr>
        <w:t>上升1～2</w:t>
      </w:r>
      <w:r>
        <w:rPr>
          <w:spacing w:val="3"/>
          <w:sz w:val="21"/>
          <w:szCs w:val="21"/>
        </w:rPr>
        <w:t>m</w:t>
      </w:r>
      <w:r>
        <w:rPr>
          <w:spacing w:val="-37"/>
          <w:sz w:val="21"/>
          <w:szCs w:val="21"/>
        </w:rPr>
        <w:t xml:space="preserve"> </w:t>
      </w:r>
      <w:r>
        <w:rPr>
          <w:rFonts w:ascii="KaiTi" w:eastAsia="KaiTi" w:hAnsi="KaiTi" w:cs="KaiTi"/>
          <w:spacing w:val="3"/>
          <w:sz w:val="21"/>
          <w:szCs w:val="21"/>
        </w:rPr>
        <w:t>后停住.再将转换开关拨至一侧。使悬吊平台产生倾斜.当</w:t>
      </w:r>
      <w:r>
        <w:rPr>
          <w:rFonts w:ascii="KaiTi" w:eastAsia="KaiTi" w:hAnsi="KaiTi" w:cs="KaiTi"/>
          <w:spacing w:val="2"/>
          <w:sz w:val="21"/>
          <w:szCs w:val="21"/>
        </w:rPr>
        <w:t>悬吊平台倾斜到3°~</w:t>
      </w:r>
      <w:r>
        <w:rPr>
          <w:rFonts w:ascii="KaiTi" w:eastAsia="KaiTi" w:hAnsi="KaiTi" w:cs="KaiTi"/>
          <w:sz w:val="21"/>
          <w:szCs w:val="21"/>
        </w:rPr>
        <w:t xml:space="preserve">  </w:t>
      </w:r>
      <w:r>
        <w:rPr>
          <w:rFonts w:ascii="KaiTi" w:eastAsia="KaiTi" w:hAnsi="KaiTi" w:cs="KaiTi"/>
          <w:spacing w:val="3"/>
          <w:sz w:val="21"/>
          <w:szCs w:val="21"/>
        </w:rPr>
        <w:t>8°时(相当于7.5</w:t>
      </w:r>
      <w:r>
        <w:rPr>
          <w:rFonts w:ascii="Times New Roman" w:eastAsia="Times New Roman" w:hAnsi="Times New Roman" w:cs="Times New Roman"/>
          <w:spacing w:val="3"/>
          <w:sz w:val="21"/>
          <w:szCs w:val="21"/>
        </w:rPr>
        <w:t>m</w:t>
      </w:r>
      <w:r>
        <w:rPr>
          <w:rFonts w:ascii="KaiTi" w:eastAsia="KaiTi" w:hAnsi="KaiTi" w:cs="KaiTi"/>
          <w:spacing w:val="3"/>
          <w:sz w:val="21"/>
          <w:szCs w:val="21"/>
        </w:rPr>
        <w:t>长的悬吊平台两端高度相差40一100</w:t>
      </w:r>
      <w:r>
        <w:rPr>
          <w:rFonts w:ascii="Times New Roman" w:eastAsia="Times New Roman" w:hAnsi="Times New Roman" w:cs="Times New Roman"/>
          <w:sz w:val="21"/>
          <w:szCs w:val="21"/>
        </w:rPr>
        <w:t>cm</w:t>
      </w:r>
      <w:r>
        <w:rPr>
          <w:rFonts w:ascii="Times New Roman" w:eastAsia="Times New Roman" w:hAnsi="Times New Roman" w:cs="Times New Roman"/>
          <w:spacing w:val="3"/>
          <w:sz w:val="21"/>
          <w:szCs w:val="21"/>
        </w:rPr>
        <w:t xml:space="preserve">),  </w:t>
      </w:r>
      <w:r>
        <w:rPr>
          <w:rFonts w:ascii="KaiTi" w:eastAsia="KaiTi" w:hAnsi="KaiTi" w:cs="KaiTi"/>
          <w:spacing w:val="3"/>
          <w:sz w:val="21"/>
          <w:szCs w:val="21"/>
        </w:rPr>
        <w:t>安全锁即可锁住安全钢丝绳，</w:t>
      </w:r>
      <w:r>
        <w:rPr>
          <w:rFonts w:ascii="KaiTi" w:eastAsia="KaiTi" w:hAnsi="KaiTi" w:cs="KaiTi"/>
          <w:spacing w:val="8"/>
          <w:sz w:val="21"/>
          <w:szCs w:val="21"/>
        </w:rPr>
        <w:t xml:space="preserve"> </w:t>
      </w:r>
      <w:r>
        <w:rPr>
          <w:rFonts w:ascii="KaiTi" w:eastAsia="KaiTi" w:hAnsi="KaiTi" w:cs="KaiTi"/>
          <w:spacing w:val="-6"/>
          <w:sz w:val="21"/>
          <w:szCs w:val="21"/>
        </w:rPr>
        <w:t>将悬吊平台低端升起至水平状态时，安全锁自动复位，安全钢丝绳在安全锁内处于自由状态。</w:t>
      </w:r>
      <w:r>
        <w:rPr>
          <w:rFonts w:ascii="KaiTi" w:eastAsia="KaiTi" w:hAnsi="KaiTi" w:cs="KaiTi"/>
          <w:spacing w:val="10"/>
          <w:sz w:val="21"/>
          <w:szCs w:val="21"/>
        </w:rPr>
        <w:t xml:space="preserve"> </w:t>
      </w:r>
      <w:r>
        <w:rPr>
          <w:rFonts w:ascii="KaiTi" w:eastAsia="KaiTi" w:hAnsi="KaiTi" w:cs="KaiTi"/>
          <w:spacing w:val="-5"/>
          <w:sz w:val="21"/>
          <w:szCs w:val="21"/>
        </w:rPr>
        <w:t>(左、右安全锁都必须按上述方法检查)。</w:t>
      </w:r>
    </w:p>
    <w:p>
      <w:pPr>
        <w:pStyle w:val="BodyText"/>
        <w:spacing w:before="108" w:line="300" w:lineRule="auto"/>
        <w:ind w:left="346" w:right="87"/>
        <w:jc w:val="both"/>
        <w:rPr>
          <w:rFonts w:ascii="KaiTi" w:eastAsia="KaiTi" w:hAnsi="KaiTi" w:cs="KaiTi"/>
          <w:sz w:val="21"/>
          <w:szCs w:val="21"/>
        </w:rPr>
      </w:pPr>
      <w:r>
        <w:rPr>
          <w:rFonts w:ascii="KaiTi" w:eastAsia="KaiTi" w:hAnsi="KaiTi" w:cs="KaiTi"/>
          <w:spacing w:val="7"/>
          <w:sz w:val="21"/>
          <w:szCs w:val="21"/>
        </w:rPr>
        <w:t>空载试验：悬吊平台上下运行3～5次.每次行程3～5</w:t>
      </w:r>
      <w:r>
        <w:rPr>
          <w:rFonts w:ascii="Times New Roman" w:eastAsia="Times New Roman" w:hAnsi="Times New Roman" w:cs="Times New Roman"/>
          <w:spacing w:val="7"/>
          <w:sz w:val="21"/>
          <w:szCs w:val="21"/>
        </w:rPr>
        <w:t>m,</w:t>
      </w:r>
      <w:r>
        <w:rPr>
          <w:rFonts w:ascii="Times New Roman" w:eastAsia="Times New Roman" w:hAnsi="Times New Roman" w:cs="Times New Roman"/>
          <w:spacing w:val="6"/>
          <w:sz w:val="21"/>
          <w:szCs w:val="21"/>
        </w:rPr>
        <w:t xml:space="preserve">  </w:t>
      </w:r>
      <w:r>
        <w:rPr>
          <w:rFonts w:ascii="KaiTi" w:eastAsia="KaiTi" w:hAnsi="KaiTi" w:cs="KaiTi"/>
          <w:spacing w:val="7"/>
          <w:sz w:val="21"/>
          <w:szCs w:val="21"/>
        </w:rPr>
        <w:t>全过程应升降平稳，提升机无异</w:t>
      </w:r>
      <w:r>
        <w:rPr>
          <w:rFonts w:ascii="KaiTi" w:eastAsia="KaiTi" w:hAnsi="KaiTi" w:cs="KaiTi"/>
          <w:spacing w:val="1"/>
          <w:sz w:val="21"/>
          <w:szCs w:val="21"/>
        </w:rPr>
        <w:t xml:space="preserve"> </w:t>
      </w:r>
      <w:r>
        <w:rPr>
          <w:rFonts w:ascii="KaiTi" w:eastAsia="KaiTi" w:hAnsi="KaiTi" w:cs="KaiTi"/>
          <w:spacing w:val="-1"/>
          <w:sz w:val="21"/>
          <w:szCs w:val="21"/>
        </w:rPr>
        <w:t>常声响.电机电磁制动器动作灵活可靠，各连接处无松动现象。按下“急停”按钮，悬吊平</w:t>
      </w:r>
      <w:r>
        <w:rPr>
          <w:rFonts w:ascii="KaiTi" w:eastAsia="KaiTi" w:hAnsi="KaiTi" w:cs="KaiTi"/>
          <w:spacing w:val="12"/>
          <w:sz w:val="21"/>
          <w:szCs w:val="21"/>
        </w:rPr>
        <w:t xml:space="preserve"> </w:t>
      </w:r>
      <w:r>
        <w:rPr>
          <w:rFonts w:ascii="KaiTi" w:eastAsia="KaiTi" w:hAnsi="KaiTi" w:cs="KaiTi"/>
          <w:spacing w:val="-3"/>
          <w:sz w:val="21"/>
          <w:szCs w:val="21"/>
        </w:rPr>
        <w:t>台应能停止运行。扳动上限位开关的摆臂，悬</w:t>
      </w:r>
      <w:r>
        <w:rPr>
          <w:rFonts w:ascii="KaiTi" w:eastAsia="KaiTi" w:hAnsi="KaiTi" w:cs="KaiTi"/>
          <w:spacing w:val="-4"/>
          <w:sz w:val="21"/>
          <w:szCs w:val="21"/>
        </w:rPr>
        <w:t>吊平台应能停止上升。手动滑降检查：悬吊平</w:t>
      </w:r>
      <w:r>
        <w:rPr>
          <w:rFonts w:ascii="KaiTi" w:eastAsia="KaiTi" w:hAnsi="KaiTi" w:cs="KaiTi"/>
          <w:sz w:val="21"/>
          <w:szCs w:val="21"/>
        </w:rPr>
        <w:t xml:space="preserve"> </w:t>
      </w:r>
      <w:r>
        <w:rPr>
          <w:rFonts w:ascii="KaiTi" w:eastAsia="KaiTi" w:hAnsi="KaiTi" w:cs="KaiTi"/>
          <w:spacing w:val="-2"/>
          <w:sz w:val="21"/>
          <w:szCs w:val="21"/>
        </w:rPr>
        <w:t>台上升3～5</w:t>
      </w:r>
      <w:r>
        <w:rPr>
          <w:spacing w:val="-2"/>
          <w:sz w:val="21"/>
          <w:szCs w:val="21"/>
        </w:rPr>
        <w:t>m</w:t>
      </w:r>
      <w:r>
        <w:rPr>
          <w:spacing w:val="-48"/>
          <w:sz w:val="21"/>
          <w:szCs w:val="21"/>
        </w:rPr>
        <w:t xml:space="preserve"> </w:t>
      </w:r>
      <w:r>
        <w:rPr>
          <w:rFonts w:ascii="KaiTi" w:eastAsia="KaiTi" w:hAnsi="KaiTi" w:cs="KaiTi"/>
          <w:spacing w:val="-2"/>
          <w:sz w:val="21"/>
          <w:szCs w:val="21"/>
        </w:rPr>
        <w:t>后停住，将电机风罩处的手柄向上抬起，悬吊平台应能平稳滑降，滑降速</w:t>
      </w:r>
      <w:r>
        <w:rPr>
          <w:rFonts w:ascii="KaiTi" w:eastAsia="KaiTi" w:hAnsi="KaiTi" w:cs="KaiTi"/>
          <w:spacing w:val="-3"/>
          <w:sz w:val="21"/>
          <w:szCs w:val="21"/>
        </w:rPr>
        <w:t>度应</w:t>
      </w:r>
      <w:r>
        <w:rPr>
          <w:rFonts w:ascii="KaiTi" w:eastAsia="KaiTi" w:hAnsi="KaiTi" w:cs="KaiTi"/>
          <w:sz w:val="21"/>
          <w:szCs w:val="21"/>
        </w:rPr>
        <w:t xml:space="preserve"> </w:t>
      </w:r>
      <w:r>
        <w:rPr>
          <w:rFonts w:ascii="KaiTi" w:eastAsia="KaiTi" w:hAnsi="KaiTi" w:cs="KaiTi"/>
          <w:spacing w:val="4"/>
          <w:sz w:val="21"/>
          <w:szCs w:val="21"/>
        </w:rPr>
        <w:t>不大于下降速度的1.5倍。</w:t>
      </w:r>
    </w:p>
    <w:p>
      <w:pPr>
        <w:spacing w:before="89" w:line="292" w:lineRule="auto"/>
        <w:ind w:left="346" w:right="21"/>
        <w:jc w:val="both"/>
        <w:rPr>
          <w:rFonts w:ascii="KaiTi" w:eastAsia="KaiTi" w:hAnsi="KaiTi" w:cs="KaiTi"/>
          <w:sz w:val="21"/>
          <w:szCs w:val="21"/>
        </w:rPr>
      </w:pPr>
      <w:r>
        <w:rPr>
          <w:rFonts w:ascii="KaiTi" w:eastAsia="KaiTi" w:hAnsi="KaiTi" w:cs="KaiTi"/>
          <w:spacing w:val="-4"/>
          <w:sz w:val="21"/>
          <w:szCs w:val="21"/>
        </w:rPr>
        <w:t>上限位块安装位置：将悬吊平台上升到最高作业高度，将其安装到安全钢丝绳上。额定载荷</w:t>
      </w:r>
      <w:r>
        <w:rPr>
          <w:rFonts w:ascii="KaiTi" w:eastAsia="KaiTi" w:hAnsi="KaiTi" w:cs="KaiTi"/>
          <w:spacing w:val="9"/>
          <w:sz w:val="21"/>
          <w:szCs w:val="21"/>
        </w:rPr>
        <w:t xml:space="preserve">  </w:t>
      </w:r>
      <w:r>
        <w:rPr>
          <w:rFonts w:ascii="KaiTi" w:eastAsia="KaiTi" w:hAnsi="KaiTi" w:cs="KaiTi"/>
          <w:spacing w:val="-3"/>
          <w:sz w:val="21"/>
          <w:szCs w:val="21"/>
        </w:rPr>
        <w:t>试验：悬吊平台内均匀装载额定载重量，吊篮</w:t>
      </w:r>
      <w:r>
        <w:rPr>
          <w:rFonts w:ascii="KaiTi" w:eastAsia="KaiTi" w:hAnsi="KaiTi" w:cs="KaiTi"/>
          <w:spacing w:val="-4"/>
          <w:sz w:val="21"/>
          <w:szCs w:val="21"/>
        </w:rPr>
        <w:t>在3～5</w:t>
      </w:r>
      <w:r>
        <w:rPr>
          <w:rFonts w:ascii="Times New Roman" w:eastAsia="Times New Roman" w:hAnsi="Times New Roman" w:cs="Times New Roman"/>
          <w:spacing w:val="-4"/>
          <w:sz w:val="21"/>
          <w:szCs w:val="21"/>
        </w:rPr>
        <w:t>m</w:t>
      </w:r>
      <w:r>
        <w:rPr>
          <w:rFonts w:ascii="Times New Roman" w:eastAsia="Times New Roman" w:hAnsi="Times New Roman" w:cs="Times New Roman"/>
          <w:spacing w:val="-13"/>
          <w:sz w:val="21"/>
          <w:szCs w:val="21"/>
        </w:rPr>
        <w:t xml:space="preserve"> </w:t>
      </w:r>
      <w:r>
        <w:rPr>
          <w:rFonts w:ascii="KaiTi" w:eastAsia="KaiTi" w:hAnsi="KaiTi" w:cs="KaiTi"/>
          <w:spacing w:val="-4"/>
          <w:sz w:val="21"/>
          <w:szCs w:val="21"/>
        </w:rPr>
        <w:t>的行程中升降，至少三次。在运行过</w:t>
      </w:r>
      <w:r>
        <w:rPr>
          <w:rFonts w:ascii="KaiTi" w:eastAsia="KaiTi" w:hAnsi="KaiTi" w:cs="KaiTi"/>
          <w:sz w:val="21"/>
          <w:szCs w:val="21"/>
        </w:rPr>
        <w:t xml:space="preserve">  </w:t>
      </w:r>
      <w:r>
        <w:rPr>
          <w:rFonts w:ascii="KaiTi" w:eastAsia="KaiTi" w:hAnsi="KaiTi" w:cs="KaiTi"/>
          <w:spacing w:val="-1"/>
          <w:sz w:val="21"/>
          <w:szCs w:val="21"/>
        </w:rPr>
        <w:t>程中无异常声响和停止时无滑降现象，平台倾斜时安全锁应能灵活可靠地</w:t>
      </w:r>
      <w:r>
        <w:rPr>
          <w:rFonts w:ascii="KaiTi" w:eastAsia="KaiTi" w:hAnsi="KaiTi" w:cs="KaiTi"/>
          <w:spacing w:val="-2"/>
          <w:sz w:val="21"/>
          <w:szCs w:val="21"/>
        </w:rPr>
        <w:t>锁住安全钢丝绳，</w:t>
      </w:r>
      <w:r>
        <w:rPr>
          <w:rFonts w:ascii="KaiTi" w:eastAsia="KaiTi" w:hAnsi="KaiTi" w:cs="KaiTi"/>
          <w:sz w:val="21"/>
          <w:szCs w:val="21"/>
        </w:rPr>
        <w:t xml:space="preserve"> </w:t>
      </w:r>
      <w:r>
        <w:rPr>
          <w:rFonts w:ascii="KaiTi" w:eastAsia="KaiTi" w:hAnsi="KaiTi" w:cs="KaiTi"/>
          <w:spacing w:val="-5"/>
          <w:sz w:val="21"/>
          <w:szCs w:val="21"/>
        </w:rPr>
        <w:t>各紧固连接处应牢固，无松动现象。</w:t>
      </w:r>
    </w:p>
    <w:p>
      <w:pPr>
        <w:spacing w:before="114" w:line="276" w:lineRule="auto"/>
        <w:ind w:left="346" w:right="39"/>
        <w:rPr>
          <w:rFonts w:ascii="KaiTi" w:eastAsia="KaiTi" w:hAnsi="KaiTi" w:cs="KaiTi"/>
          <w:sz w:val="21"/>
          <w:szCs w:val="21"/>
        </w:rPr>
      </w:pPr>
      <w:r>
        <w:rPr>
          <w:rFonts w:ascii="KaiTi" w:eastAsia="KaiTi" w:hAnsi="KaiTi" w:cs="KaiTi"/>
          <w:spacing w:val="-2"/>
          <w:sz w:val="21"/>
          <w:szCs w:val="21"/>
        </w:rPr>
        <w:t>使用前的检查：查看悬吊平台、提升机、提升机与悬吊平台的连接处应无异常磨损、腐蚀、</w:t>
      </w:r>
      <w:r>
        <w:rPr>
          <w:rFonts w:ascii="KaiTi" w:eastAsia="KaiTi" w:hAnsi="KaiTi" w:cs="KaiTi"/>
          <w:spacing w:val="14"/>
          <w:sz w:val="21"/>
          <w:szCs w:val="21"/>
        </w:rPr>
        <w:t xml:space="preserve"> </w:t>
      </w:r>
      <w:r>
        <w:rPr>
          <w:rFonts w:ascii="KaiTi" w:eastAsia="KaiTi" w:hAnsi="KaiTi" w:cs="KaiTi"/>
          <w:spacing w:val="-6"/>
          <w:sz w:val="21"/>
          <w:szCs w:val="21"/>
        </w:rPr>
        <w:t>表面裂缝、连接松脱、脱焊等现象；</w:t>
      </w:r>
    </w:p>
    <w:p>
      <w:pPr>
        <w:spacing w:before="114" w:line="225" w:lineRule="auto"/>
        <w:ind w:left="346"/>
        <w:rPr>
          <w:rFonts w:ascii="KaiTi" w:eastAsia="KaiTi" w:hAnsi="KaiTi" w:cs="KaiTi"/>
          <w:sz w:val="21"/>
          <w:szCs w:val="21"/>
        </w:rPr>
      </w:pPr>
      <w:r>
        <w:rPr>
          <w:rFonts w:ascii="KaiTi" w:eastAsia="KaiTi" w:hAnsi="KaiTi" w:cs="KaiTi"/>
          <w:spacing w:val="-3"/>
          <w:sz w:val="21"/>
          <w:szCs w:val="21"/>
        </w:rPr>
        <w:t>悬挂机构各连接处应牢固、无破裂脱焊现象。</w:t>
      </w:r>
    </w:p>
    <w:p>
      <w:pPr>
        <w:spacing w:before="97" w:line="273" w:lineRule="auto"/>
        <w:ind w:left="346" w:right="120"/>
        <w:rPr>
          <w:rFonts w:ascii="KaiTi" w:eastAsia="KaiTi" w:hAnsi="KaiTi" w:cs="KaiTi"/>
          <w:sz w:val="21"/>
          <w:szCs w:val="21"/>
        </w:rPr>
      </w:pPr>
      <w:r>
        <w:rPr>
          <w:rFonts w:ascii="KaiTi" w:eastAsia="KaiTi" w:hAnsi="KaiTi" w:cs="KaiTi"/>
          <w:spacing w:val="-1"/>
          <w:sz w:val="21"/>
          <w:szCs w:val="21"/>
        </w:rPr>
        <w:t>配重放置正常，无短缺；钢丝绳固定正常.钢丝绳无过度磨损、断裂等异常现象，达到</w:t>
      </w:r>
      <w:r>
        <w:rPr>
          <w:rFonts w:ascii="KaiTi" w:eastAsia="KaiTi" w:hAnsi="KaiTi" w:cs="KaiTi"/>
          <w:spacing w:val="-2"/>
          <w:sz w:val="21"/>
          <w:szCs w:val="21"/>
        </w:rPr>
        <w:t>报废</w:t>
      </w:r>
      <w:r>
        <w:rPr>
          <w:rFonts w:ascii="KaiTi" w:eastAsia="KaiTi" w:hAnsi="KaiTi" w:cs="KaiTi"/>
          <w:sz w:val="21"/>
          <w:szCs w:val="21"/>
        </w:rPr>
        <w:t xml:space="preserve"> </w:t>
      </w:r>
      <w:r>
        <w:rPr>
          <w:rFonts w:ascii="KaiTi" w:eastAsia="KaiTi" w:hAnsi="KaiTi" w:cs="KaiTi"/>
          <w:spacing w:val="-2"/>
          <w:sz w:val="21"/>
          <w:szCs w:val="21"/>
        </w:rPr>
        <w:t>标准的钢丝绳必须更换，钢丝绳下端悬吊的重锤安装正常；</w:t>
      </w:r>
    </w:p>
    <w:p>
      <w:pPr>
        <w:spacing w:before="89" w:line="276" w:lineRule="auto"/>
        <w:ind w:left="346" w:right="19"/>
        <w:rPr>
          <w:rFonts w:ascii="KaiTi" w:eastAsia="KaiTi" w:hAnsi="KaiTi" w:cs="KaiTi"/>
          <w:sz w:val="21"/>
          <w:szCs w:val="21"/>
        </w:rPr>
      </w:pPr>
      <w:r>
        <w:rPr>
          <w:rFonts w:ascii="KaiTi" w:eastAsia="KaiTi" w:hAnsi="KaiTi" w:cs="KaiTi"/>
          <w:spacing w:val="-6"/>
          <w:sz w:val="21"/>
          <w:szCs w:val="21"/>
        </w:rPr>
        <w:t>电器箱、电缆、控制按钮、插头应完好，上限位开关、手握开关等应灵</w:t>
      </w:r>
      <w:r>
        <w:rPr>
          <w:rFonts w:ascii="KaiTi" w:eastAsia="KaiTi" w:hAnsi="KaiTi" w:cs="KaiTi"/>
          <w:spacing w:val="-7"/>
          <w:sz w:val="21"/>
          <w:szCs w:val="21"/>
        </w:rPr>
        <w:t>活可靠，无漏电现象。</w:t>
      </w:r>
      <w:r>
        <w:rPr>
          <w:rFonts w:ascii="KaiTi" w:eastAsia="KaiTi" w:hAnsi="KaiTi" w:cs="KaiTi"/>
          <w:sz w:val="21"/>
          <w:szCs w:val="21"/>
        </w:rPr>
        <w:t xml:space="preserve"> </w:t>
      </w:r>
      <w:r>
        <w:rPr>
          <w:rFonts w:ascii="KaiTi" w:eastAsia="KaiTi" w:hAnsi="KaiTi" w:cs="KaiTi"/>
          <w:spacing w:val="-2"/>
          <w:sz w:val="21"/>
          <w:szCs w:val="21"/>
        </w:rPr>
        <w:t>配置(用户自备)的安全绳和安全带应保持完好。</w:t>
      </w:r>
    </w:p>
    <w:p>
      <w:pPr>
        <w:spacing w:before="93" w:line="374" w:lineRule="exact"/>
        <w:ind w:left="346"/>
        <w:rPr>
          <w:rFonts w:ascii="KaiTi" w:eastAsia="KaiTi" w:hAnsi="KaiTi" w:cs="KaiTi"/>
          <w:sz w:val="21"/>
          <w:szCs w:val="21"/>
        </w:rPr>
      </w:pPr>
      <w:r>
        <w:rPr>
          <w:rFonts w:ascii="KaiTi" w:eastAsia="KaiTi" w:hAnsi="KaiTi" w:cs="KaiTi"/>
          <w:spacing w:val="-2"/>
          <w:position w:val="12"/>
          <w:sz w:val="21"/>
          <w:szCs w:val="21"/>
        </w:rPr>
        <w:t>运行中，悬吊平台出现倾斜，将转换开关拨至较低的一侧，升至水平。</w:t>
      </w:r>
    </w:p>
    <w:p>
      <w:pPr>
        <w:spacing w:before="1" w:line="223" w:lineRule="auto"/>
        <w:ind w:left="346"/>
        <w:rPr>
          <w:rFonts w:ascii="KaiTi" w:eastAsia="KaiTi" w:hAnsi="KaiTi" w:cs="KaiTi"/>
          <w:sz w:val="21"/>
          <w:szCs w:val="21"/>
        </w:rPr>
      </w:pPr>
      <w:r>
        <w:rPr>
          <w:rFonts w:ascii="KaiTi" w:eastAsia="KaiTi" w:hAnsi="KaiTi" w:cs="KaiTi"/>
          <w:spacing w:val="-1"/>
          <w:sz w:val="21"/>
          <w:szCs w:val="21"/>
        </w:rPr>
        <w:t>悬吊平台两侧高差超过15</w:t>
      </w:r>
      <w:r>
        <w:rPr>
          <w:rFonts w:ascii="Times New Roman" w:eastAsia="Times New Roman" w:hAnsi="Times New Roman" w:cs="Times New Roman"/>
          <w:spacing w:val="-1"/>
          <w:sz w:val="21"/>
          <w:szCs w:val="21"/>
        </w:rPr>
        <w:t>cm</w:t>
      </w:r>
      <w:r>
        <w:rPr>
          <w:rFonts w:ascii="KaiTi" w:eastAsia="KaiTi" w:hAnsi="KaiTi" w:cs="KaiTi"/>
          <w:spacing w:val="-1"/>
          <w:sz w:val="21"/>
          <w:szCs w:val="21"/>
        </w:rPr>
        <w:t>时应及时将悬吊平台调平。</w:t>
      </w:r>
    </w:p>
    <w:p>
      <w:pPr>
        <w:spacing w:before="106" w:line="285" w:lineRule="auto"/>
        <w:ind w:left="346" w:right="1281"/>
        <w:jc w:val="both"/>
        <w:rPr>
          <w:rFonts w:ascii="KaiTi" w:eastAsia="KaiTi" w:hAnsi="KaiTi" w:cs="KaiTi"/>
          <w:sz w:val="21"/>
          <w:szCs w:val="21"/>
        </w:rPr>
      </w:pPr>
      <w:r>
        <w:rPr>
          <w:rFonts w:ascii="KaiTi" w:eastAsia="KaiTi" w:hAnsi="KaiTi" w:cs="KaiTi"/>
          <w:spacing w:val="-3"/>
          <w:sz w:val="21"/>
          <w:szCs w:val="21"/>
        </w:rPr>
        <w:t>当悬吊平台的上限位开关碰到上限位块时或用手按压任意一个上限位开关时。</w:t>
      </w:r>
      <w:r>
        <w:rPr>
          <w:rFonts w:ascii="KaiTi" w:eastAsia="KaiTi" w:hAnsi="KaiTi" w:cs="KaiTi"/>
          <w:spacing w:val="16"/>
          <w:sz w:val="21"/>
          <w:szCs w:val="21"/>
        </w:rPr>
        <w:t xml:space="preserve"> </w:t>
      </w:r>
      <w:r>
        <w:rPr>
          <w:rFonts w:ascii="KaiTi" w:eastAsia="KaiTi" w:hAnsi="KaiTi" w:cs="KaiTi"/>
          <w:spacing w:val="-1"/>
          <w:sz w:val="21"/>
          <w:szCs w:val="21"/>
        </w:rPr>
        <w:t>悬吊平台应能立即停止运行，报警电铃鸣叫，按</w:t>
      </w:r>
      <w:r>
        <w:rPr>
          <w:rFonts w:ascii="KaiTi" w:eastAsia="KaiTi" w:hAnsi="KaiTi" w:cs="KaiTi"/>
          <w:spacing w:val="-2"/>
          <w:sz w:val="21"/>
          <w:szCs w:val="21"/>
        </w:rPr>
        <w:t>动下行开关，悬吊平台下降。</w:t>
      </w:r>
      <w:r>
        <w:rPr>
          <w:rFonts w:ascii="KaiTi" w:eastAsia="KaiTi" w:hAnsi="KaiTi" w:cs="KaiTi"/>
          <w:sz w:val="21"/>
          <w:szCs w:val="21"/>
        </w:rPr>
        <w:t xml:space="preserve"> </w:t>
      </w:r>
      <w:r>
        <w:rPr>
          <w:rFonts w:ascii="KaiTi" w:eastAsia="KaiTi" w:hAnsi="KaiTi" w:cs="KaiTi"/>
          <w:spacing w:val="-4"/>
          <w:sz w:val="21"/>
          <w:szCs w:val="21"/>
        </w:rPr>
        <w:t>2、</w:t>
      </w:r>
      <w:r>
        <w:rPr>
          <w:rFonts w:ascii="KaiTi" w:eastAsia="KaiTi" w:hAnsi="KaiTi" w:cs="KaiTi"/>
          <w:spacing w:val="-47"/>
          <w:sz w:val="21"/>
          <w:szCs w:val="21"/>
        </w:rPr>
        <w:t xml:space="preserve"> </w:t>
      </w:r>
      <w:r>
        <w:rPr>
          <w:rFonts w:ascii="KaiTi" w:eastAsia="KaiTi" w:hAnsi="KaiTi" w:cs="KaiTi"/>
          <w:spacing w:val="-4"/>
          <w:sz w:val="21"/>
          <w:szCs w:val="21"/>
        </w:rPr>
        <w:t>审查总承包单位呈报的高处作业吊篮拆卸申请</w:t>
      </w:r>
    </w:p>
    <w:p>
      <w:pPr>
        <w:spacing w:before="106" w:line="223" w:lineRule="auto"/>
        <w:ind w:left="346"/>
        <w:rPr>
          <w:rFonts w:ascii="KaiTi" w:eastAsia="KaiTi" w:hAnsi="KaiTi" w:cs="KaiTi"/>
          <w:sz w:val="21"/>
          <w:szCs w:val="21"/>
        </w:rPr>
      </w:pPr>
      <w:r>
        <w:rPr>
          <w:rFonts w:ascii="KaiTi" w:eastAsia="KaiTi" w:hAnsi="KaiTi" w:cs="KaiTi"/>
          <w:sz w:val="21"/>
          <w:szCs w:val="21"/>
        </w:rPr>
        <w:t>2.1</w:t>
      </w:r>
      <w:r>
        <w:rPr>
          <w:rFonts w:ascii="KaiTi" w:eastAsia="KaiTi" w:hAnsi="KaiTi" w:cs="KaiTi"/>
          <w:spacing w:val="-53"/>
          <w:sz w:val="21"/>
          <w:szCs w:val="21"/>
        </w:rPr>
        <w:t xml:space="preserve"> </w:t>
      </w:r>
      <w:r>
        <w:rPr>
          <w:rFonts w:ascii="KaiTi" w:eastAsia="KaiTi" w:hAnsi="KaiTi" w:cs="KaiTi"/>
          <w:sz w:val="21"/>
          <w:szCs w:val="21"/>
        </w:rPr>
        <w:t>核查高处作业吊篮安装单位的安全生产许可证</w:t>
      </w:r>
      <w:r>
        <w:rPr>
          <w:rFonts w:ascii="KaiTi" w:eastAsia="KaiTi" w:hAnsi="KaiTi" w:cs="KaiTi"/>
          <w:spacing w:val="-1"/>
          <w:sz w:val="21"/>
          <w:szCs w:val="21"/>
        </w:rPr>
        <w:t>、企业资质、安装资质</w:t>
      </w:r>
    </w:p>
    <w:p>
      <w:pPr>
        <w:spacing w:before="107" w:line="223" w:lineRule="auto"/>
        <w:ind w:left="346"/>
        <w:rPr>
          <w:rFonts w:ascii="KaiTi" w:eastAsia="KaiTi" w:hAnsi="KaiTi" w:cs="KaiTi"/>
          <w:sz w:val="21"/>
          <w:szCs w:val="21"/>
        </w:rPr>
      </w:pPr>
      <w:r>
        <w:rPr>
          <w:rFonts w:ascii="KaiTi" w:eastAsia="KaiTi" w:hAnsi="KaiTi" w:cs="KaiTi"/>
          <w:spacing w:val="1"/>
          <w:sz w:val="21"/>
          <w:szCs w:val="21"/>
        </w:rPr>
        <w:t>2.2审查高处作业吊篮安装人员的特种作业人员是否过期以及人证相符情况</w:t>
      </w:r>
    </w:p>
    <w:p>
      <w:pPr>
        <w:spacing w:before="86" w:line="224" w:lineRule="auto"/>
        <w:outlineLvl w:val="6"/>
        <w:rPr>
          <w:rFonts w:ascii="KaiTi" w:eastAsia="KaiTi" w:hAnsi="KaiTi" w:cs="KaiTi"/>
          <w:sz w:val="24"/>
          <w:szCs w:val="24"/>
        </w:rPr>
      </w:pPr>
      <w:r>
        <w:rPr>
          <w:rFonts w:ascii="KaiTi" w:eastAsia="KaiTi" w:hAnsi="KaiTi" w:cs="KaiTi"/>
          <w:b/>
          <w:bCs/>
          <w:spacing w:val="-8"/>
          <w:sz w:val="24"/>
          <w:szCs w:val="24"/>
        </w:rPr>
        <w:t>三、</w:t>
      </w:r>
      <w:r>
        <w:rPr>
          <w:rFonts w:ascii="KaiTi" w:eastAsia="KaiTi" w:hAnsi="KaiTi" w:cs="KaiTi"/>
          <w:spacing w:val="-48"/>
          <w:sz w:val="24"/>
          <w:szCs w:val="24"/>
        </w:rPr>
        <w:t xml:space="preserve"> </w:t>
      </w:r>
      <w:r>
        <w:rPr>
          <w:rFonts w:ascii="KaiTi" w:eastAsia="KaiTi" w:hAnsi="KaiTi" w:cs="KaiTi"/>
          <w:b/>
          <w:bCs/>
          <w:spacing w:val="-8"/>
          <w:sz w:val="24"/>
          <w:szCs w:val="24"/>
        </w:rPr>
        <w:t>事后监理控制要点与方法</w:t>
      </w:r>
    </w:p>
    <w:p>
      <w:pPr>
        <w:spacing w:before="89" w:line="223" w:lineRule="auto"/>
        <w:ind w:left="346"/>
        <w:rPr>
          <w:rFonts w:ascii="KaiTi" w:eastAsia="KaiTi" w:hAnsi="KaiTi" w:cs="KaiTi"/>
          <w:sz w:val="21"/>
          <w:szCs w:val="21"/>
        </w:rPr>
      </w:pPr>
      <w:r>
        <w:rPr>
          <w:rFonts w:ascii="KaiTi" w:eastAsia="KaiTi" w:hAnsi="KaiTi" w:cs="KaiTi"/>
          <w:spacing w:val="-3"/>
          <w:sz w:val="21"/>
          <w:szCs w:val="21"/>
        </w:rPr>
        <w:t>1、收集、整理高处作业吊篮安全类资料</w:t>
      </w:r>
    </w:p>
    <w:p>
      <w:pPr>
        <w:spacing w:before="106" w:line="223" w:lineRule="auto"/>
        <w:ind w:left="346"/>
        <w:rPr>
          <w:rFonts w:ascii="KaiTi" w:eastAsia="KaiTi" w:hAnsi="KaiTi" w:cs="KaiTi"/>
          <w:sz w:val="21"/>
          <w:szCs w:val="21"/>
        </w:rPr>
      </w:pPr>
      <w:r>
        <w:rPr>
          <w:rFonts w:ascii="KaiTi" w:eastAsia="KaiTi" w:hAnsi="KaiTi" w:cs="KaiTi"/>
          <w:spacing w:val="-1"/>
          <w:sz w:val="21"/>
          <w:szCs w:val="21"/>
        </w:rPr>
        <w:t>2、总结评估本工程高处作业吊篮的安装、使用、运行、拆卸情况</w:t>
      </w:r>
    </w:p>
    <w:p>
      <w:pPr>
        <w:spacing w:line="223" w:lineRule="auto"/>
        <w:rPr>
          <w:rFonts w:ascii="KaiTi" w:eastAsia="KaiTi" w:hAnsi="KaiTi" w:cs="KaiTi"/>
          <w:sz w:val="21"/>
          <w:szCs w:val="21"/>
        </w:rPr>
        <w:sectPr>
          <w:pgSz w:w="11910" w:h="16840"/>
          <w:pgMar w:top="1431" w:right="1465" w:bottom="0" w:left="1723" w:header="0" w:footer="0" w:gutter="0"/>
          <w:pgNumType w:start="8"/>
          <w:cols w:space="708"/>
        </w:sectPr>
      </w:pPr>
    </w:p>
    <w:p>
      <w:pPr>
        <w:spacing w:before="93" w:line="224" w:lineRule="auto"/>
        <w:ind w:left="2098"/>
        <w:rPr>
          <w:rFonts w:ascii="KaiTi" w:eastAsia="KaiTi" w:hAnsi="KaiTi" w:cs="KaiTi"/>
          <w:sz w:val="30"/>
          <w:szCs w:val="30"/>
        </w:rPr>
      </w:pPr>
      <w:r>
        <w:rPr>
          <w:rFonts w:ascii="KaiTi" w:eastAsia="KaiTi" w:hAnsi="KaiTi" w:cs="KaiTi"/>
          <w:b/>
          <w:bCs/>
          <w:spacing w:val="-7"/>
          <w:sz w:val="35"/>
          <w:szCs w:val="35"/>
        </w:rPr>
        <w:t>第四章</w:t>
      </w:r>
      <w:r>
        <w:rPr>
          <w:rFonts w:ascii="KaiTi" w:eastAsia="KaiTi" w:hAnsi="KaiTi" w:cs="KaiTi"/>
          <w:spacing w:val="41"/>
          <w:sz w:val="35"/>
          <w:szCs w:val="35"/>
        </w:rPr>
        <w:t xml:space="preserve">  </w:t>
      </w:r>
      <w:r>
        <w:rPr>
          <w:rFonts w:ascii="KaiTi" w:eastAsia="KaiTi" w:hAnsi="KaiTi" w:cs="KaiTi"/>
          <w:b/>
          <w:bCs/>
          <w:spacing w:val="-7"/>
          <w:sz w:val="30"/>
          <w:szCs w:val="30"/>
        </w:rPr>
        <w:t>监理工作方法及措施</w:t>
      </w:r>
    </w:p>
    <w:p>
      <w:pPr>
        <w:spacing w:before="104" w:line="223" w:lineRule="auto"/>
        <w:ind w:left="283"/>
        <w:rPr>
          <w:rFonts w:ascii="KaiTi" w:eastAsia="KaiTi" w:hAnsi="KaiTi" w:cs="KaiTi"/>
          <w:sz w:val="21"/>
          <w:szCs w:val="21"/>
        </w:rPr>
      </w:pPr>
      <w:r>
        <w:rPr>
          <w:rFonts w:ascii="KaiTi" w:eastAsia="KaiTi" w:hAnsi="KaiTi" w:cs="KaiTi"/>
          <w:spacing w:val="-1"/>
          <w:sz w:val="21"/>
          <w:szCs w:val="21"/>
        </w:rPr>
        <w:t>4.1</w:t>
      </w:r>
      <w:r>
        <w:rPr>
          <w:rFonts w:ascii="KaiTi" w:eastAsia="KaiTi" w:hAnsi="KaiTi" w:cs="KaiTi"/>
          <w:spacing w:val="-32"/>
          <w:sz w:val="21"/>
          <w:szCs w:val="21"/>
        </w:rPr>
        <w:t xml:space="preserve"> </w:t>
      </w:r>
      <w:r>
        <w:rPr>
          <w:rFonts w:ascii="KaiTi" w:eastAsia="KaiTi" w:hAnsi="KaiTi" w:cs="KaiTi"/>
          <w:spacing w:val="-1"/>
          <w:sz w:val="21"/>
          <w:szCs w:val="21"/>
        </w:rPr>
        <w:t>督促总承包单位必须按高处作业吊篮专项施工方案实施</w:t>
      </w:r>
    </w:p>
    <w:p>
      <w:pPr>
        <w:spacing w:before="106" w:line="223" w:lineRule="auto"/>
        <w:ind w:left="283"/>
        <w:rPr>
          <w:rFonts w:ascii="KaiTi" w:eastAsia="KaiTi" w:hAnsi="KaiTi" w:cs="KaiTi"/>
          <w:sz w:val="21"/>
          <w:szCs w:val="21"/>
        </w:rPr>
      </w:pPr>
      <w:r>
        <w:rPr>
          <w:rFonts w:ascii="KaiTi" w:eastAsia="KaiTi" w:hAnsi="KaiTi" w:cs="KaiTi"/>
          <w:sz w:val="21"/>
          <w:szCs w:val="21"/>
        </w:rPr>
        <w:t>4.1.1按照专项施工要求检查高处作业吊篮的安装、运行、使用、拆卸情况。</w:t>
      </w:r>
    </w:p>
    <w:p>
      <w:pPr>
        <w:spacing w:before="106" w:line="223" w:lineRule="auto"/>
        <w:ind w:left="283"/>
        <w:rPr>
          <w:rFonts w:ascii="KaiTi" w:eastAsia="KaiTi" w:hAnsi="KaiTi" w:cs="KaiTi"/>
          <w:sz w:val="21"/>
          <w:szCs w:val="21"/>
        </w:rPr>
      </w:pPr>
      <w:r>
        <w:rPr>
          <w:rFonts w:ascii="KaiTi" w:eastAsia="KaiTi" w:hAnsi="KaiTi" w:cs="KaiTi"/>
          <w:spacing w:val="-1"/>
          <w:sz w:val="21"/>
          <w:szCs w:val="21"/>
        </w:rPr>
        <w:t>4.1.2</w:t>
      </w:r>
      <w:r>
        <w:rPr>
          <w:rFonts w:ascii="KaiTi" w:eastAsia="KaiTi" w:hAnsi="KaiTi" w:cs="KaiTi"/>
          <w:spacing w:val="-1"/>
          <w:sz w:val="21"/>
          <w:szCs w:val="21"/>
        </w:rPr>
        <w:t xml:space="preserve"> </w:t>
      </w:r>
      <w:r>
        <w:rPr>
          <w:rFonts w:ascii="KaiTi" w:eastAsia="KaiTi" w:hAnsi="KaiTi" w:cs="KaiTi"/>
          <w:spacing w:val="-1"/>
          <w:sz w:val="21"/>
          <w:szCs w:val="21"/>
        </w:rPr>
        <w:t>高处作业吊篮专项施工方案应按规范规定的要进行计</w:t>
      </w:r>
      <w:r>
        <w:rPr>
          <w:rFonts w:ascii="KaiTi" w:eastAsia="KaiTi" w:hAnsi="KaiTi" w:cs="KaiTi"/>
          <w:spacing w:val="-2"/>
          <w:sz w:val="21"/>
          <w:szCs w:val="21"/>
        </w:rPr>
        <w:t>算。</w:t>
      </w:r>
    </w:p>
    <w:p>
      <w:pPr>
        <w:spacing w:before="103" w:line="271" w:lineRule="auto"/>
        <w:ind w:left="283" w:right="75"/>
        <w:rPr>
          <w:rFonts w:ascii="KaiTi" w:eastAsia="KaiTi" w:hAnsi="KaiTi" w:cs="KaiTi"/>
          <w:sz w:val="21"/>
          <w:szCs w:val="21"/>
        </w:rPr>
      </w:pPr>
      <w:r>
        <w:rPr>
          <w:rFonts w:ascii="KaiTi" w:eastAsia="KaiTi" w:hAnsi="KaiTi" w:cs="KaiTi"/>
          <w:spacing w:val="-3"/>
          <w:sz w:val="21"/>
          <w:szCs w:val="21"/>
        </w:rPr>
        <w:t>4.1.3</w:t>
      </w:r>
      <w:r>
        <w:rPr>
          <w:rFonts w:ascii="KaiTi" w:eastAsia="KaiTi" w:hAnsi="KaiTi" w:cs="KaiTi"/>
          <w:spacing w:val="-3"/>
          <w:sz w:val="21"/>
          <w:szCs w:val="21"/>
        </w:rPr>
        <w:t xml:space="preserve"> </w:t>
      </w:r>
      <w:r>
        <w:rPr>
          <w:rFonts w:ascii="KaiTi" w:eastAsia="KaiTi" w:hAnsi="KaiTi" w:cs="KaiTi"/>
          <w:spacing w:val="-3"/>
          <w:sz w:val="21"/>
          <w:szCs w:val="21"/>
        </w:rPr>
        <w:t>对高处作业吊篮专项施工方案设计计算必须符合有关规定以及厂家技术要求，并经企</w:t>
      </w:r>
      <w:r>
        <w:rPr>
          <w:rFonts w:ascii="KaiTi" w:eastAsia="KaiTi" w:hAnsi="KaiTi" w:cs="KaiTi"/>
          <w:spacing w:val="8"/>
          <w:sz w:val="21"/>
          <w:szCs w:val="21"/>
        </w:rPr>
        <w:t xml:space="preserve"> </w:t>
      </w:r>
      <w:r>
        <w:rPr>
          <w:rFonts w:ascii="KaiTi" w:eastAsia="KaiTi" w:hAnsi="KaiTi" w:cs="KaiTi"/>
          <w:spacing w:val="-5"/>
          <w:sz w:val="21"/>
          <w:szCs w:val="21"/>
        </w:rPr>
        <w:t>业技术负责人审批。</w:t>
      </w:r>
    </w:p>
    <w:p>
      <w:pPr>
        <w:spacing w:before="107" w:line="283" w:lineRule="auto"/>
        <w:ind w:left="283" w:right="64"/>
        <w:rPr>
          <w:rFonts w:ascii="KaiTi" w:eastAsia="KaiTi" w:hAnsi="KaiTi" w:cs="KaiTi"/>
          <w:sz w:val="21"/>
          <w:szCs w:val="21"/>
        </w:rPr>
      </w:pPr>
      <w:r>
        <w:rPr>
          <w:rFonts w:ascii="KaiTi" w:eastAsia="KaiTi" w:hAnsi="KaiTi" w:cs="KaiTi"/>
          <w:spacing w:val="2"/>
          <w:sz w:val="21"/>
          <w:szCs w:val="21"/>
        </w:rPr>
        <w:t>4.2</w:t>
      </w:r>
      <w:r>
        <w:rPr>
          <w:rFonts w:ascii="KaiTi" w:eastAsia="KaiTi" w:hAnsi="KaiTi" w:cs="KaiTi"/>
          <w:spacing w:val="2"/>
          <w:sz w:val="21"/>
          <w:szCs w:val="21"/>
        </w:rPr>
        <w:t xml:space="preserve"> </w:t>
      </w:r>
      <w:r>
        <w:rPr>
          <w:rFonts w:ascii="KaiTi" w:eastAsia="KaiTi" w:hAnsi="KaiTi" w:cs="KaiTi"/>
          <w:spacing w:val="2"/>
          <w:sz w:val="21"/>
          <w:szCs w:val="21"/>
        </w:rPr>
        <w:t>认真审查施工单位报送来的高处作业吊篮专项施工方案的安全技术措施及各专项施工</w:t>
      </w:r>
      <w:r>
        <w:rPr>
          <w:rFonts w:ascii="KaiTi" w:eastAsia="KaiTi" w:hAnsi="KaiTi" w:cs="KaiTi"/>
          <w:spacing w:val="18"/>
          <w:sz w:val="21"/>
          <w:szCs w:val="21"/>
        </w:rPr>
        <w:t xml:space="preserve"> </w:t>
      </w:r>
      <w:r>
        <w:rPr>
          <w:rFonts w:ascii="KaiTi" w:eastAsia="KaiTi" w:hAnsi="KaiTi" w:cs="KaiTi"/>
          <w:spacing w:val="-3"/>
          <w:sz w:val="21"/>
          <w:szCs w:val="21"/>
        </w:rPr>
        <w:t>方案是否符合工程建设强制性标准，对不符</w:t>
      </w:r>
      <w:r>
        <w:rPr>
          <w:rFonts w:ascii="KaiTi" w:eastAsia="KaiTi" w:hAnsi="KaiTi" w:cs="KaiTi"/>
          <w:spacing w:val="-4"/>
          <w:sz w:val="21"/>
          <w:szCs w:val="21"/>
        </w:rPr>
        <w:t>合要求的部分必须返回施工单位进行修改，施工</w:t>
      </w:r>
      <w:r>
        <w:rPr>
          <w:rFonts w:ascii="KaiTi" w:eastAsia="KaiTi" w:hAnsi="KaiTi" w:cs="KaiTi"/>
          <w:sz w:val="21"/>
          <w:szCs w:val="21"/>
        </w:rPr>
        <w:t xml:space="preserve"> </w:t>
      </w:r>
      <w:r>
        <w:rPr>
          <w:rFonts w:ascii="KaiTi" w:eastAsia="KaiTi" w:hAnsi="KaiTi" w:cs="KaiTi"/>
          <w:spacing w:val="-3"/>
          <w:sz w:val="21"/>
          <w:szCs w:val="21"/>
        </w:rPr>
        <w:t>组织设计、方案未得到批准以前，不允许开工；</w:t>
      </w:r>
    </w:p>
    <w:p>
      <w:pPr>
        <w:spacing w:before="110" w:line="220" w:lineRule="auto"/>
        <w:ind w:left="283"/>
        <w:rPr>
          <w:rFonts w:ascii="KaiTi" w:eastAsia="KaiTi" w:hAnsi="KaiTi" w:cs="KaiTi"/>
          <w:sz w:val="21"/>
          <w:szCs w:val="21"/>
        </w:rPr>
      </w:pPr>
      <w:r>
        <w:rPr>
          <w:rFonts w:ascii="KaiTi" w:eastAsia="KaiTi" w:hAnsi="KaiTi" w:cs="KaiTi"/>
          <w:sz w:val="21"/>
          <w:szCs w:val="21"/>
        </w:rPr>
        <w:t>4,3监理人员日常对高处作业吊篮进行安全检查，发现安全隐患及时指出并责令整改；</w:t>
      </w:r>
    </w:p>
    <w:p>
      <w:pPr>
        <w:spacing w:before="110" w:line="278" w:lineRule="auto"/>
        <w:ind w:left="283" w:right="26"/>
        <w:rPr>
          <w:rFonts w:ascii="KaiTi" w:eastAsia="KaiTi" w:hAnsi="KaiTi" w:cs="KaiTi"/>
          <w:sz w:val="21"/>
          <w:szCs w:val="21"/>
        </w:rPr>
      </w:pPr>
      <w:r>
        <w:rPr>
          <w:rFonts w:ascii="KaiTi" w:eastAsia="KaiTi" w:hAnsi="KaiTi" w:cs="KaiTi"/>
          <w:spacing w:val="1"/>
          <w:sz w:val="21"/>
          <w:szCs w:val="21"/>
        </w:rPr>
        <w:t>4.4对工地搭设和使用出现的所有不安全的隐患，监理人员将书面通知</w:t>
      </w:r>
      <w:r>
        <w:rPr>
          <w:rFonts w:ascii="KaiTi" w:eastAsia="KaiTi" w:hAnsi="KaiTi" w:cs="KaiTi"/>
          <w:sz w:val="21"/>
          <w:szCs w:val="21"/>
        </w:rPr>
        <w:t>施工单位，要求限期</w:t>
      </w:r>
      <w:r>
        <w:rPr>
          <w:rFonts w:ascii="KaiTi" w:eastAsia="KaiTi" w:hAnsi="KaiTi" w:cs="KaiTi"/>
          <w:sz w:val="21"/>
          <w:szCs w:val="21"/>
        </w:rPr>
        <w:t xml:space="preserve"> </w:t>
      </w:r>
      <w:r>
        <w:rPr>
          <w:rFonts w:ascii="KaiTi" w:eastAsia="KaiTi" w:hAnsi="KaiTi" w:cs="KaiTi"/>
          <w:spacing w:val="-9"/>
          <w:sz w:val="21"/>
          <w:szCs w:val="21"/>
        </w:rPr>
        <w:t>整改完善；</w:t>
      </w:r>
    </w:p>
    <w:p>
      <w:pPr>
        <w:spacing w:before="88" w:line="284" w:lineRule="auto"/>
        <w:ind w:left="283" w:right="62"/>
        <w:jc w:val="both"/>
        <w:rPr>
          <w:rFonts w:ascii="KaiTi" w:eastAsia="KaiTi" w:hAnsi="KaiTi" w:cs="KaiTi"/>
          <w:sz w:val="21"/>
          <w:szCs w:val="21"/>
        </w:rPr>
      </w:pPr>
      <w:r>
        <w:rPr>
          <w:rFonts w:ascii="KaiTi" w:eastAsia="KaiTi" w:hAnsi="KaiTi" w:cs="KaiTi"/>
          <w:sz w:val="21"/>
          <w:szCs w:val="21"/>
        </w:rPr>
        <w:t>4.5对安全隐患，若施工单位迟迟不能按监理通知单要求进行整改的，或在有关安</w:t>
      </w:r>
      <w:r>
        <w:rPr>
          <w:rFonts w:ascii="KaiTi" w:eastAsia="KaiTi" w:hAnsi="KaiTi" w:cs="KaiTi"/>
          <w:spacing w:val="-1"/>
          <w:sz w:val="21"/>
          <w:szCs w:val="21"/>
        </w:rPr>
        <w:t>全隐患的</w:t>
      </w:r>
      <w:r>
        <w:rPr>
          <w:rFonts w:ascii="KaiTi" w:eastAsia="KaiTi" w:hAnsi="KaiTi" w:cs="KaiTi"/>
          <w:sz w:val="21"/>
          <w:szCs w:val="21"/>
        </w:rPr>
        <w:t xml:space="preserve"> </w:t>
      </w:r>
      <w:r>
        <w:rPr>
          <w:rFonts w:ascii="KaiTi" w:eastAsia="KaiTi" w:hAnsi="KaiTi" w:cs="KaiTi"/>
          <w:spacing w:val="2"/>
          <w:sz w:val="21"/>
          <w:szCs w:val="21"/>
        </w:rPr>
        <w:t>部位(工序)继续坚持施工的，监理人员将发出局部工序的停工令，并要求对安全隐</w:t>
      </w:r>
      <w:r>
        <w:rPr>
          <w:rFonts w:ascii="KaiTi" w:eastAsia="KaiTi" w:hAnsi="KaiTi" w:cs="KaiTi"/>
          <w:spacing w:val="1"/>
          <w:sz w:val="21"/>
          <w:szCs w:val="21"/>
        </w:rPr>
        <w:t>患限期</w:t>
      </w:r>
      <w:r>
        <w:rPr>
          <w:rFonts w:ascii="KaiTi" w:eastAsia="KaiTi" w:hAnsi="KaiTi" w:cs="KaiTi"/>
          <w:sz w:val="21"/>
          <w:szCs w:val="21"/>
        </w:rPr>
        <w:t xml:space="preserve"> </w:t>
      </w:r>
      <w:r>
        <w:rPr>
          <w:rFonts w:ascii="KaiTi" w:eastAsia="KaiTi" w:hAnsi="KaiTi" w:cs="KaiTi"/>
          <w:spacing w:val="-2"/>
          <w:sz w:val="21"/>
          <w:szCs w:val="21"/>
        </w:rPr>
        <w:t>整改完毕同时通知建设单位，要求建设单位协助作好工地的安全管理；</w:t>
      </w:r>
    </w:p>
    <w:p>
      <w:pPr>
        <w:spacing w:before="110" w:line="279" w:lineRule="auto"/>
        <w:ind w:left="283" w:right="62"/>
        <w:rPr>
          <w:rFonts w:ascii="KaiTi" w:eastAsia="KaiTi" w:hAnsi="KaiTi" w:cs="KaiTi"/>
          <w:sz w:val="21"/>
          <w:szCs w:val="21"/>
        </w:rPr>
      </w:pPr>
      <w:r>
        <w:rPr>
          <w:rFonts w:ascii="KaiTi" w:eastAsia="KaiTi" w:hAnsi="KaiTi" w:cs="KaiTi"/>
          <w:sz w:val="21"/>
          <w:szCs w:val="21"/>
        </w:rPr>
        <w:t>4.6经监理人员多次指出，施工单位对安全隐患拒不整改或者不停止施工的，监理</w:t>
      </w:r>
      <w:r>
        <w:rPr>
          <w:rFonts w:ascii="KaiTi" w:eastAsia="KaiTi" w:hAnsi="KaiTi" w:cs="KaiTi"/>
          <w:spacing w:val="-1"/>
          <w:sz w:val="21"/>
          <w:szCs w:val="21"/>
        </w:rPr>
        <w:t>人员将及</w:t>
      </w:r>
      <w:r>
        <w:rPr>
          <w:rFonts w:ascii="KaiTi" w:eastAsia="KaiTi" w:hAnsi="KaiTi" w:cs="KaiTi"/>
          <w:sz w:val="21"/>
          <w:szCs w:val="21"/>
        </w:rPr>
        <w:t xml:space="preserve"> </w:t>
      </w:r>
      <w:r>
        <w:rPr>
          <w:rFonts w:ascii="KaiTi" w:eastAsia="KaiTi" w:hAnsi="KaiTi" w:cs="KaiTi"/>
          <w:spacing w:val="-5"/>
          <w:sz w:val="21"/>
          <w:szCs w:val="21"/>
        </w:rPr>
        <w:t>时向当地安质监站报告；</w:t>
      </w:r>
    </w:p>
    <w:p>
      <w:pPr>
        <w:spacing w:before="85" w:line="380" w:lineRule="exact"/>
        <w:jc w:val="right"/>
        <w:rPr>
          <w:rFonts w:ascii="KaiTi" w:eastAsia="KaiTi" w:hAnsi="KaiTi" w:cs="KaiTi"/>
          <w:sz w:val="21"/>
          <w:szCs w:val="21"/>
        </w:rPr>
      </w:pPr>
      <w:r>
        <w:rPr>
          <w:rFonts w:ascii="KaiTi" w:eastAsia="KaiTi" w:hAnsi="KaiTi" w:cs="KaiTi"/>
          <w:spacing w:val="-4"/>
          <w:position w:val="12"/>
          <w:sz w:val="21"/>
          <w:szCs w:val="21"/>
        </w:rPr>
        <w:t>4.7通过工地施工例会、安全生产检查和例会，及时协调安全隐患中出现的有关难点、要点，</w:t>
      </w:r>
    </w:p>
    <w:p>
      <w:pPr>
        <w:spacing w:line="220" w:lineRule="auto"/>
        <w:ind w:left="283"/>
        <w:rPr>
          <w:rFonts w:ascii="KaiTi" w:eastAsia="KaiTi" w:hAnsi="KaiTi" w:cs="KaiTi"/>
          <w:sz w:val="21"/>
          <w:szCs w:val="21"/>
        </w:rPr>
      </w:pPr>
      <w:r>
        <w:rPr>
          <w:rFonts w:ascii="KaiTi" w:eastAsia="KaiTi" w:hAnsi="KaiTi" w:cs="KaiTi"/>
          <w:spacing w:val="-4"/>
          <w:sz w:val="21"/>
          <w:szCs w:val="21"/>
        </w:rPr>
        <w:t>采取有效措施，防止不安全事故发生。</w:t>
      </w:r>
    </w:p>
    <w:p>
      <w:pPr>
        <w:spacing w:line="220" w:lineRule="auto"/>
        <w:rPr>
          <w:rFonts w:ascii="KaiTi" w:eastAsia="KaiTi" w:hAnsi="KaiTi" w:cs="KaiTi"/>
          <w:sz w:val="21"/>
          <w:szCs w:val="21"/>
        </w:rPr>
        <w:sectPr>
          <w:pgSz w:w="11910" w:h="16840"/>
          <w:pgMar w:top="1431" w:right="1484" w:bottom="0" w:left="1786" w:header="0" w:footer="0" w:gutter="0"/>
          <w:pgNumType w:start="9"/>
          <w:cols w:space="708"/>
        </w:sectPr>
      </w:pP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line="276" w:lineRule="auto"/>
        <w:rPr>
          <w:rFonts w:ascii="Arial"/>
          <w:sz w:val="21"/>
        </w:rPr>
      </w:pPr>
    </w:p>
    <w:p>
      <w:pPr>
        <w:pStyle w:val="BodyText"/>
        <w:spacing w:before="68" w:line="219" w:lineRule="auto"/>
        <w:ind w:left="1799"/>
        <w:rPr>
          <w:sz w:val="21"/>
          <w:szCs w:val="21"/>
        </w:rPr>
      </w:pPr>
      <w:r>
        <w:drawing>
          <wp:anchor distT="0" distB="0" distL="0" distR="0" simplePos="0" relativeHeight="251658240" behindDoc="1" locked="0" layoutInCell="1" allowOverlap="1">
            <wp:simplePos x="0" y="0"/>
            <wp:positionH relativeFrom="column">
              <wp:posOffset>0</wp:posOffset>
            </wp:positionH>
            <wp:positionV relativeFrom="paragraph">
              <wp:posOffset>-958363</wp:posOffset>
            </wp:positionV>
            <wp:extent cx="7562850" cy="106934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7562850" cy="10693400"/>
                    </a:xfrm>
                    <a:prstGeom prst="rect">
                      <a:avLst/>
                    </a:prstGeom>
                  </pic:spPr>
                </pic:pic>
              </a:graphicData>
            </a:graphic>
          </wp:anchor>
        </w:drawing>
      </w:r>
      <w:r>
        <w:rPr>
          <w:spacing w:val="-7"/>
          <w:sz w:val="21"/>
          <w:szCs w:val="21"/>
        </w:rPr>
        <w:t>附页</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8840" w:lineRule="exact"/>
        <w:ind w:firstLine="3600"/>
      </w:pPr>
      <w:r>
        <w:rPr>
          <w:position w:val="-176"/>
        </w:rPr>
        <w:drawing>
          <wp:inline distT="0" distB="0" distL="0" distR="0">
            <wp:extent cx="3384526" cy="561339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3384526" cy="5613393"/>
                    </a:xfrm>
                    <a:prstGeom prst="rect">
                      <a:avLst/>
                    </a:prstGeom>
                  </pic:spPr>
                </pic:pic>
              </a:graphicData>
            </a:graphic>
          </wp:inline>
        </w:drawing>
      </w:r>
    </w:p>
    <w:p>
      <w:pPr>
        <w:spacing w:before="256" w:line="222" w:lineRule="auto"/>
        <w:ind w:left="4930"/>
        <w:rPr>
          <w:rFonts w:ascii="SimHei" w:eastAsia="SimHei" w:hAnsi="SimHei" w:cs="SimHei"/>
          <w:sz w:val="18"/>
          <w:szCs w:val="18"/>
        </w:rPr>
      </w:pPr>
      <w:r>
        <w:rPr>
          <w:rFonts w:ascii="SimHei" w:eastAsia="SimHei" w:hAnsi="SimHei" w:cs="SimHei"/>
          <w:spacing w:val="26"/>
          <w:sz w:val="18"/>
          <w:szCs w:val="18"/>
        </w:rPr>
        <w:t>图十</w:t>
      </w:r>
      <w:r>
        <w:rPr>
          <w:rFonts w:ascii="SimHei" w:eastAsia="SimHei" w:hAnsi="SimHei" w:cs="SimHei"/>
          <w:spacing w:val="-34"/>
          <w:sz w:val="18"/>
          <w:szCs w:val="18"/>
        </w:rPr>
        <w:t xml:space="preserve"> </w:t>
      </w:r>
      <w:r>
        <w:rPr>
          <w:rFonts w:ascii="SimHei" w:eastAsia="SimHei" w:hAnsi="SimHei" w:cs="SimHei"/>
          <w:spacing w:val="26"/>
          <w:sz w:val="18"/>
          <w:szCs w:val="18"/>
        </w:rPr>
        <w:t>一</w:t>
      </w:r>
      <w:r>
        <w:rPr>
          <w:rFonts w:ascii="SimHei" w:eastAsia="SimHei" w:hAnsi="SimHei" w:cs="SimHei"/>
          <w:spacing w:val="-53"/>
          <w:sz w:val="18"/>
          <w:szCs w:val="18"/>
        </w:rPr>
        <w:t xml:space="preserve"> </w:t>
      </w:r>
      <w:r>
        <w:rPr>
          <w:rFonts w:ascii="SimHei" w:eastAsia="SimHei" w:hAnsi="SimHei" w:cs="SimHei"/>
          <w:spacing w:val="26"/>
          <w:sz w:val="18"/>
          <w:szCs w:val="18"/>
        </w:rPr>
        <w:t>悬吊平台安装示意图(2</w:t>
      </w:r>
      <w:r>
        <w:rPr>
          <w:rFonts w:ascii="SimHei" w:eastAsia="SimHei" w:hAnsi="SimHei" w:cs="SimHei"/>
          <w:sz w:val="18"/>
          <w:szCs w:val="18"/>
        </w:rPr>
        <w:t>LP</w:t>
      </w:r>
      <w:r>
        <w:rPr>
          <w:rFonts w:ascii="SimHei" w:eastAsia="SimHei" w:hAnsi="SimHei" w:cs="SimHei"/>
          <w:spacing w:val="26"/>
          <w:sz w:val="18"/>
          <w:szCs w:val="18"/>
        </w:rPr>
        <w:t>630)</w:t>
      </w:r>
    </w:p>
    <w:p>
      <w:pPr>
        <w:pStyle w:val="BodyText"/>
        <w:spacing w:before="212" w:line="184" w:lineRule="auto"/>
        <w:ind w:left="5960"/>
        <w:rPr>
          <w:sz w:val="29"/>
          <w:szCs w:val="29"/>
        </w:rPr>
      </w:pPr>
      <w:r>
        <w:rPr>
          <w:spacing w:val="-3"/>
          <w:sz w:val="29"/>
          <w:szCs w:val="29"/>
        </w:rPr>
        <w:t>-15-</w:t>
      </w:r>
    </w:p>
    <w:p>
      <w:pPr>
        <w:spacing w:line="184" w:lineRule="auto"/>
        <w:rPr>
          <w:sz w:val="29"/>
          <w:szCs w:val="29"/>
        </w:rPr>
      </w:pPr>
      <w:r>
        <w:rPr>
          <w:sz w:val="29"/>
          <w:szCs w:val="29"/>
        </w:rPr>
        <w:br/>
      </w:r>
      <w:r>
        <w:rPr>
          <w:sz w:val="29"/>
          <w:szCs w:val="2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 w:history="1">
        <w:r>
          <w:rPr>
            <w:rFonts w:ascii="SimSun" w:eastAsia="SimSun" w:hAnsi="SimSun" w:cs="SimSun"/>
            <w:b/>
            <w:bCs/>
            <w:noProof w:val="0"/>
            <w:snapToGrid/>
            <w:color w:val="0000EE"/>
            <w:kern w:val="0"/>
            <w:sz w:val="30"/>
            <w:szCs w:val="30"/>
            <w:u w:val="single" w:color="0000EE"/>
          </w:rPr>
          <w:t>https://d.book118.com/205040243302011033</w:t>
        </w:r>
      </w:hyperlink>
    </w:p>
    <w:p>
      <w:pPr>
        <w:spacing w:line="184" w:lineRule="auto"/>
        <w:rPr>
          <w:sz w:val="29"/>
          <w:szCs w:val="29"/>
        </w:rPr>
      </w:pPr>
    </w:p>
    <w:sectPr>
      <w:headerReference w:type="default" r:id="rId8"/>
      <w:pgSz w:w="11910" w:h="16840"/>
      <w:pgMar w:top="400" w:right="0" w:bottom="0" w:left="0" w:header="0" w:footer="0"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8"/>
      <w:szCs w:val="28"/>
      <w:lang w:val="en-US" w:eastAsia="en-US" w:bidi="ar-SA"/>
    </w:rPr>
  </w:style>
  <w:style w:type="paragraph" w:customStyle="1" w:styleId="TableText">
    <w:name w:val="Table Text"/>
    <w:basedOn w:val="Normal"/>
    <w:semiHidden/>
    <w:qFormat/>
    <w:rPr>
      <w:rFonts w:ascii="SimSun" w:eastAsia="SimSun" w:hAnsi="SimSun" w:cs="SimSun"/>
      <w:sz w:val="15"/>
      <w:szCs w:val="1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hyperlink" Target="https://d.book118.com/205040243302011033" TargetMode="External" /><Relationship Id="rId8" Type="http://schemas.openxmlformats.org/officeDocument/2006/relationships/header" Target="header1.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2024-01-01T16:35:13Z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2024-01-01T16:35:15Z</vt:filetime>
  </property>
  <property fmtid="{D5CDD505-2E9C-101B-9397-08002B2CF9AE}" pid="3" name="CRO">
    <vt:lpwstr>wqlLaW5nc29mdCBQREYgdG8gV1BTIDkw</vt:lpwstr>
  </property>
  <property fmtid="{D5CDD505-2E9C-101B-9397-08002B2CF9AE}" pid="4" name="UsrData">
    <vt:lpwstr>6592793dd022c6001f5a9be9wl</vt:lpwstr>
  </property>
</Properties>
</file>