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94" w:line="208" w:lineRule="auto"/>
        <w:ind w:left="4280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-5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医</w:t>
      </w:r>
      <w:r>
        <w:rPr>
          <w:rFonts w:ascii="SimHei" w:eastAsia="SimHei" w:hAnsi="SimHei" w:cs="SimHei"/>
          <w:spacing w:val="-3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疗器械项目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5" w:line="208" w:lineRule="auto"/>
        <w:ind w:left="4490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-6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商</w:t>
      </w:r>
      <w:r>
        <w:rPr>
          <w:rFonts w:ascii="SimHei" w:eastAsia="SimHei" w:hAnsi="SimHei" w:cs="SimHei"/>
          <w:spacing w:val="-3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业计划书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  <w:sectPr>
          <w:pgSz w:w="18360" w:h="23760"/>
          <w:pgMar w:top="2019" w:right="2754" w:bottom="0" w:left="2754" w:header="0" w:footer="0" w:gutter="0"/>
          <w:cols w:space="708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46" w:line="210" w:lineRule="auto"/>
        <w:ind w:left="4522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投资分析/</w:t>
      </w:r>
      <w:r>
        <w:rPr>
          <w:rFonts w:ascii="SimHei" w:eastAsia="SimHei" w:hAnsi="SimHei" w:cs="SimHei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实施方案</w:t>
      </w:r>
    </w:p>
    <w:p>
      <w:pPr>
        <w:sectPr>
          <w:type w:val="nextPage"/>
          <w:pgSz w:w="18360" w:h="23760"/>
          <w:pgMar w:top="2019" w:right="2754" w:bottom="0" w:left="2754" w:header="0" w:footer="0" w:gutter="0"/>
          <w:pgNumType w:start="2"/>
          <w:cols w:space="708"/>
          <w:titlePg w:val="0"/>
        </w:sect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47" w:line="206" w:lineRule="auto"/>
        <w:ind w:left="11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报告</w:t>
      </w:r>
      <w:r>
        <w:rPr>
          <w:rFonts w:ascii="SimHei" w:eastAsia="SimHei" w:hAnsi="SimHei" w:cs="SimHei"/>
          <w:spacing w:val="-2"/>
          <w:sz w:val="45"/>
          <w:szCs w:val="45"/>
        </w:rPr>
        <w:t>说明—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47" w:line="399" w:lineRule="auto"/>
        <w:ind w:left="27" w:firstLine="88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4"/>
          <w:sz w:val="45"/>
          <w:szCs w:val="45"/>
        </w:rPr>
        <w:t>该医</w:t>
      </w:r>
      <w:r>
        <w:rPr>
          <w:rFonts w:ascii="FangSong" w:eastAsia="FangSong" w:hAnsi="FangSong" w:cs="FangSong"/>
          <w:spacing w:val="-7"/>
          <w:sz w:val="45"/>
          <w:szCs w:val="45"/>
        </w:rPr>
        <w:t>疗器械项目计划总投资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19120.72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万元，其中：固定资产投资</w:t>
      </w:r>
      <w:r>
        <w:rPr>
          <w:rFonts w:ascii="FangSong" w:eastAsia="FangSong" w:hAnsi="FangSong" w:cs="FangSong"/>
          <w:sz w:val="45"/>
          <w:szCs w:val="45"/>
        </w:rPr>
        <w:t xml:space="preserve">    </w:t>
      </w:r>
      <w:r>
        <w:rPr>
          <w:rFonts w:ascii="FangSong" w:eastAsia="FangSong" w:hAnsi="FangSong" w:cs="FangSong"/>
          <w:spacing w:val="-20"/>
          <w:sz w:val="45"/>
          <w:szCs w:val="45"/>
        </w:rPr>
        <w:t>167</w:t>
      </w:r>
      <w:r>
        <w:rPr>
          <w:rFonts w:ascii="FangSong" w:eastAsia="FangSong" w:hAnsi="FangSong" w:cs="FangSong"/>
          <w:spacing w:val="-15"/>
          <w:sz w:val="45"/>
          <w:szCs w:val="45"/>
        </w:rPr>
        <w:t>6</w:t>
      </w:r>
      <w:r>
        <w:rPr>
          <w:rFonts w:ascii="FangSong" w:eastAsia="FangSong" w:hAnsi="FangSong" w:cs="FangSong"/>
          <w:spacing w:val="-10"/>
          <w:sz w:val="45"/>
          <w:szCs w:val="45"/>
        </w:rPr>
        <w:t>6.06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万元，占项目总投资的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87.69%；流动资金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2354.66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万元，占项目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总</w:t>
      </w:r>
      <w:r>
        <w:rPr>
          <w:rFonts w:ascii="FangSong" w:eastAsia="FangSong" w:hAnsi="FangSong" w:cs="FangSong"/>
          <w:spacing w:val="-13"/>
          <w:sz w:val="45"/>
          <w:szCs w:val="45"/>
        </w:rPr>
        <w:t>投资的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12.31%。</w:t>
      </w:r>
    </w:p>
    <w:p>
      <w:pPr>
        <w:spacing w:before="9" w:line="398" w:lineRule="auto"/>
        <w:ind w:firstLine="914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2"/>
          <w:sz w:val="45"/>
          <w:szCs w:val="45"/>
        </w:rPr>
        <w:t>达产</w:t>
      </w:r>
      <w:r>
        <w:rPr>
          <w:rFonts w:ascii="FangSong" w:eastAsia="FangSong" w:hAnsi="FangSong" w:cs="FangSong"/>
          <w:spacing w:val="-19"/>
          <w:sz w:val="45"/>
          <w:szCs w:val="45"/>
        </w:rPr>
        <w:t>年</w:t>
      </w:r>
      <w:r>
        <w:rPr>
          <w:rFonts w:ascii="FangSong" w:eastAsia="FangSong" w:hAnsi="FangSong" w:cs="FangSong"/>
          <w:spacing w:val="-11"/>
          <w:sz w:val="45"/>
          <w:szCs w:val="45"/>
        </w:rPr>
        <w:t>营业收入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23197.00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万元，总成本费用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18434.99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万元，税金及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8"/>
          <w:sz w:val="45"/>
          <w:szCs w:val="45"/>
        </w:rPr>
        <w:t>附加</w:t>
      </w:r>
      <w:r>
        <w:rPr>
          <w:rFonts w:ascii="FangSong" w:eastAsia="FangSong" w:hAnsi="FangSong" w:cs="FangSong"/>
          <w:spacing w:val="-2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302.69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万元，利润总额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4762.01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万元，利税总额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5721.53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万元，税后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9"/>
          <w:sz w:val="45"/>
          <w:szCs w:val="45"/>
        </w:rPr>
        <w:t>净</w:t>
      </w:r>
      <w:r>
        <w:rPr>
          <w:rFonts w:ascii="FangSong" w:eastAsia="FangSong" w:hAnsi="FangSong" w:cs="FangSong"/>
          <w:spacing w:val="-11"/>
          <w:sz w:val="45"/>
          <w:szCs w:val="45"/>
        </w:rPr>
        <w:t>利润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3571.51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万元，达产年纳税总额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2150.02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万元；达产年投资利润率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24.90%，投资利税率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29.92%，投资回报率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18.68%，全部投资回收期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6.8</w:t>
      </w:r>
      <w:r>
        <w:rPr>
          <w:rFonts w:ascii="FangSong" w:eastAsia="FangSong" w:hAnsi="FangSong" w:cs="FangSong"/>
          <w:spacing w:val="-3"/>
          <w:sz w:val="45"/>
          <w:szCs w:val="45"/>
        </w:rPr>
        <w:t>5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1"/>
          <w:sz w:val="45"/>
          <w:szCs w:val="45"/>
        </w:rPr>
        <w:t>年</w:t>
      </w:r>
      <w:r>
        <w:rPr>
          <w:rFonts w:ascii="FangSong" w:eastAsia="FangSong" w:hAnsi="FangSong" w:cs="FangSong"/>
          <w:spacing w:val="-17"/>
          <w:sz w:val="45"/>
          <w:szCs w:val="45"/>
        </w:rPr>
        <w:t>，提供就业职位</w:t>
      </w:r>
      <w:r>
        <w:rPr>
          <w:rFonts w:ascii="FangSong" w:eastAsia="FangSong" w:hAnsi="FangSong" w:cs="FangSong"/>
          <w:spacing w:val="-1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7"/>
          <w:sz w:val="45"/>
          <w:szCs w:val="45"/>
        </w:rPr>
        <w:t>465</w:t>
      </w:r>
      <w:r>
        <w:rPr>
          <w:rFonts w:ascii="FangSong" w:eastAsia="FangSong" w:hAnsi="FangSong" w:cs="FangSong"/>
          <w:spacing w:val="-1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7"/>
          <w:sz w:val="45"/>
          <w:szCs w:val="45"/>
        </w:rPr>
        <w:t>个。</w:t>
      </w:r>
    </w:p>
    <w:p>
      <w:pPr>
        <w:spacing w:before="3" w:line="401" w:lineRule="auto"/>
        <w:ind w:left="7" w:right="116" w:firstLine="92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随着我国居民健康需求的日益增加，医疗卫生事</w:t>
      </w:r>
      <w:r>
        <w:rPr>
          <w:rFonts w:ascii="FangSong" w:eastAsia="FangSong" w:hAnsi="FangSong" w:cs="FangSong"/>
          <w:spacing w:val="-1"/>
          <w:sz w:val="45"/>
          <w:szCs w:val="45"/>
        </w:rPr>
        <w:t>业不断发展，作为医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疗服务中重要组成部分的医疗器械市场也受益于此，多年来一直保</w:t>
      </w:r>
      <w:r>
        <w:rPr>
          <w:rFonts w:ascii="FangSong" w:eastAsia="FangSong" w:hAnsi="FangSong" w:cs="FangSong"/>
          <w:sz w:val="45"/>
          <w:szCs w:val="45"/>
        </w:rPr>
        <w:t>持稳步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增</w:t>
      </w:r>
      <w:r>
        <w:rPr>
          <w:rFonts w:ascii="FangSong" w:eastAsia="FangSong" w:hAnsi="FangSong" w:cs="FangSong"/>
          <w:spacing w:val="-10"/>
          <w:sz w:val="45"/>
          <w:szCs w:val="45"/>
        </w:rPr>
        <w:t>长。根据中国医药物资协会统计数据，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2018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年我国医疗器械行业市场规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0"/>
          <w:sz w:val="45"/>
          <w:szCs w:val="45"/>
        </w:rPr>
        <w:t>模</w:t>
      </w:r>
      <w:r>
        <w:rPr>
          <w:rFonts w:ascii="FangSong" w:eastAsia="FangSong" w:hAnsi="FangSong" w:cs="FangSong"/>
          <w:spacing w:val="-16"/>
          <w:sz w:val="45"/>
          <w:szCs w:val="45"/>
        </w:rPr>
        <w:t>达</w:t>
      </w:r>
      <w:r>
        <w:rPr>
          <w:rFonts w:ascii="FangSong" w:eastAsia="FangSong" w:hAnsi="FangSong" w:cs="FangSong"/>
          <w:spacing w:val="-10"/>
          <w:sz w:val="45"/>
          <w:szCs w:val="45"/>
        </w:rPr>
        <w:t>到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5250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亿元，同比增长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18%，这其中所做贡献最大的子行业为医学影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像行业</w:t>
      </w:r>
      <w:r>
        <w:rPr>
          <w:rFonts w:ascii="FangSong" w:eastAsia="FangSong" w:hAnsi="FangSong" w:cs="FangSong"/>
          <w:spacing w:val="-7"/>
          <w:sz w:val="45"/>
          <w:szCs w:val="45"/>
        </w:rPr>
        <w:t>，</w:t>
      </w:r>
      <w:r>
        <w:rPr>
          <w:rFonts w:ascii="FangSong" w:eastAsia="FangSong" w:hAnsi="FangSong" w:cs="FangSong"/>
          <w:spacing w:val="-5"/>
          <w:sz w:val="45"/>
          <w:szCs w:val="45"/>
        </w:rPr>
        <w:t>销售额占整个医疗器械行业收入的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16%。</w:t>
      </w:r>
    </w:p>
    <w:p>
      <w:pPr>
        <w:sectPr>
          <w:pgSz w:w="18360" w:h="23760"/>
          <w:pgMar w:top="2019" w:right="1930" w:bottom="0" w:left="1821" w:header="0" w:footer="0" w:gutter="0"/>
          <w:pgNumType w:start="3"/>
          <w:cols w:space="708"/>
        </w:sectPr>
      </w:pPr>
    </w:p>
    <w:p/>
    <w:p/>
    <w:p/>
    <w:p>
      <w:pPr>
        <w:spacing w:line="233" w:lineRule="exact"/>
      </w:pPr>
    </w:p>
    <w:p>
      <w:pPr>
        <w:sectPr>
          <w:pgSz w:w="18360" w:h="23760"/>
          <w:pgMar w:top="2019" w:right="2754" w:bottom="0" w:left="2754" w:header="0" w:footer="0" w:gutter="0"/>
          <w:pgNumType w:start="4"/>
          <w:cols w:num="1" w:space="708" w:equalWidth="0">
            <w:col w:w="12852" w:space="0"/>
          </w:cols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46" w:line="399" w:lineRule="auto"/>
        <w:ind w:left="2062" w:right="818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6"/>
          <w:sz w:val="45"/>
          <w:szCs w:val="45"/>
        </w:rPr>
        <w:t>第一章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第二章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第三章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第四章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第五章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第六章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第七章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第八章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第九章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第十章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-6"/>
          <w:sz w:val="45"/>
          <w:szCs w:val="45"/>
        </w:rPr>
        <w:t>第</w:t>
      </w:r>
      <w:r>
        <w:rPr>
          <w:rFonts w:ascii="SimHei" w:eastAsia="SimHei" w:hAnsi="SimHei" w:cs="SimHei"/>
          <w:spacing w:val="-4"/>
          <w:sz w:val="45"/>
          <w:szCs w:val="45"/>
        </w:rPr>
        <w:t>十一章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-6"/>
          <w:sz w:val="45"/>
          <w:szCs w:val="45"/>
        </w:rPr>
        <w:t>第</w:t>
      </w:r>
      <w:r>
        <w:rPr>
          <w:rFonts w:ascii="SimHei" w:eastAsia="SimHei" w:hAnsi="SimHei" w:cs="SimHei"/>
          <w:spacing w:val="-4"/>
          <w:sz w:val="45"/>
          <w:szCs w:val="45"/>
        </w:rPr>
        <w:t>十二章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-6"/>
          <w:sz w:val="45"/>
          <w:szCs w:val="45"/>
        </w:rPr>
        <w:t>第</w:t>
      </w:r>
      <w:r>
        <w:rPr>
          <w:rFonts w:ascii="SimHei" w:eastAsia="SimHei" w:hAnsi="SimHei" w:cs="SimHei"/>
          <w:spacing w:val="-4"/>
          <w:sz w:val="45"/>
          <w:szCs w:val="45"/>
        </w:rPr>
        <w:t>十三章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-6"/>
          <w:sz w:val="45"/>
          <w:szCs w:val="45"/>
        </w:rPr>
        <w:t>第</w:t>
      </w:r>
      <w:r>
        <w:rPr>
          <w:rFonts w:ascii="SimHei" w:eastAsia="SimHei" w:hAnsi="SimHei" w:cs="SimHei"/>
          <w:spacing w:val="-4"/>
          <w:sz w:val="45"/>
          <w:szCs w:val="45"/>
        </w:rPr>
        <w:t>十四章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-6"/>
          <w:sz w:val="45"/>
          <w:szCs w:val="45"/>
        </w:rPr>
        <w:t>第</w:t>
      </w:r>
      <w:r>
        <w:rPr>
          <w:rFonts w:ascii="SimHei" w:eastAsia="SimHei" w:hAnsi="SimHei" w:cs="SimHei"/>
          <w:spacing w:val="-4"/>
          <w:sz w:val="45"/>
          <w:szCs w:val="45"/>
        </w:rPr>
        <w:t>十五章</w:t>
      </w:r>
    </w:p>
    <w:p>
      <w:pPr>
        <w:spacing w:line="175" w:lineRule="auto"/>
        <w:ind w:left="2062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5"/>
          <w:sz w:val="45"/>
          <w:szCs w:val="45"/>
        </w:rPr>
        <w:t>第</w:t>
      </w:r>
      <w:r>
        <w:rPr>
          <w:rFonts w:ascii="SimHei" w:eastAsia="SimHei" w:hAnsi="SimHei" w:cs="SimHei"/>
          <w:spacing w:val="-3"/>
          <w:sz w:val="45"/>
          <w:szCs w:val="45"/>
        </w:rPr>
        <w:t>十六章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08" w:lineRule="auto"/>
        <w:ind w:left="1283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9"/>
          <w:sz w:val="45"/>
          <w:szCs w:val="45"/>
        </w:rPr>
        <w:t>目</w:t>
      </w:r>
      <w:r>
        <w:rPr>
          <w:rFonts w:ascii="SimHei" w:eastAsia="SimHei" w:hAnsi="SimHei" w:cs="SimHei"/>
          <w:spacing w:val="-18"/>
          <w:sz w:val="45"/>
          <w:szCs w:val="45"/>
        </w:rPr>
        <w:t>录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47" w:line="208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项</w:t>
      </w:r>
      <w:r>
        <w:rPr>
          <w:rFonts w:ascii="SimHei" w:eastAsia="SimHei" w:hAnsi="SimHei" w:cs="SimHei"/>
          <w:spacing w:val="-3"/>
          <w:sz w:val="45"/>
          <w:szCs w:val="45"/>
        </w:rPr>
        <w:t>目</w:t>
      </w:r>
      <w:r>
        <w:rPr>
          <w:rFonts w:ascii="SimHei" w:eastAsia="SimHei" w:hAnsi="SimHei" w:cs="SimHei"/>
          <w:spacing w:val="-2"/>
          <w:sz w:val="45"/>
          <w:szCs w:val="45"/>
        </w:rPr>
        <w:t>基本情况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46" w:line="975" w:lineRule="exact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position w:val="41"/>
          <w:sz w:val="45"/>
          <w:szCs w:val="45"/>
        </w:rPr>
        <w:t>建设单位基本信息</w:t>
      </w:r>
    </w:p>
    <w:p>
      <w:pPr>
        <w:spacing w:line="207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建</w:t>
      </w:r>
      <w:r>
        <w:rPr>
          <w:rFonts w:ascii="SimHei" w:eastAsia="SimHei" w:hAnsi="SimHei" w:cs="SimHei"/>
          <w:spacing w:val="-3"/>
          <w:sz w:val="45"/>
          <w:szCs w:val="45"/>
        </w:rPr>
        <w:t>设</w:t>
      </w:r>
      <w:r>
        <w:rPr>
          <w:rFonts w:ascii="SimHei" w:eastAsia="SimHei" w:hAnsi="SimHei" w:cs="SimHei"/>
          <w:spacing w:val="-2"/>
          <w:sz w:val="45"/>
          <w:szCs w:val="45"/>
        </w:rPr>
        <w:t>背景分析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47" w:line="970" w:lineRule="exact"/>
        <w:ind w:left="44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position w:val="40"/>
          <w:sz w:val="45"/>
          <w:szCs w:val="45"/>
        </w:rPr>
        <w:t>产</w:t>
      </w:r>
      <w:r>
        <w:rPr>
          <w:rFonts w:ascii="SimHei" w:eastAsia="SimHei" w:hAnsi="SimHei" w:cs="SimHei"/>
          <w:spacing w:val="-3"/>
          <w:position w:val="40"/>
          <w:sz w:val="45"/>
          <w:szCs w:val="45"/>
        </w:rPr>
        <w:t>品</w:t>
      </w:r>
      <w:r>
        <w:rPr>
          <w:rFonts w:ascii="SimHei" w:eastAsia="SimHei" w:hAnsi="SimHei" w:cs="SimHei"/>
          <w:spacing w:val="-2"/>
          <w:position w:val="40"/>
          <w:sz w:val="45"/>
          <w:szCs w:val="45"/>
        </w:rPr>
        <w:t>规划</w:t>
      </w:r>
    </w:p>
    <w:p>
      <w:pPr>
        <w:spacing w:before="2" w:line="207" w:lineRule="auto"/>
        <w:ind w:left="457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7"/>
          <w:sz w:val="45"/>
          <w:szCs w:val="45"/>
        </w:rPr>
        <w:t>选</w:t>
      </w:r>
      <w:r>
        <w:rPr>
          <w:rFonts w:ascii="SimHei" w:eastAsia="SimHei" w:hAnsi="SimHei" w:cs="SimHei"/>
          <w:spacing w:val="-4"/>
          <w:sz w:val="45"/>
          <w:szCs w:val="45"/>
        </w:rPr>
        <w:t>址方案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47" w:line="208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5"/>
          <w:sz w:val="45"/>
          <w:szCs w:val="45"/>
        </w:rPr>
        <w:t>土</w:t>
      </w:r>
      <w:r>
        <w:rPr>
          <w:rFonts w:ascii="SimHei" w:eastAsia="SimHei" w:hAnsi="SimHei" w:cs="SimHei"/>
          <w:spacing w:val="-3"/>
          <w:sz w:val="45"/>
          <w:szCs w:val="45"/>
        </w:rPr>
        <w:t>建工程</w:t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47" w:line="208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项</w:t>
      </w:r>
      <w:r>
        <w:rPr>
          <w:rFonts w:ascii="SimHei" w:eastAsia="SimHei" w:hAnsi="SimHei" w:cs="SimHei"/>
          <w:spacing w:val="-2"/>
          <w:sz w:val="45"/>
          <w:szCs w:val="45"/>
        </w:rPr>
        <w:t>目工艺可行性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47" w:line="976" w:lineRule="exact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position w:val="41"/>
          <w:sz w:val="45"/>
          <w:szCs w:val="45"/>
        </w:rPr>
        <w:t>项目环境影响</w:t>
      </w:r>
      <w:r>
        <w:rPr>
          <w:rFonts w:ascii="SimHei" w:eastAsia="SimHei" w:hAnsi="SimHei" w:cs="SimHei"/>
          <w:spacing w:val="-1"/>
          <w:position w:val="41"/>
          <w:sz w:val="45"/>
          <w:szCs w:val="45"/>
        </w:rPr>
        <w:t>情况说明</w:t>
      </w:r>
    </w:p>
    <w:p>
      <w:pPr>
        <w:spacing w:before="1" w:line="208" w:lineRule="auto"/>
        <w:ind w:left="467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9"/>
          <w:sz w:val="45"/>
          <w:szCs w:val="45"/>
        </w:rPr>
        <w:t>安</w:t>
      </w:r>
      <w:r>
        <w:rPr>
          <w:rFonts w:ascii="SimHei" w:eastAsia="SimHei" w:hAnsi="SimHei" w:cs="SimHei"/>
          <w:spacing w:val="-6"/>
          <w:sz w:val="45"/>
          <w:szCs w:val="45"/>
        </w:rPr>
        <w:t>全保护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47" w:line="208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sz w:val="45"/>
          <w:szCs w:val="45"/>
        </w:rPr>
        <w:t>建设及运营风险</w:t>
      </w:r>
      <w:r>
        <w:rPr>
          <w:rFonts w:ascii="SimHei" w:eastAsia="SimHei" w:hAnsi="SimHei" w:cs="SimHei"/>
          <w:spacing w:val="-1"/>
          <w:sz w:val="45"/>
          <w:szCs w:val="45"/>
        </w:rPr>
        <w:t>分析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47" w:line="208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项</w:t>
      </w:r>
      <w:r>
        <w:rPr>
          <w:rFonts w:ascii="SimHei" w:eastAsia="SimHei" w:hAnsi="SimHei" w:cs="SimHei"/>
          <w:spacing w:val="-3"/>
          <w:sz w:val="45"/>
          <w:szCs w:val="45"/>
        </w:rPr>
        <w:t>目</w:t>
      </w:r>
      <w:r>
        <w:rPr>
          <w:rFonts w:ascii="SimHei" w:eastAsia="SimHei" w:hAnsi="SimHei" w:cs="SimHei"/>
          <w:spacing w:val="-2"/>
          <w:sz w:val="45"/>
          <w:szCs w:val="45"/>
        </w:rPr>
        <w:t>节能评价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46" w:line="974" w:lineRule="exact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position w:val="40"/>
          <w:sz w:val="45"/>
          <w:szCs w:val="45"/>
        </w:rPr>
        <w:t>项目实施安排方案</w:t>
      </w:r>
    </w:p>
    <w:p>
      <w:pPr>
        <w:spacing w:before="2" w:line="208" w:lineRule="auto"/>
        <w:ind w:left="44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sz w:val="45"/>
          <w:szCs w:val="45"/>
        </w:rPr>
        <w:t>投资估算</w:t>
      </w:r>
      <w:r>
        <w:rPr>
          <w:rFonts w:ascii="SimHei" w:eastAsia="SimHei" w:hAnsi="SimHei" w:cs="SimHei"/>
          <w:spacing w:val="-1"/>
          <w:sz w:val="45"/>
          <w:szCs w:val="45"/>
        </w:rPr>
        <w:t>与资金筹措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46" w:line="208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sz w:val="45"/>
          <w:szCs w:val="45"/>
        </w:rPr>
        <w:t>项目经济收益分析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47" w:line="208" w:lineRule="auto"/>
        <w:ind w:left="45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5"/>
          <w:sz w:val="45"/>
          <w:szCs w:val="45"/>
        </w:rPr>
        <w:t>总结评价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47" w:line="174" w:lineRule="auto"/>
        <w:ind w:left="4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项</w:t>
      </w:r>
      <w:r>
        <w:rPr>
          <w:rFonts w:ascii="SimHei" w:eastAsia="SimHei" w:hAnsi="SimHei" w:cs="SimHei"/>
          <w:spacing w:val="-2"/>
          <w:sz w:val="45"/>
          <w:szCs w:val="45"/>
        </w:rPr>
        <w:t>目招投标方案</w:t>
      </w:r>
    </w:p>
    <w:p>
      <w:pPr>
        <w:sectPr>
          <w:type w:val="continuous"/>
          <w:pgSz w:w="18360" w:h="23760"/>
          <w:pgMar w:top="2019" w:right="2754" w:bottom="0" w:left="2754" w:header="0" w:footer="0" w:gutter="0"/>
          <w:pgNumType w:start="5"/>
          <w:cols w:num="2" w:space="708" w:equalWidth="0">
            <w:col w:w="4664" w:space="100"/>
            <w:col w:w="8089" w:space="0"/>
          </w:cols>
        </w:sectPr>
      </w:pPr>
    </w:p>
    <w:p>
      <w:pPr>
        <w:spacing w:before="348" w:line="213" w:lineRule="auto"/>
        <w:ind w:left="4959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13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一章</w:t>
      </w:r>
      <w:r>
        <w:rPr>
          <w:rFonts w:ascii="SimHei" w:eastAsia="SimHei" w:hAnsi="SimHei" w:cs="SimHei"/>
          <w:spacing w:val="7"/>
          <w:sz w:val="47"/>
          <w:szCs w:val="47"/>
        </w:rPr>
        <w:t xml:space="preserve">  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项目基本情况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3" w:line="210" w:lineRule="auto"/>
        <w:ind w:left="898"/>
        <w:outlineLvl w:val="0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一、项目提出的理</w:t>
      </w:r>
      <w:r>
        <w:rPr>
          <w:rFonts w:ascii="SimHei" w:eastAsia="SimHei" w:hAnsi="SimHei" w:cs="SimHei"/>
          <w:spacing w:val="4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由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146" w:line="398" w:lineRule="auto"/>
        <w:ind w:right="244" w:firstLine="92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随着我国居民健康需求的日益增加，医疗卫生事</w:t>
      </w:r>
      <w:r>
        <w:rPr>
          <w:rFonts w:ascii="FangSong" w:eastAsia="FangSong" w:hAnsi="FangSong" w:cs="FangSong"/>
          <w:spacing w:val="-1"/>
          <w:sz w:val="45"/>
          <w:szCs w:val="45"/>
        </w:rPr>
        <w:t>业不断发展，作为医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疗服务中重要组成部分的医疗器械市场也受益于此，多年来一直保</w:t>
      </w:r>
      <w:r>
        <w:rPr>
          <w:rFonts w:ascii="FangSong" w:eastAsia="FangSong" w:hAnsi="FangSong" w:cs="FangSong"/>
          <w:sz w:val="45"/>
          <w:szCs w:val="45"/>
        </w:rPr>
        <w:t>持稳步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增</w:t>
      </w:r>
      <w:r>
        <w:rPr>
          <w:rFonts w:ascii="FangSong" w:eastAsia="FangSong" w:hAnsi="FangSong" w:cs="FangSong"/>
          <w:spacing w:val="-10"/>
          <w:sz w:val="45"/>
          <w:szCs w:val="45"/>
        </w:rPr>
        <w:t>长。根据中国医药物资协会统计数据，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2018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年我国医疗器械行业市场规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0"/>
          <w:sz w:val="45"/>
          <w:szCs w:val="45"/>
        </w:rPr>
        <w:t>模</w:t>
      </w:r>
      <w:r>
        <w:rPr>
          <w:rFonts w:ascii="FangSong" w:eastAsia="FangSong" w:hAnsi="FangSong" w:cs="FangSong"/>
          <w:spacing w:val="-16"/>
          <w:sz w:val="45"/>
          <w:szCs w:val="45"/>
        </w:rPr>
        <w:t>达</w:t>
      </w:r>
      <w:r>
        <w:rPr>
          <w:rFonts w:ascii="FangSong" w:eastAsia="FangSong" w:hAnsi="FangSong" w:cs="FangSong"/>
          <w:spacing w:val="-10"/>
          <w:sz w:val="45"/>
          <w:szCs w:val="45"/>
        </w:rPr>
        <w:t>到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5250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亿元，同比增长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18%，这其中所做贡献最大的子行业为医学影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像行业</w:t>
      </w:r>
      <w:r>
        <w:rPr>
          <w:rFonts w:ascii="FangSong" w:eastAsia="FangSong" w:hAnsi="FangSong" w:cs="FangSong"/>
          <w:spacing w:val="-7"/>
          <w:sz w:val="45"/>
          <w:szCs w:val="45"/>
        </w:rPr>
        <w:t>，</w:t>
      </w:r>
      <w:r>
        <w:rPr>
          <w:rFonts w:ascii="FangSong" w:eastAsia="FangSong" w:hAnsi="FangSong" w:cs="FangSong"/>
          <w:spacing w:val="-5"/>
          <w:sz w:val="45"/>
          <w:szCs w:val="45"/>
        </w:rPr>
        <w:t>销售额占整个医疗器械行业收入的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16%。</w:t>
      </w:r>
    </w:p>
    <w:p>
      <w:pPr>
        <w:spacing w:before="1" w:line="209" w:lineRule="auto"/>
        <w:ind w:left="898"/>
        <w:outlineLvl w:val="0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Hei" w:eastAsia="SimHei" w:hAnsi="SimHei" w:cs="SimHei"/>
          <w:spacing w:val="4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、项目概况</w:t>
      </w:r>
    </w:p>
    <w:p>
      <w:pPr>
        <w:spacing w:line="374" w:lineRule="auto"/>
        <w:rPr>
          <w:rFonts w:ascii="Arial"/>
          <w:sz w:val="21"/>
        </w:rPr>
      </w:pPr>
    </w:p>
    <w:p>
      <w:pPr>
        <w:spacing w:before="147" w:line="208" w:lineRule="auto"/>
        <w:ind w:left="90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5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(一)项目名称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46" w:line="208" w:lineRule="auto"/>
        <w:ind w:left="940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3"/>
          <w:sz w:val="45"/>
          <w:szCs w:val="45"/>
        </w:rPr>
        <w:t>医</w:t>
      </w:r>
      <w:r>
        <w:rPr>
          <w:rFonts w:ascii="FangSong" w:eastAsia="FangSong" w:hAnsi="FangSong" w:cs="FangSong"/>
          <w:spacing w:val="-9"/>
          <w:sz w:val="45"/>
          <w:szCs w:val="45"/>
        </w:rPr>
        <w:t>疗器械项目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47" w:line="211" w:lineRule="auto"/>
        <w:ind w:left="90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56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(二)项目选址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147" w:line="208" w:lineRule="auto"/>
        <w:ind w:left="886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5"/>
          <w:sz w:val="45"/>
          <w:szCs w:val="45"/>
        </w:rPr>
        <w:t>xx</w:t>
      </w:r>
      <w:r>
        <w:rPr>
          <w:rFonts w:ascii="FangSong" w:eastAsia="FangSong" w:hAnsi="FangSong" w:cs="FangSong"/>
          <w:spacing w:val="-1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经济开发区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46" w:line="401" w:lineRule="auto"/>
        <w:ind w:left="1" w:firstLine="899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4"/>
          <w:sz w:val="45"/>
          <w:szCs w:val="45"/>
        </w:rPr>
        <w:t>投资项目对其生产工艺流程、设施布置等都有较为严格的标准化要求</w:t>
      </w:r>
      <w:r>
        <w:rPr>
          <w:rFonts w:ascii="FangSong" w:eastAsia="FangSong" w:hAnsi="FangSong" w:cs="FangSong"/>
          <w:spacing w:val="-2"/>
          <w:sz w:val="45"/>
          <w:szCs w:val="45"/>
        </w:rPr>
        <w:t>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为了更好地发挥其经济效益并综合考虑环境等多方面的因素，根据项</w:t>
      </w:r>
      <w:r>
        <w:rPr>
          <w:rFonts w:ascii="FangSong" w:eastAsia="FangSong" w:hAnsi="FangSong" w:cs="FangSong"/>
          <w:sz w:val="45"/>
          <w:szCs w:val="45"/>
        </w:rPr>
        <w:t>目选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址的一般原则和项目建设地的实际情况，该项目选址应遵循以下基本</w:t>
      </w:r>
      <w:r>
        <w:rPr>
          <w:rFonts w:ascii="FangSong" w:eastAsia="FangSong" w:hAnsi="FangSong" w:cs="FangSong"/>
          <w:sz w:val="45"/>
          <w:szCs w:val="45"/>
        </w:rPr>
        <w:t>原则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的要求。对周围环境不应产生污染或对周围环境污染不超过国家有关</w:t>
      </w:r>
      <w:r>
        <w:rPr>
          <w:rFonts w:ascii="FangSong" w:eastAsia="FangSong" w:hAnsi="FangSong" w:cs="FangSong"/>
          <w:sz w:val="45"/>
          <w:szCs w:val="45"/>
        </w:rPr>
        <w:t>法律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和现行标准的允许范围，不会引起当地居民的不满，不会造成不良的</w:t>
      </w:r>
      <w:r>
        <w:rPr>
          <w:rFonts w:ascii="FangSong" w:eastAsia="FangSong" w:hAnsi="FangSong" w:cs="FangSong"/>
          <w:sz w:val="45"/>
          <w:szCs w:val="45"/>
        </w:rPr>
        <w:t>社会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0"/>
          <w:sz w:val="45"/>
          <w:szCs w:val="45"/>
        </w:rPr>
        <w:t>影响。</w:t>
      </w:r>
    </w:p>
    <w:p>
      <w:pPr>
        <w:sectPr>
          <w:pgSz w:w="18360" w:h="23760"/>
          <w:pgMar w:top="2019" w:right="1802" w:bottom="0" w:left="1828" w:header="0" w:footer="0" w:gutter="0"/>
          <w:pgNumType w:start="6"/>
          <w:cols w:space="708"/>
        </w:sectPr>
      </w:pPr>
    </w:p>
    <w:p>
      <w:pPr>
        <w:spacing w:before="376" w:line="209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4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4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三)项目用地规模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46" w:line="209" w:lineRule="auto"/>
        <w:ind w:left="91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4"/>
          <w:sz w:val="45"/>
          <w:szCs w:val="45"/>
        </w:rPr>
        <w:t>项目总用地面积</w:t>
      </w:r>
      <w:r>
        <w:rPr>
          <w:rFonts w:ascii="FangSong" w:eastAsia="FangSong" w:hAnsi="FangSong" w:cs="FangSong"/>
          <w:spacing w:val="-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4"/>
          <w:sz w:val="45"/>
          <w:szCs w:val="45"/>
        </w:rPr>
        <w:t>55</w:t>
      </w:r>
      <w:r>
        <w:rPr>
          <w:rFonts w:ascii="FangSong" w:eastAsia="FangSong" w:hAnsi="FangSong" w:cs="FangSong"/>
          <w:spacing w:val="-3"/>
          <w:sz w:val="45"/>
          <w:szCs w:val="45"/>
        </w:rPr>
        <w:t>9</w:t>
      </w:r>
      <w:r>
        <w:rPr>
          <w:rFonts w:ascii="FangSong" w:eastAsia="FangSong" w:hAnsi="FangSong" w:cs="FangSong"/>
          <w:spacing w:val="-2"/>
          <w:sz w:val="45"/>
          <w:szCs w:val="45"/>
        </w:rPr>
        <w:t>67.97</w:t>
      </w:r>
      <w:r>
        <w:rPr>
          <w:rFonts w:ascii="FangSong" w:eastAsia="FangSong" w:hAnsi="FangSong" w:cs="FangSong"/>
          <w:spacing w:val="-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平方米(折合约</w:t>
      </w:r>
      <w:r>
        <w:rPr>
          <w:rFonts w:ascii="FangSong" w:eastAsia="FangSong" w:hAnsi="FangSong" w:cs="FangSong"/>
          <w:spacing w:val="-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83.91</w:t>
      </w:r>
      <w:r>
        <w:rPr>
          <w:rFonts w:ascii="FangSong" w:eastAsia="FangSong" w:hAnsi="FangSong" w:cs="FangSong"/>
          <w:spacing w:val="-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亩)。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46" w:line="208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42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35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四)项目用地控制指标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46" w:line="399" w:lineRule="auto"/>
        <w:ind w:right="44" w:firstLine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8"/>
          <w:sz w:val="45"/>
          <w:szCs w:val="45"/>
        </w:rPr>
        <w:t>该工程规划建筑系数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63.78%，建筑容积率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1.01，建设区域绿化覆盖率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6.72%，固定资产投资强度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199.81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万元/亩</w:t>
      </w:r>
      <w:r>
        <w:rPr>
          <w:rFonts w:ascii="FangSong" w:eastAsia="FangSong" w:hAnsi="FangSong" w:cs="FangSong"/>
          <w:spacing w:val="-7"/>
          <w:sz w:val="45"/>
          <w:szCs w:val="45"/>
        </w:rPr>
        <w:t>。</w:t>
      </w:r>
    </w:p>
    <w:p>
      <w:pPr>
        <w:spacing w:before="1" w:line="208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4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4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五)土建工程指标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47" w:line="400" w:lineRule="auto"/>
        <w:ind w:left="10" w:right="223" w:firstLine="90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2"/>
          <w:sz w:val="45"/>
          <w:szCs w:val="45"/>
        </w:rPr>
        <w:t>项目</w:t>
      </w:r>
      <w:r>
        <w:rPr>
          <w:rFonts w:ascii="FangSong" w:eastAsia="FangSong" w:hAnsi="FangSong" w:cs="FangSong"/>
          <w:spacing w:val="-14"/>
          <w:sz w:val="45"/>
          <w:szCs w:val="45"/>
        </w:rPr>
        <w:t>净</w:t>
      </w:r>
      <w:r>
        <w:rPr>
          <w:rFonts w:ascii="FangSong" w:eastAsia="FangSong" w:hAnsi="FangSong" w:cs="FangSong"/>
          <w:spacing w:val="-11"/>
          <w:sz w:val="45"/>
          <w:szCs w:val="45"/>
        </w:rPr>
        <w:t>用地面积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55967.97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平方米，建筑物基底占地面积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35696.37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平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方米，</w:t>
      </w:r>
      <w:r>
        <w:rPr>
          <w:rFonts w:ascii="FangSong" w:eastAsia="FangSong" w:hAnsi="FangSong" w:cs="FangSong"/>
          <w:spacing w:val="-8"/>
          <w:sz w:val="45"/>
          <w:szCs w:val="45"/>
        </w:rPr>
        <w:t>总建筑面积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56527.65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平方米，其中：规划建设主体工程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44106.33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2"/>
          <w:sz w:val="45"/>
          <w:szCs w:val="45"/>
        </w:rPr>
        <w:t>平</w:t>
      </w:r>
      <w:r>
        <w:rPr>
          <w:rFonts w:ascii="FangSong" w:eastAsia="FangSong" w:hAnsi="FangSong" w:cs="FangSong"/>
          <w:spacing w:val="-16"/>
          <w:sz w:val="45"/>
          <w:szCs w:val="45"/>
        </w:rPr>
        <w:t>方</w:t>
      </w:r>
      <w:r>
        <w:rPr>
          <w:rFonts w:ascii="FangSong" w:eastAsia="FangSong" w:hAnsi="FangSong" w:cs="FangSong"/>
          <w:spacing w:val="-11"/>
          <w:sz w:val="45"/>
          <w:szCs w:val="45"/>
        </w:rPr>
        <w:t>米，项目规划绿化面积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3799.26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平方米。</w:t>
      </w:r>
    </w:p>
    <w:p>
      <w:pPr>
        <w:spacing w:before="1" w:line="209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4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(六)设备选型方</w:t>
      </w:r>
      <w:r>
        <w:rPr>
          <w:rFonts w:ascii="FangSong" w:eastAsia="FangSong" w:hAnsi="FangSong" w:cs="FangSong"/>
          <w:spacing w:val="41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案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47" w:line="209" w:lineRule="auto"/>
        <w:ind w:left="91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项目计划购置设备共计</w:t>
      </w:r>
      <w:r>
        <w:rPr>
          <w:rFonts w:ascii="FangSong" w:eastAsia="FangSong" w:hAnsi="FangSong" w:cs="FangSong"/>
          <w:spacing w:val="-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180</w:t>
      </w:r>
      <w:r>
        <w:rPr>
          <w:rFonts w:ascii="FangSong" w:eastAsia="FangSong" w:hAnsi="FangSong" w:cs="FangSong"/>
          <w:spacing w:val="-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台(套)，设备</w:t>
      </w:r>
      <w:r>
        <w:rPr>
          <w:rFonts w:ascii="FangSong" w:eastAsia="FangSong" w:hAnsi="FangSong" w:cs="FangSong"/>
          <w:spacing w:val="-1"/>
          <w:sz w:val="45"/>
          <w:szCs w:val="45"/>
        </w:rPr>
        <w:t>购置费</w:t>
      </w:r>
      <w:r>
        <w:rPr>
          <w:rFonts w:ascii="FangSong" w:eastAsia="FangSong" w:hAnsi="FangSong" w:cs="FangSong"/>
          <w:spacing w:val="-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5136.82</w:t>
      </w:r>
      <w:r>
        <w:rPr>
          <w:rFonts w:ascii="FangSong" w:eastAsia="FangSong" w:hAnsi="FangSong" w:cs="FangSong"/>
          <w:spacing w:val="-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万元。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47" w:line="208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60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55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七)节能分析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147" w:line="208" w:lineRule="auto"/>
        <w:ind w:left="930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8"/>
          <w:sz w:val="45"/>
          <w:szCs w:val="45"/>
        </w:rPr>
        <w:t>1</w:t>
      </w:r>
      <w:r>
        <w:rPr>
          <w:rFonts w:ascii="FangSong" w:eastAsia="FangSong" w:hAnsi="FangSong" w:cs="FangSong"/>
          <w:spacing w:val="-18"/>
          <w:sz w:val="45"/>
          <w:szCs w:val="45"/>
        </w:rPr>
        <w:t>、</w:t>
      </w:r>
      <w:r>
        <w:rPr>
          <w:rFonts w:ascii="FangSong" w:eastAsia="FangSong" w:hAnsi="FangSong" w:cs="FangSong"/>
          <w:spacing w:val="-14"/>
          <w:sz w:val="45"/>
          <w:szCs w:val="45"/>
        </w:rPr>
        <w:t>项目年用电量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668665.79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千瓦时，折合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82.18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吨标准煤。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47" w:line="208" w:lineRule="auto"/>
        <w:ind w:left="90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4"/>
          <w:sz w:val="45"/>
          <w:szCs w:val="45"/>
        </w:rPr>
        <w:t>2、项目年总用水量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16620.90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立方米，折合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1.42</w:t>
      </w:r>
      <w:r>
        <w:rPr>
          <w:rFonts w:ascii="FangSong" w:eastAsia="FangSong" w:hAnsi="FangSong" w:cs="FangSong"/>
          <w:spacing w:val="-1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吨标准煤。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47" w:line="209" w:lineRule="auto"/>
        <w:ind w:left="906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2"/>
          <w:sz w:val="45"/>
          <w:szCs w:val="45"/>
        </w:rPr>
        <w:t>3、“医</w:t>
      </w:r>
      <w:r>
        <w:rPr>
          <w:rFonts w:ascii="FangSong" w:eastAsia="FangSong" w:hAnsi="FangSong" w:cs="FangSong"/>
          <w:spacing w:val="-6"/>
          <w:sz w:val="45"/>
          <w:szCs w:val="45"/>
        </w:rPr>
        <w:t>疗器械项目投资建设项目”，年用电量</w:t>
      </w:r>
      <w:r>
        <w:rPr>
          <w:rFonts w:ascii="FangSong" w:eastAsia="FangSong" w:hAnsi="FangSong" w:cs="FangSong"/>
          <w:spacing w:val="-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6"/>
          <w:sz w:val="45"/>
          <w:szCs w:val="45"/>
        </w:rPr>
        <w:t>668665.79</w:t>
      </w:r>
      <w:r>
        <w:rPr>
          <w:rFonts w:ascii="FangSong" w:eastAsia="FangSong" w:hAnsi="FangSong" w:cs="FangSong"/>
          <w:spacing w:val="-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6"/>
          <w:sz w:val="45"/>
          <w:szCs w:val="45"/>
        </w:rPr>
        <w:t>千瓦时，年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47" w:line="399" w:lineRule="auto"/>
        <w:ind w:left="10" w:right="111" w:firstLine="19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6"/>
          <w:sz w:val="45"/>
          <w:szCs w:val="45"/>
        </w:rPr>
        <w:t>总用水量</w:t>
      </w:r>
      <w:r>
        <w:rPr>
          <w:rFonts w:ascii="FangSong" w:eastAsia="FangSong" w:hAnsi="FangSong" w:cs="FangSong"/>
          <w:spacing w:val="-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6"/>
          <w:sz w:val="45"/>
          <w:szCs w:val="45"/>
        </w:rPr>
        <w:t>16620</w:t>
      </w:r>
      <w:r>
        <w:rPr>
          <w:rFonts w:ascii="FangSong" w:eastAsia="FangSong" w:hAnsi="FangSong" w:cs="FangSong"/>
          <w:spacing w:val="-3"/>
          <w:sz w:val="45"/>
          <w:szCs w:val="45"/>
        </w:rPr>
        <w:t>.90</w:t>
      </w:r>
      <w:r>
        <w:rPr>
          <w:rFonts w:ascii="FangSong" w:eastAsia="FangSong" w:hAnsi="FangSong" w:cs="FangSong"/>
          <w:spacing w:val="-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"/>
          <w:sz w:val="45"/>
          <w:szCs w:val="45"/>
        </w:rPr>
        <w:t>立方米，项目年综合总耗能量(当量值)</w:t>
      </w:r>
      <w:r>
        <w:rPr>
          <w:rFonts w:ascii="FangSong" w:eastAsia="FangSong" w:hAnsi="FangSong" w:cs="FangSong"/>
          <w:spacing w:val="-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"/>
          <w:sz w:val="45"/>
          <w:szCs w:val="45"/>
        </w:rPr>
        <w:t>83.60</w:t>
      </w:r>
      <w:r>
        <w:rPr>
          <w:rFonts w:ascii="FangSong" w:eastAsia="FangSong" w:hAnsi="FangSong" w:cs="FangSong"/>
          <w:spacing w:val="-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"/>
          <w:sz w:val="45"/>
          <w:szCs w:val="45"/>
        </w:rPr>
        <w:t>吨标准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煤/年。达产年综合节能量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26.40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吨标准煤/年，项目总节能率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28.25%，</w:t>
      </w:r>
      <w:r>
        <w:rPr>
          <w:rFonts w:ascii="FangSong" w:eastAsia="FangSong" w:hAnsi="FangSong" w:cs="FangSong"/>
          <w:spacing w:val="-2"/>
          <w:sz w:val="45"/>
          <w:szCs w:val="45"/>
        </w:rPr>
        <w:t>能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源</w:t>
      </w:r>
      <w:r>
        <w:rPr>
          <w:rFonts w:ascii="FangSong" w:eastAsia="FangSong" w:hAnsi="FangSong" w:cs="FangSong"/>
          <w:spacing w:val="-9"/>
          <w:sz w:val="45"/>
          <w:szCs w:val="45"/>
        </w:rPr>
        <w:t>利用效果良好。</w:t>
      </w:r>
    </w:p>
    <w:p>
      <w:pPr>
        <w:spacing w:line="207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55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5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八)环境保护</w:t>
      </w:r>
    </w:p>
    <w:p>
      <w:pPr>
        <w:sectPr>
          <w:pgSz w:w="18360" w:h="23760"/>
          <w:pgMar w:top="2019" w:right="1930" w:bottom="0" w:left="1819" w:header="0" w:footer="0" w:gutter="0"/>
          <w:pgNumType w:start="7"/>
          <w:cols w:space="708"/>
        </w:sectPr>
      </w:pPr>
    </w:p>
    <w:p>
      <w:pPr>
        <w:spacing w:before="367" w:line="400" w:lineRule="auto"/>
        <w:ind w:left="9" w:right="747" w:firstLine="90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6"/>
          <w:sz w:val="45"/>
          <w:szCs w:val="45"/>
        </w:rPr>
        <w:t>项</w:t>
      </w:r>
      <w:r>
        <w:rPr>
          <w:rFonts w:ascii="FangSong" w:eastAsia="FangSong" w:hAnsi="FangSong" w:cs="FangSong"/>
          <w:spacing w:val="-22"/>
          <w:sz w:val="45"/>
          <w:szCs w:val="45"/>
        </w:rPr>
        <w:t>目</w:t>
      </w:r>
      <w:r>
        <w:rPr>
          <w:rFonts w:ascii="FangSong" w:eastAsia="FangSong" w:hAnsi="FangSong" w:cs="FangSong"/>
          <w:spacing w:val="-13"/>
          <w:sz w:val="45"/>
          <w:szCs w:val="45"/>
        </w:rPr>
        <w:t>符合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xx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经济开发区发展规划，符合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xx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经济开发区产业结构调整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规划和国家的产业发展政策；对产生的各类污染物都采取了切实可</w:t>
      </w:r>
      <w:r>
        <w:rPr>
          <w:rFonts w:ascii="FangSong" w:eastAsia="FangSong" w:hAnsi="FangSong" w:cs="FangSong"/>
          <w:sz w:val="45"/>
          <w:szCs w:val="45"/>
        </w:rPr>
        <w:t>行的治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理措施，严格控制在国家规定的排放标准内，项目建设不会对区域</w:t>
      </w:r>
      <w:r>
        <w:rPr>
          <w:rFonts w:ascii="FangSong" w:eastAsia="FangSong" w:hAnsi="FangSong" w:cs="FangSong"/>
          <w:sz w:val="45"/>
          <w:szCs w:val="45"/>
        </w:rPr>
        <w:t>生态环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境</w:t>
      </w:r>
      <w:r>
        <w:rPr>
          <w:rFonts w:ascii="FangSong" w:eastAsia="FangSong" w:hAnsi="FangSong" w:cs="FangSong"/>
          <w:spacing w:val="-8"/>
          <w:sz w:val="45"/>
          <w:szCs w:val="45"/>
        </w:rPr>
        <w:t>产生明显的影响。</w:t>
      </w:r>
    </w:p>
    <w:p>
      <w:pPr>
        <w:spacing w:line="210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3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2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九)项目总投资及资金构成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46" w:line="399" w:lineRule="auto"/>
        <w:ind w:left="87" w:firstLine="825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5"/>
          <w:sz w:val="45"/>
          <w:szCs w:val="45"/>
        </w:rPr>
        <w:t>项目预计总投资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19120.72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万元，其中：固定资产投资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16766.06</w:t>
      </w:r>
      <w:r>
        <w:rPr>
          <w:rFonts w:ascii="FangSong" w:eastAsia="FangSong" w:hAnsi="FangSong" w:cs="FangSong"/>
          <w:spacing w:val="-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5"/>
          <w:sz w:val="45"/>
          <w:szCs w:val="45"/>
        </w:rPr>
        <w:t>万元</w:t>
      </w:r>
      <w:r>
        <w:rPr>
          <w:rFonts w:ascii="FangSong" w:eastAsia="FangSong" w:hAnsi="FangSong" w:cs="FangSong"/>
          <w:spacing w:val="-4"/>
          <w:sz w:val="45"/>
          <w:szCs w:val="45"/>
        </w:rPr>
        <w:t>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0"/>
          <w:sz w:val="45"/>
          <w:szCs w:val="45"/>
        </w:rPr>
        <w:t>占</w:t>
      </w:r>
      <w:r>
        <w:rPr>
          <w:rFonts w:ascii="FangSong" w:eastAsia="FangSong" w:hAnsi="FangSong" w:cs="FangSong"/>
          <w:spacing w:val="-19"/>
          <w:sz w:val="45"/>
          <w:szCs w:val="45"/>
        </w:rPr>
        <w:t>项</w:t>
      </w:r>
      <w:r>
        <w:rPr>
          <w:rFonts w:ascii="FangSong" w:eastAsia="FangSong" w:hAnsi="FangSong" w:cs="FangSong"/>
          <w:spacing w:val="-10"/>
          <w:sz w:val="45"/>
          <w:szCs w:val="45"/>
        </w:rPr>
        <w:t>目总投资的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87.69%；流动资金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2354.66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万元，占项目总投资的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12.31%。</w:t>
      </w:r>
    </w:p>
    <w:p>
      <w:pPr>
        <w:spacing w:line="209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56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(十)资金筹措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46" w:line="209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0"/>
          <w:sz w:val="45"/>
          <w:szCs w:val="45"/>
        </w:rPr>
        <w:t>该</w:t>
      </w:r>
      <w:r>
        <w:rPr>
          <w:rFonts w:ascii="FangSong" w:eastAsia="FangSong" w:hAnsi="FangSong" w:cs="FangSong"/>
          <w:spacing w:val="-9"/>
          <w:sz w:val="45"/>
          <w:szCs w:val="45"/>
        </w:rPr>
        <w:t>项</w:t>
      </w:r>
      <w:r>
        <w:rPr>
          <w:rFonts w:ascii="FangSong" w:eastAsia="FangSong" w:hAnsi="FangSong" w:cs="FangSong"/>
          <w:spacing w:val="-5"/>
          <w:sz w:val="45"/>
          <w:szCs w:val="45"/>
        </w:rPr>
        <w:t>目现阶段投资均由企业自筹。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47" w:line="208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32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24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十一)项目预期经济效益规划目标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47" w:line="399" w:lineRule="auto"/>
        <w:ind w:right="616" w:firstLine="914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2"/>
          <w:sz w:val="45"/>
          <w:szCs w:val="45"/>
        </w:rPr>
        <w:t>预期</w:t>
      </w:r>
      <w:r>
        <w:rPr>
          <w:rFonts w:ascii="FangSong" w:eastAsia="FangSong" w:hAnsi="FangSong" w:cs="FangSong"/>
          <w:spacing w:val="-16"/>
          <w:sz w:val="45"/>
          <w:szCs w:val="45"/>
        </w:rPr>
        <w:t>达</w:t>
      </w:r>
      <w:r>
        <w:rPr>
          <w:rFonts w:ascii="FangSong" w:eastAsia="FangSong" w:hAnsi="FangSong" w:cs="FangSong"/>
          <w:spacing w:val="-11"/>
          <w:sz w:val="45"/>
          <w:szCs w:val="45"/>
        </w:rPr>
        <w:t>产年营业收入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23197.00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万元，总成本费用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18434.99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万元，税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2"/>
          <w:sz w:val="45"/>
          <w:szCs w:val="45"/>
        </w:rPr>
        <w:t>金</w:t>
      </w:r>
      <w:r>
        <w:rPr>
          <w:rFonts w:ascii="FangSong" w:eastAsia="FangSong" w:hAnsi="FangSong" w:cs="FangSong"/>
          <w:spacing w:val="-31"/>
          <w:sz w:val="45"/>
          <w:szCs w:val="45"/>
        </w:rPr>
        <w:t>及</w:t>
      </w:r>
      <w:r>
        <w:rPr>
          <w:rFonts w:ascii="FangSong" w:eastAsia="FangSong" w:hAnsi="FangSong" w:cs="FangSong"/>
          <w:spacing w:val="-16"/>
          <w:sz w:val="45"/>
          <w:szCs w:val="45"/>
        </w:rPr>
        <w:t>附加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302.69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万元，利润总额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4762.01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万元，利税总额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5721.53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万元，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7"/>
          <w:sz w:val="45"/>
          <w:szCs w:val="45"/>
        </w:rPr>
        <w:t>税</w:t>
      </w:r>
      <w:r>
        <w:rPr>
          <w:rFonts w:ascii="FangSong" w:eastAsia="FangSong" w:hAnsi="FangSong" w:cs="FangSong"/>
          <w:spacing w:val="-11"/>
          <w:sz w:val="45"/>
          <w:szCs w:val="45"/>
        </w:rPr>
        <w:t>后净利润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3571.51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万元，达产年纳税总额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2150.02</w:t>
      </w:r>
      <w:r>
        <w:rPr>
          <w:rFonts w:ascii="FangSong" w:eastAsia="FangSong" w:hAnsi="FangSong" w:cs="FangSong"/>
          <w:spacing w:val="-11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万元；达产年投资利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8"/>
          <w:sz w:val="45"/>
          <w:szCs w:val="45"/>
        </w:rPr>
        <w:t>润率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24.90%，投资利税率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29.92%，投资回报率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18.68%，全部投资回收期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9"/>
          <w:sz w:val="45"/>
          <w:szCs w:val="45"/>
        </w:rPr>
        <w:t>6</w:t>
      </w:r>
      <w:r>
        <w:rPr>
          <w:rFonts w:ascii="FangSong" w:eastAsia="FangSong" w:hAnsi="FangSong" w:cs="FangSong"/>
          <w:spacing w:val="-18"/>
          <w:sz w:val="45"/>
          <w:szCs w:val="45"/>
        </w:rPr>
        <w:t>.85</w:t>
      </w:r>
      <w:r>
        <w:rPr>
          <w:rFonts w:ascii="FangSong" w:eastAsia="FangSong" w:hAnsi="FangSong" w:cs="FangSong"/>
          <w:spacing w:val="-1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8"/>
          <w:sz w:val="45"/>
          <w:szCs w:val="45"/>
        </w:rPr>
        <w:t>年，提供就业职位</w:t>
      </w:r>
      <w:r>
        <w:rPr>
          <w:rFonts w:ascii="FangSong" w:eastAsia="FangSong" w:hAnsi="FangSong" w:cs="FangSong"/>
          <w:spacing w:val="-1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8"/>
          <w:sz w:val="45"/>
          <w:szCs w:val="45"/>
        </w:rPr>
        <w:t>465</w:t>
      </w:r>
      <w:r>
        <w:rPr>
          <w:rFonts w:ascii="FangSong" w:eastAsia="FangSong" w:hAnsi="FangSong" w:cs="FangSong"/>
          <w:spacing w:val="-1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8"/>
          <w:sz w:val="45"/>
          <w:szCs w:val="45"/>
        </w:rPr>
        <w:t>个。</w:t>
      </w:r>
    </w:p>
    <w:p>
      <w:pPr>
        <w:spacing w:before="1" w:line="209" w:lineRule="auto"/>
        <w:ind w:left="91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49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45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十二)进度规划</w:t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46" w:line="209" w:lineRule="auto"/>
        <w:ind w:left="91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5"/>
          <w:sz w:val="45"/>
          <w:szCs w:val="45"/>
        </w:rPr>
        <w:t>本期工程项目建设期限规划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12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个月</w:t>
      </w:r>
      <w:r>
        <w:rPr>
          <w:rFonts w:ascii="FangSong" w:eastAsia="FangSong" w:hAnsi="FangSong" w:cs="FangSong"/>
          <w:spacing w:val="-14"/>
          <w:sz w:val="45"/>
          <w:szCs w:val="45"/>
        </w:rPr>
        <w:t>。</w:t>
      </w:r>
    </w:p>
    <w:p>
      <w:pPr>
        <w:spacing w:line="307" w:lineRule="auto"/>
        <w:rPr>
          <w:rFonts w:ascii="Arial"/>
          <w:sz w:val="21"/>
        </w:rPr>
        <w:sectPr>
          <w:footerReference w:type="default" r:id="rId4"/>
          <w:pgSz w:w="18360" w:h="23760"/>
          <w:pgMar w:top="2019" w:right="1406" w:bottom="2756" w:left="1819" w:header="0" w:footer="2350" w:gutter="0"/>
          <w:pgNumType w:start="8"/>
          <w:cols w:space="708"/>
        </w:sectPr>
      </w:pPr>
    </w:p>
    <w:p>
      <w:pPr>
        <w:spacing w:before="147" w:line="406" w:lineRule="auto"/>
        <w:ind w:left="36" w:right="752" w:firstLine="876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科学</w:t>
      </w:r>
      <w:r>
        <w:rPr>
          <w:rFonts w:ascii="FangSong" w:eastAsia="FangSong" w:hAnsi="FangSong" w:cs="FangSong"/>
          <w:spacing w:val="-1"/>
          <w:sz w:val="45"/>
          <w:szCs w:val="45"/>
        </w:rPr>
        <w:t>组织施工平行流水作业，交叉施工，使施工机械等资源发挥最大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6"/>
          <w:sz w:val="45"/>
          <w:szCs w:val="45"/>
        </w:rPr>
        <w:t>的</w:t>
      </w:r>
      <w:r>
        <w:rPr>
          <w:rFonts w:ascii="FangSong" w:eastAsia="FangSong" w:hAnsi="FangSong" w:cs="FangSong"/>
          <w:spacing w:val="-5"/>
          <w:sz w:val="45"/>
          <w:szCs w:val="45"/>
        </w:rPr>
        <w:t>使用效率，做到现场施工有条不紊，忙而不乱。</w:t>
      </w:r>
    </w:p>
    <w:p>
      <w:pPr>
        <w:sectPr>
          <w:footerReference w:type="default" r:id="rId5"/>
          <w:type w:val="nextPage"/>
          <w:pgSz w:w="18360" w:h="23760"/>
          <w:pgMar w:top="2019" w:right="1406" w:bottom="2756" w:left="1819" w:header="0" w:footer="2350" w:gutter="0"/>
          <w:pgNumType w:start="9"/>
          <w:cols w:space="708"/>
          <w:titlePg w:val="0"/>
        </w:sectPr>
      </w:pPr>
    </w:p>
    <w:p>
      <w:pPr>
        <w:spacing w:before="376" w:line="399" w:lineRule="auto"/>
        <w:ind w:left="10" w:right="371" w:firstLine="920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3"/>
          <w:sz w:val="45"/>
          <w:szCs w:val="45"/>
        </w:rPr>
        <w:t>1</w:t>
      </w:r>
      <w:r>
        <w:rPr>
          <w:rFonts w:ascii="FangSong" w:eastAsia="FangSong" w:hAnsi="FangSong" w:cs="FangSong"/>
          <w:spacing w:val="-8"/>
          <w:sz w:val="45"/>
          <w:szCs w:val="45"/>
        </w:rPr>
        <w:t>、本期工程项目符合国家产业发展政策和规划要求，符合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xx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经济开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发</w:t>
      </w:r>
      <w:r>
        <w:rPr>
          <w:rFonts w:ascii="FangSong" w:eastAsia="FangSong" w:hAnsi="FangSong" w:cs="FangSong"/>
          <w:spacing w:val="-8"/>
          <w:sz w:val="45"/>
          <w:szCs w:val="45"/>
        </w:rPr>
        <w:t>区</w:t>
      </w:r>
      <w:r>
        <w:rPr>
          <w:rFonts w:ascii="FangSong" w:eastAsia="FangSong" w:hAnsi="FangSong" w:cs="FangSong"/>
          <w:spacing w:val="-7"/>
          <w:sz w:val="45"/>
          <w:szCs w:val="45"/>
        </w:rPr>
        <w:t>及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xx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经济开发区医疗器械行业布局和结构调整政策；项目的建设对促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4"/>
          <w:sz w:val="45"/>
          <w:szCs w:val="45"/>
        </w:rPr>
        <w:t>进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xx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经济开发区医疗器械产业结构、技术结构、组织结构、产品结构的调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整</w:t>
      </w:r>
      <w:r>
        <w:rPr>
          <w:rFonts w:ascii="FangSong" w:eastAsia="FangSong" w:hAnsi="FangSong" w:cs="FangSong"/>
          <w:spacing w:val="-6"/>
          <w:sz w:val="45"/>
          <w:szCs w:val="45"/>
        </w:rPr>
        <w:t>优化有着积极的推动意义。</w:t>
      </w:r>
    </w:p>
    <w:p>
      <w:pPr>
        <w:spacing w:before="8" w:line="398" w:lineRule="auto"/>
        <w:ind w:left="9" w:firstLine="89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3"/>
          <w:sz w:val="45"/>
          <w:szCs w:val="45"/>
        </w:rPr>
        <w:t>2、xx</w:t>
      </w:r>
      <w:r>
        <w:rPr>
          <w:rFonts w:ascii="FangSong" w:eastAsia="FangSong" w:hAnsi="FangSong" w:cs="FangSong"/>
          <w:sz w:val="45"/>
          <w:szCs w:val="45"/>
        </w:rPr>
        <w:t>x</w:t>
      </w:r>
      <w:r>
        <w:rPr>
          <w:rFonts w:ascii="FangSong" w:eastAsia="FangSong" w:hAnsi="FangSong" w:cs="FangSong"/>
          <w:spacing w:val="-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"/>
          <w:sz w:val="45"/>
          <w:szCs w:val="45"/>
        </w:rPr>
        <w:t>有限责任公司为适应国内外市场需求，拟建“医疗器械项目”，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2"/>
          <w:sz w:val="45"/>
          <w:szCs w:val="45"/>
        </w:rPr>
        <w:t>本</w:t>
      </w:r>
      <w:r>
        <w:rPr>
          <w:rFonts w:ascii="FangSong" w:eastAsia="FangSong" w:hAnsi="FangSong" w:cs="FangSong"/>
          <w:spacing w:val="-7"/>
          <w:sz w:val="45"/>
          <w:szCs w:val="45"/>
        </w:rPr>
        <w:t>期工程项目的建设能够有力促进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xx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经济开发区经济发展，为社会提供就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7"/>
          <w:sz w:val="45"/>
          <w:szCs w:val="45"/>
        </w:rPr>
        <w:t>业</w:t>
      </w:r>
      <w:r>
        <w:rPr>
          <w:rFonts w:ascii="FangSong" w:eastAsia="FangSong" w:hAnsi="FangSong" w:cs="FangSong"/>
          <w:spacing w:val="-16"/>
          <w:sz w:val="45"/>
          <w:szCs w:val="45"/>
        </w:rPr>
        <w:t>职位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465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个，达产年纳税总额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2150.02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万元，可以促进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xx</w:t>
      </w:r>
      <w:r>
        <w:rPr>
          <w:rFonts w:ascii="FangSong" w:eastAsia="FangSong" w:hAnsi="FangSong" w:cs="FangSong"/>
          <w:spacing w:val="-16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经济开发区区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3"/>
          <w:sz w:val="45"/>
          <w:szCs w:val="45"/>
        </w:rPr>
        <w:t>域经济的繁荣发展和社会稳定，为地方财政收入做出积极的贡献</w:t>
      </w:r>
      <w:r>
        <w:rPr>
          <w:rFonts w:ascii="FangSong" w:eastAsia="FangSong" w:hAnsi="FangSong" w:cs="FangSong"/>
          <w:spacing w:val="-2"/>
          <w:sz w:val="45"/>
          <w:szCs w:val="45"/>
        </w:rPr>
        <w:t>。</w:t>
      </w:r>
    </w:p>
    <w:p>
      <w:pPr>
        <w:spacing w:before="6" w:line="398" w:lineRule="auto"/>
        <w:ind w:left="10" w:right="480" w:firstLine="895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3"/>
          <w:sz w:val="45"/>
          <w:szCs w:val="45"/>
        </w:rPr>
        <w:t>3</w:t>
      </w:r>
      <w:r>
        <w:rPr>
          <w:rFonts w:ascii="FangSong" w:eastAsia="FangSong" w:hAnsi="FangSong" w:cs="FangSong"/>
          <w:spacing w:val="-8"/>
          <w:sz w:val="45"/>
          <w:szCs w:val="45"/>
        </w:rPr>
        <w:t>、项目达产年投资利润率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24.90%，投资利税率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29.92%，全部投资回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报率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18.68%，全部投资回收期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6.85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年，固定资产投资回收期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6.85</w:t>
      </w:r>
      <w:r>
        <w:rPr>
          <w:rFonts w:ascii="FangSong" w:eastAsia="FangSong" w:hAnsi="FangSong" w:cs="FangSong"/>
          <w:spacing w:val="-8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年(含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6"/>
          <w:sz w:val="45"/>
          <w:szCs w:val="45"/>
        </w:rPr>
        <w:t>建设期)，项目具有较强的盈利能力和抗风险能力</w:t>
      </w:r>
      <w:r>
        <w:rPr>
          <w:rFonts w:ascii="FangSong" w:eastAsia="FangSong" w:hAnsi="FangSong" w:cs="FangSong"/>
          <w:spacing w:val="3"/>
          <w:sz w:val="45"/>
          <w:szCs w:val="45"/>
        </w:rPr>
        <w:t>。</w:t>
      </w:r>
    </w:p>
    <w:p>
      <w:pPr>
        <w:spacing w:before="1" w:line="399" w:lineRule="auto"/>
        <w:ind w:right="219" w:firstLine="909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6"/>
          <w:sz w:val="45"/>
          <w:szCs w:val="45"/>
        </w:rPr>
        <w:t>从促</w:t>
      </w:r>
      <w:r>
        <w:rPr>
          <w:rFonts w:ascii="FangSong" w:eastAsia="FangSong" w:hAnsi="FangSong" w:cs="FangSong"/>
          <w:spacing w:val="-5"/>
          <w:sz w:val="45"/>
          <w:szCs w:val="45"/>
        </w:rPr>
        <w:t>进</w:t>
      </w:r>
      <w:r>
        <w:rPr>
          <w:rFonts w:ascii="FangSong" w:eastAsia="FangSong" w:hAnsi="FangSong" w:cs="FangSong"/>
          <w:spacing w:val="-3"/>
          <w:sz w:val="45"/>
          <w:szCs w:val="45"/>
        </w:rPr>
        <w:t>产业发展看，民营企业机制灵活、贴近市场，在优化产业结构、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推进技术创新、促进转型升级等方面力度很大</w:t>
      </w:r>
      <w:r>
        <w:rPr>
          <w:rFonts w:ascii="FangSong" w:eastAsia="FangSong" w:hAnsi="FangSong" w:cs="FangSong"/>
          <w:sz w:val="45"/>
          <w:szCs w:val="45"/>
        </w:rPr>
        <w:t>，成效很好。据统计，我国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2"/>
          <w:sz w:val="45"/>
          <w:szCs w:val="45"/>
        </w:rPr>
        <w:t>65%的专利、</w:t>
      </w:r>
      <w:r>
        <w:rPr>
          <w:rFonts w:ascii="FangSong" w:eastAsia="FangSong" w:hAnsi="FangSong" w:cs="FangSong"/>
          <w:spacing w:val="-1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2"/>
          <w:sz w:val="45"/>
          <w:szCs w:val="45"/>
        </w:rPr>
        <w:t>75%以上的技术创新、</w:t>
      </w:r>
      <w:r>
        <w:rPr>
          <w:rFonts w:ascii="FangSong" w:eastAsia="FangSong" w:hAnsi="FangSong" w:cs="FangSong"/>
          <w:spacing w:val="-1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2"/>
          <w:sz w:val="45"/>
          <w:szCs w:val="45"/>
        </w:rPr>
        <w:t>80%以上的新产品开发是由民营企业完</w:t>
      </w:r>
      <w:r>
        <w:rPr>
          <w:rFonts w:ascii="FangSong" w:eastAsia="FangSong" w:hAnsi="FangSong" w:cs="FangSong"/>
          <w:spacing w:val="-10"/>
          <w:sz w:val="45"/>
          <w:szCs w:val="45"/>
        </w:rPr>
        <w:t>成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的。从吸纳就业看，民营经济作为国民经济的</w:t>
      </w:r>
      <w:r>
        <w:rPr>
          <w:rFonts w:ascii="FangSong" w:eastAsia="FangSong" w:hAnsi="FangSong" w:cs="FangSong"/>
          <w:sz w:val="45"/>
          <w:szCs w:val="45"/>
        </w:rPr>
        <w:t>生力军是就业的主要承载主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体。全国工商</w:t>
      </w:r>
      <w:r>
        <w:rPr>
          <w:rFonts w:ascii="FangSong" w:eastAsia="FangSong" w:hAnsi="FangSong" w:cs="FangSong"/>
          <w:spacing w:val="-7"/>
          <w:sz w:val="45"/>
          <w:szCs w:val="45"/>
        </w:rPr>
        <w:t>联</w:t>
      </w:r>
      <w:r>
        <w:rPr>
          <w:rFonts w:ascii="FangSong" w:eastAsia="FangSong" w:hAnsi="FangSong" w:cs="FangSong"/>
          <w:spacing w:val="-4"/>
          <w:sz w:val="45"/>
          <w:szCs w:val="45"/>
        </w:rPr>
        <w:t>统计，城镇就业中，民营经济的占比超过了</w:t>
      </w:r>
      <w:r>
        <w:rPr>
          <w:rFonts w:ascii="FangSong" w:eastAsia="FangSong" w:hAnsi="FangSong" w:cs="FangSong"/>
          <w:spacing w:val="-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4"/>
          <w:sz w:val="45"/>
          <w:szCs w:val="45"/>
        </w:rPr>
        <w:t>80%，而新增就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9"/>
          <w:sz w:val="45"/>
          <w:szCs w:val="45"/>
        </w:rPr>
        <w:t>业</w:t>
      </w:r>
      <w:r>
        <w:rPr>
          <w:rFonts w:ascii="FangSong" w:eastAsia="FangSong" w:hAnsi="FangSong" w:cs="FangSong"/>
          <w:spacing w:val="-10"/>
          <w:sz w:val="45"/>
          <w:szCs w:val="45"/>
        </w:rPr>
        <w:t>贡献率超过了</w:t>
      </w:r>
      <w:r>
        <w:rPr>
          <w:rFonts w:ascii="FangSong" w:eastAsia="FangSong" w:hAnsi="FangSong" w:cs="FangSong"/>
          <w:spacing w:val="-10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90%。</w:t>
      </w:r>
    </w:p>
    <w:p>
      <w:pPr>
        <w:spacing w:before="3" w:line="402" w:lineRule="auto"/>
        <w:ind w:left="17" w:right="597" w:firstLine="906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发挥市场机制，转变政府职能</w:t>
      </w:r>
      <w:r>
        <w:rPr>
          <w:rFonts w:ascii="FangSong" w:eastAsia="FangSong" w:hAnsi="FangSong" w:cs="FangSong"/>
          <w:spacing w:val="-1"/>
          <w:sz w:val="45"/>
          <w:szCs w:val="45"/>
        </w:rPr>
        <w:t>。紧紧围绕使市场在资源配置中起决定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性作用和更</w:t>
      </w:r>
      <w:r>
        <w:rPr>
          <w:rFonts w:ascii="FangSong" w:eastAsia="FangSong" w:hAnsi="FangSong" w:cs="FangSong"/>
          <w:spacing w:val="-1"/>
          <w:sz w:val="45"/>
          <w:szCs w:val="45"/>
        </w:rPr>
        <w:t>好发挥政府作用，着力加强供给侧改革，提高供给体系质量和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"/>
          <w:sz w:val="45"/>
          <w:szCs w:val="45"/>
        </w:rPr>
        <w:t>效率，统筹</w:t>
      </w:r>
      <w:r>
        <w:rPr>
          <w:rFonts w:ascii="FangSong" w:eastAsia="FangSong" w:hAnsi="FangSong" w:cs="FangSong"/>
          <w:spacing w:val="-1"/>
          <w:sz w:val="45"/>
          <w:szCs w:val="45"/>
        </w:rPr>
        <w:t>使用经济、法律和政策手段，加强对产业的引导和规范，促进</w:t>
      </w:r>
    </w:p>
    <w:p>
      <w:pPr>
        <w:sectPr>
          <w:footerReference w:type="default" r:id="rId6"/>
          <w:pgSz w:w="18360" w:h="23760"/>
          <w:pgMar w:top="2019" w:right="1561" w:bottom="400" w:left="1819" w:header="0" w:footer="0" w:gutter="0"/>
          <w:pgNumType w:start="10"/>
          <w:cols w:space="708"/>
        </w:sectPr>
      </w:pPr>
    </w:p>
    <w:p>
      <w:pPr>
        <w:spacing w:before="373" w:line="403" w:lineRule="auto"/>
        <w:ind w:left="216" w:right="480" w:hanging="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产业</w:t>
      </w:r>
      <w:r>
        <w:rPr>
          <w:rFonts w:ascii="FangSong" w:eastAsia="FangSong" w:hAnsi="FangSong" w:cs="FangSong"/>
          <w:spacing w:val="-1"/>
          <w:sz w:val="45"/>
          <w:szCs w:val="45"/>
        </w:rPr>
        <w:t>结构优化升级。实施负面清单管理，进一步消除制约科学发展的体制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8"/>
          <w:sz w:val="45"/>
          <w:szCs w:val="45"/>
        </w:rPr>
        <w:t>性障</w:t>
      </w:r>
      <w:r>
        <w:rPr>
          <w:rFonts w:ascii="FangSong" w:eastAsia="FangSong" w:hAnsi="FangSong" w:cs="FangSong"/>
          <w:spacing w:val="-5"/>
          <w:sz w:val="45"/>
          <w:szCs w:val="45"/>
        </w:rPr>
        <w:t>碍</w:t>
      </w:r>
      <w:r>
        <w:rPr>
          <w:rFonts w:ascii="FangSong" w:eastAsia="FangSong" w:hAnsi="FangSong" w:cs="FangSong"/>
          <w:spacing w:val="-4"/>
          <w:sz w:val="45"/>
          <w:szCs w:val="45"/>
        </w:rPr>
        <w:t>，不断激发和提升市场主体的发展活力。</w:t>
      </w:r>
    </w:p>
    <w:p>
      <w:pPr>
        <w:spacing w:before="109" w:line="197" w:lineRule="auto"/>
        <w:ind w:left="1110"/>
        <w:outlineLvl w:val="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-5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Microsoft YaHei" w:eastAsia="Microsoft YaHei" w:hAnsi="Microsoft YaHei" w:cs="Microsoft YaHei"/>
          <w:spacing w:val="-3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、主要经济指标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4" w:line="208" w:lineRule="auto"/>
        <w:ind w:left="5691"/>
        <w:rPr>
          <w:rFonts w:ascii="FangSong" w:eastAsia="FangSong" w:hAnsi="FangSong" w:cs="FangSong"/>
          <w:sz w:val="29"/>
          <w:szCs w:val="29"/>
        </w:rPr>
      </w:pPr>
      <w:r>
        <w:rPr>
          <w:rFonts w:ascii="FangSong" w:eastAsia="FangSong" w:hAnsi="FangSong" w:cs="FangSong"/>
          <w:spacing w:val="-4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主要经</w:t>
      </w:r>
      <w:r>
        <w:rPr>
          <w:rFonts w:ascii="FangSong" w:eastAsia="FangSong" w:hAnsi="FangSong" w:cs="FangSong"/>
          <w:spacing w:val="-3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济</w:t>
      </w:r>
      <w:r>
        <w:rPr>
          <w:rFonts w:ascii="FangSong" w:eastAsia="FangSong" w:hAnsi="FangSong" w:cs="FangSong"/>
          <w:spacing w:val="-2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指标一览表</w:t>
      </w:r>
    </w:p>
    <w:p/>
    <w:p/>
    <w:p>
      <w:pPr>
        <w:spacing w:line="86" w:lineRule="exact"/>
      </w:pPr>
    </w:p>
    <w:tbl>
      <w:tblPr>
        <w:tblStyle w:val="TableNormal0"/>
        <w:tblW w:w="13713" w:type="dxa"/>
        <w:tblInd w:w="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018"/>
        <w:gridCol w:w="3674"/>
        <w:gridCol w:w="2326"/>
        <w:gridCol w:w="3073"/>
        <w:gridCol w:w="2622"/>
      </w:tblGrid>
      <w:tr>
        <w:tblPrEx>
          <w:tblW w:w="13713" w:type="dxa"/>
          <w:tblInd w:w="19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39"/>
        </w:trPr>
        <w:tc>
          <w:tcPr>
            <w:tcW w:w="2018" w:type="dxa"/>
            <w:vAlign w:val="top"/>
          </w:tcPr>
          <w:p>
            <w:pPr>
              <w:spacing w:line="209" w:lineRule="auto"/>
              <w:ind w:left="7"/>
              <w:rPr>
                <w:rFonts w:ascii="FangSong" w:eastAsia="FangSong" w:hAnsi="FangSong" w:cs="FangSong"/>
                <w:sz w:val="33"/>
                <w:szCs w:val="33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-123217</wp:posOffset>
                  </wp:positionH>
                  <wp:positionV relativeFrom="paragraph">
                    <wp:posOffset>-70251</wp:posOffset>
                  </wp:positionV>
                  <wp:extent cx="9563100" cy="8928100"/>
                  <wp:effectExtent l="0" t="0" r="0" b="0"/>
                  <wp:wrapNone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0" cy="892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angSong" w:eastAsia="FangSong" w:hAnsi="FangSong" w:cs="FangSong"/>
                <w:spacing w:val="-5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序号</w:t>
            </w:r>
          </w:p>
        </w:tc>
        <w:tc>
          <w:tcPr>
            <w:tcW w:w="3674" w:type="dxa"/>
            <w:vAlign w:val="top"/>
          </w:tcPr>
          <w:p>
            <w:pPr>
              <w:spacing w:before="1" w:line="210" w:lineRule="auto"/>
              <w:ind w:left="990"/>
              <w:rPr>
                <w:rFonts w:ascii="FangSong" w:eastAsia="FangSong" w:hAnsi="FangSong" w:cs="FangSong"/>
                <w:sz w:val="33"/>
                <w:szCs w:val="33"/>
              </w:rPr>
            </w:pPr>
            <w:r>
              <w:rPr>
                <w:rFonts w:ascii="FangSong" w:eastAsia="FangSong" w:hAnsi="FangSong" w:cs="FangSong"/>
                <w:spacing w:val="-6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项</w:t>
            </w:r>
            <w:r>
              <w:rPr>
                <w:rFonts w:ascii="FangSong" w:eastAsia="FangSong" w:hAnsi="FangSong" w:cs="FangSong"/>
                <w:spacing w:val="-5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目</w:t>
            </w:r>
          </w:p>
        </w:tc>
        <w:tc>
          <w:tcPr>
            <w:tcW w:w="2326" w:type="dxa"/>
            <w:vAlign w:val="top"/>
          </w:tcPr>
          <w:p>
            <w:pPr>
              <w:spacing w:before="1" w:line="207" w:lineRule="auto"/>
              <w:ind w:left="325"/>
              <w:rPr>
                <w:rFonts w:ascii="FangSong" w:eastAsia="FangSong" w:hAnsi="FangSong" w:cs="FangSong"/>
                <w:sz w:val="33"/>
                <w:szCs w:val="33"/>
              </w:rPr>
            </w:pPr>
            <w:r>
              <w:rPr>
                <w:rFonts w:ascii="FangSong" w:eastAsia="FangSong" w:hAnsi="FangSong" w:cs="FangSong"/>
                <w:spacing w:val="-8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单</w:t>
            </w:r>
            <w:r>
              <w:rPr>
                <w:rFonts w:ascii="FangSong" w:eastAsia="FangSong" w:hAnsi="FangSong" w:cs="FangSong"/>
                <w:spacing w:val="-6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位</w:t>
            </w:r>
          </w:p>
        </w:tc>
        <w:tc>
          <w:tcPr>
            <w:tcW w:w="3073" w:type="dxa"/>
            <w:vAlign w:val="top"/>
          </w:tcPr>
          <w:p>
            <w:pPr>
              <w:spacing w:line="209" w:lineRule="auto"/>
              <w:ind w:left="991"/>
              <w:rPr>
                <w:rFonts w:ascii="FangSong" w:eastAsia="FangSong" w:hAnsi="FangSong" w:cs="FangSong"/>
                <w:sz w:val="33"/>
                <w:szCs w:val="33"/>
              </w:rPr>
            </w:pPr>
            <w:r>
              <w:rPr>
                <w:rFonts w:ascii="FangSong" w:eastAsia="FangSong" w:hAnsi="FangSong" w:cs="FangSong"/>
                <w:spacing w:val="-5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指标</w:t>
            </w:r>
          </w:p>
        </w:tc>
        <w:tc>
          <w:tcPr>
            <w:tcW w:w="2622" w:type="dxa"/>
            <w:vAlign w:val="top"/>
          </w:tcPr>
          <w:p>
            <w:pPr>
              <w:spacing w:line="211" w:lineRule="auto"/>
              <w:ind w:left="921"/>
              <w:rPr>
                <w:rFonts w:ascii="FangSong" w:eastAsia="FangSong" w:hAnsi="FangSong" w:cs="FangSong"/>
                <w:sz w:val="33"/>
                <w:szCs w:val="33"/>
              </w:rPr>
            </w:pPr>
            <w:r>
              <w:rPr>
                <w:rFonts w:ascii="FangSong" w:eastAsia="FangSong" w:hAnsi="FangSong" w:cs="FangSong"/>
                <w:spacing w:val="-7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备</w:t>
            </w:r>
            <w:r>
              <w:rPr>
                <w:rFonts w:ascii="FangSong" w:eastAsia="FangSong" w:hAnsi="FangSong" w:cs="FangSong"/>
                <w:spacing w:val="-5"/>
                <w:sz w:val="33"/>
                <w:szCs w:val="33"/>
                <w14:textOutline w14:w="70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注</w:t>
            </w: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12"/>
        </w:trPr>
        <w:tc>
          <w:tcPr>
            <w:tcW w:w="2018" w:type="dxa"/>
            <w:vAlign w:val="top"/>
          </w:tcPr>
          <w:p>
            <w:pPr>
              <w:spacing w:before="225" w:line="234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1</w:t>
            </w:r>
          </w:p>
        </w:tc>
        <w:tc>
          <w:tcPr>
            <w:tcW w:w="3674" w:type="dxa"/>
            <w:vAlign w:val="top"/>
          </w:tcPr>
          <w:p>
            <w:pPr>
              <w:spacing w:before="224" w:line="215" w:lineRule="auto"/>
              <w:ind w:left="103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9"/>
                <w:sz w:val="29"/>
                <w:szCs w:val="29"/>
              </w:rPr>
              <w:t>占</w:t>
            </w: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地面积</w:t>
            </w:r>
          </w:p>
        </w:tc>
        <w:tc>
          <w:tcPr>
            <w:tcW w:w="2326" w:type="dxa"/>
            <w:vAlign w:val="top"/>
          </w:tcPr>
          <w:p>
            <w:pPr>
              <w:spacing w:before="224" w:line="214" w:lineRule="auto"/>
              <w:ind w:left="31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平方米</w:t>
            </w:r>
          </w:p>
        </w:tc>
        <w:tc>
          <w:tcPr>
            <w:tcW w:w="3073" w:type="dxa"/>
            <w:vAlign w:val="top"/>
          </w:tcPr>
          <w:p>
            <w:pPr>
              <w:spacing w:before="224" w:line="232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5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5967.97</w:t>
            </w:r>
          </w:p>
        </w:tc>
        <w:tc>
          <w:tcPr>
            <w:tcW w:w="2622" w:type="dxa"/>
            <w:vAlign w:val="top"/>
          </w:tcPr>
          <w:p>
            <w:pPr>
              <w:spacing w:before="225" w:line="220" w:lineRule="auto"/>
              <w:ind w:left="90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83.91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 xml:space="preserve"> </w:t>
            </w:r>
            <w:r>
              <w:rPr>
                <w:rFonts w:ascii="FangSong" w:eastAsia="FangSong" w:hAnsi="FangSong" w:cs="FangSong"/>
                <w:spacing w:val="-3"/>
                <w:sz w:val="29"/>
                <w:szCs w:val="29"/>
              </w:rPr>
              <w:t>亩</w:t>
            </w: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695"/>
        </w:trPr>
        <w:tc>
          <w:tcPr>
            <w:tcW w:w="2018" w:type="dxa"/>
            <w:vAlign w:val="top"/>
          </w:tcPr>
          <w:p>
            <w:pPr>
              <w:spacing w:before="204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.1</w:t>
            </w:r>
          </w:p>
        </w:tc>
        <w:tc>
          <w:tcPr>
            <w:tcW w:w="3674" w:type="dxa"/>
            <w:vAlign w:val="top"/>
          </w:tcPr>
          <w:p>
            <w:pPr>
              <w:spacing w:before="203" w:line="215" w:lineRule="auto"/>
              <w:ind w:left="99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容积率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04" w:line="232" w:lineRule="auto"/>
              <w:ind w:left="100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3"/>
                <w:sz w:val="29"/>
                <w:szCs w:val="29"/>
              </w:rPr>
              <w:t>1.01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0"/>
        </w:trPr>
        <w:tc>
          <w:tcPr>
            <w:tcW w:w="2018" w:type="dxa"/>
            <w:vAlign w:val="top"/>
          </w:tcPr>
          <w:p>
            <w:pPr>
              <w:spacing w:before="207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.2</w:t>
            </w:r>
          </w:p>
        </w:tc>
        <w:tc>
          <w:tcPr>
            <w:tcW w:w="3674" w:type="dxa"/>
            <w:vAlign w:val="top"/>
          </w:tcPr>
          <w:p>
            <w:pPr>
              <w:spacing w:before="206" w:line="215" w:lineRule="auto"/>
              <w:ind w:left="98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建筑系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数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07" w:line="233" w:lineRule="auto"/>
              <w:ind w:left="98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6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3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.78%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9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.3</w:t>
            </w:r>
          </w:p>
        </w:tc>
        <w:tc>
          <w:tcPr>
            <w:tcW w:w="3674" w:type="dxa"/>
            <w:vAlign w:val="top"/>
          </w:tcPr>
          <w:p>
            <w:pPr>
              <w:spacing w:before="208" w:line="215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投资强度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元/亩</w:t>
            </w:r>
          </w:p>
        </w:tc>
        <w:tc>
          <w:tcPr>
            <w:tcW w:w="3073" w:type="dxa"/>
            <w:vAlign w:val="top"/>
          </w:tcPr>
          <w:p>
            <w:pPr>
              <w:spacing w:before="209" w:line="232" w:lineRule="auto"/>
              <w:ind w:left="100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199.81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9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.4</w:t>
            </w:r>
          </w:p>
        </w:tc>
        <w:tc>
          <w:tcPr>
            <w:tcW w:w="3674" w:type="dxa"/>
            <w:vAlign w:val="top"/>
          </w:tcPr>
          <w:p>
            <w:pPr>
              <w:spacing w:before="208" w:line="215" w:lineRule="auto"/>
              <w:ind w:left="98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基底面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积</w:t>
            </w:r>
          </w:p>
        </w:tc>
        <w:tc>
          <w:tcPr>
            <w:tcW w:w="2326" w:type="dxa"/>
            <w:vAlign w:val="top"/>
          </w:tcPr>
          <w:p>
            <w:pPr>
              <w:spacing w:before="209" w:line="214" w:lineRule="auto"/>
              <w:ind w:left="31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平方米</w:t>
            </w:r>
          </w:p>
        </w:tc>
        <w:tc>
          <w:tcPr>
            <w:tcW w:w="3073" w:type="dxa"/>
            <w:vAlign w:val="top"/>
          </w:tcPr>
          <w:p>
            <w:pPr>
              <w:spacing w:before="209" w:line="232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3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5696.37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697"/>
        </w:trPr>
        <w:tc>
          <w:tcPr>
            <w:tcW w:w="2018" w:type="dxa"/>
            <w:vAlign w:val="top"/>
          </w:tcPr>
          <w:p>
            <w:pPr>
              <w:spacing w:before="209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.5</w:t>
            </w:r>
          </w:p>
        </w:tc>
        <w:tc>
          <w:tcPr>
            <w:tcW w:w="3674" w:type="dxa"/>
            <w:vAlign w:val="top"/>
          </w:tcPr>
          <w:p>
            <w:pPr>
              <w:spacing w:before="208" w:line="215" w:lineRule="auto"/>
              <w:ind w:left="99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总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建筑面积</w:t>
            </w:r>
          </w:p>
        </w:tc>
        <w:tc>
          <w:tcPr>
            <w:tcW w:w="2326" w:type="dxa"/>
            <w:vAlign w:val="top"/>
          </w:tcPr>
          <w:p>
            <w:pPr>
              <w:spacing w:before="209" w:line="214" w:lineRule="auto"/>
              <w:ind w:left="31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平方米</w:t>
            </w:r>
          </w:p>
        </w:tc>
        <w:tc>
          <w:tcPr>
            <w:tcW w:w="3073" w:type="dxa"/>
            <w:vAlign w:val="top"/>
          </w:tcPr>
          <w:p>
            <w:pPr>
              <w:spacing w:before="209" w:line="232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5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6527.65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690"/>
        </w:trPr>
        <w:tc>
          <w:tcPr>
            <w:tcW w:w="2018" w:type="dxa"/>
            <w:vAlign w:val="top"/>
          </w:tcPr>
          <w:p>
            <w:pPr>
              <w:spacing w:before="203" w:line="232" w:lineRule="auto"/>
              <w:ind w:left="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.6</w:t>
            </w:r>
          </w:p>
        </w:tc>
        <w:tc>
          <w:tcPr>
            <w:tcW w:w="3674" w:type="dxa"/>
            <w:vAlign w:val="top"/>
          </w:tcPr>
          <w:p>
            <w:pPr>
              <w:spacing w:before="203" w:line="214" w:lineRule="auto"/>
              <w:ind w:left="99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绿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化面积</w:t>
            </w:r>
          </w:p>
        </w:tc>
        <w:tc>
          <w:tcPr>
            <w:tcW w:w="2326" w:type="dxa"/>
            <w:vAlign w:val="top"/>
          </w:tcPr>
          <w:p>
            <w:pPr>
              <w:spacing w:before="203" w:line="214" w:lineRule="auto"/>
              <w:ind w:left="31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平方米</w:t>
            </w:r>
          </w:p>
        </w:tc>
        <w:tc>
          <w:tcPr>
            <w:tcW w:w="3073" w:type="dxa"/>
            <w:vAlign w:val="top"/>
          </w:tcPr>
          <w:p>
            <w:pPr>
              <w:spacing w:before="203" w:line="232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3799.26</w:t>
            </w:r>
          </w:p>
        </w:tc>
        <w:tc>
          <w:tcPr>
            <w:tcW w:w="2622" w:type="dxa"/>
            <w:vAlign w:val="top"/>
          </w:tcPr>
          <w:p>
            <w:pPr>
              <w:spacing w:before="203" w:line="214" w:lineRule="auto"/>
              <w:ind w:left="92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8"/>
                <w:sz w:val="29"/>
                <w:szCs w:val="29"/>
              </w:rPr>
              <w:t>绿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化率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 xml:space="preserve"> 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6.72%</w:t>
            </w: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695"/>
        </w:trPr>
        <w:tc>
          <w:tcPr>
            <w:tcW w:w="2018" w:type="dxa"/>
            <w:vAlign w:val="top"/>
          </w:tcPr>
          <w:p>
            <w:pPr>
              <w:spacing w:before="202" w:line="234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2</w:t>
            </w:r>
          </w:p>
        </w:tc>
        <w:tc>
          <w:tcPr>
            <w:tcW w:w="3674" w:type="dxa"/>
            <w:vAlign w:val="top"/>
          </w:tcPr>
          <w:p>
            <w:pPr>
              <w:spacing w:before="202" w:line="215" w:lineRule="auto"/>
              <w:ind w:left="99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总投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资</w:t>
            </w:r>
          </w:p>
        </w:tc>
        <w:tc>
          <w:tcPr>
            <w:tcW w:w="2326" w:type="dxa"/>
            <w:vAlign w:val="top"/>
          </w:tcPr>
          <w:p>
            <w:pPr>
              <w:spacing w:before="201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1" w:line="232" w:lineRule="auto"/>
              <w:ind w:left="100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19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120.72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8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.1</w:t>
            </w:r>
          </w:p>
        </w:tc>
        <w:tc>
          <w:tcPr>
            <w:tcW w:w="3674" w:type="dxa"/>
            <w:vAlign w:val="top"/>
          </w:tcPr>
          <w:p>
            <w:pPr>
              <w:spacing w:before="209" w:line="215" w:lineRule="auto"/>
              <w:ind w:left="10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固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定资产投资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8" w:line="232" w:lineRule="auto"/>
              <w:ind w:left="100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16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766.06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8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1.1</w:t>
            </w:r>
          </w:p>
        </w:tc>
        <w:tc>
          <w:tcPr>
            <w:tcW w:w="3674" w:type="dxa"/>
            <w:vAlign w:val="top"/>
          </w:tcPr>
          <w:p>
            <w:pPr>
              <w:spacing w:before="208" w:line="215" w:lineRule="auto"/>
              <w:ind w:left="99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土建工程投</w:t>
            </w: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资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8" w:line="232" w:lineRule="auto"/>
              <w:ind w:left="97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4370.45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8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.1.1.1</w:t>
            </w:r>
          </w:p>
        </w:tc>
        <w:tc>
          <w:tcPr>
            <w:tcW w:w="3674" w:type="dxa"/>
            <w:vAlign w:val="top"/>
          </w:tcPr>
          <w:p>
            <w:pPr>
              <w:spacing w:before="208" w:line="215" w:lineRule="auto"/>
              <w:ind w:left="99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6"/>
                <w:sz w:val="29"/>
                <w:szCs w:val="29"/>
              </w:rPr>
              <w:t>土建工程投资占</w:t>
            </w: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比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9" w:line="234" w:lineRule="auto"/>
              <w:ind w:left="98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22.86%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0"/>
        </w:trPr>
        <w:tc>
          <w:tcPr>
            <w:tcW w:w="2018" w:type="dxa"/>
            <w:vAlign w:val="top"/>
          </w:tcPr>
          <w:p>
            <w:pPr>
              <w:spacing w:before="208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1.2</w:t>
            </w:r>
          </w:p>
        </w:tc>
        <w:tc>
          <w:tcPr>
            <w:tcW w:w="3674" w:type="dxa"/>
            <w:vAlign w:val="top"/>
          </w:tcPr>
          <w:p>
            <w:pPr>
              <w:spacing w:before="209" w:line="215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设备投资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8" w:line="232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5136.82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0"/>
        </w:trPr>
        <w:tc>
          <w:tcPr>
            <w:tcW w:w="2018" w:type="dxa"/>
            <w:vAlign w:val="top"/>
          </w:tcPr>
          <w:p>
            <w:pPr>
              <w:spacing w:before="207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.1.2.1</w:t>
            </w:r>
          </w:p>
        </w:tc>
        <w:tc>
          <w:tcPr>
            <w:tcW w:w="3674" w:type="dxa"/>
            <w:vAlign w:val="top"/>
          </w:tcPr>
          <w:p>
            <w:pPr>
              <w:spacing w:before="207" w:line="215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8"/>
                <w:sz w:val="29"/>
                <w:szCs w:val="29"/>
              </w:rPr>
              <w:t>设</w:t>
            </w: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备投资占比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06" w:line="233" w:lineRule="auto"/>
              <w:ind w:left="98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26.87%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09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1.3</w:t>
            </w:r>
          </w:p>
        </w:tc>
        <w:tc>
          <w:tcPr>
            <w:tcW w:w="3674" w:type="dxa"/>
            <w:vAlign w:val="top"/>
          </w:tcPr>
          <w:p>
            <w:pPr>
              <w:spacing w:before="209" w:line="215" w:lineRule="auto"/>
              <w:ind w:left="98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其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它投资</w:t>
            </w:r>
          </w:p>
        </w:tc>
        <w:tc>
          <w:tcPr>
            <w:tcW w:w="2326" w:type="dxa"/>
            <w:vAlign w:val="top"/>
          </w:tcPr>
          <w:p>
            <w:pPr>
              <w:spacing w:before="208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9" w:line="232" w:lineRule="auto"/>
              <w:ind w:left="98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7258.7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9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10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.1.3.1</w:t>
            </w:r>
          </w:p>
        </w:tc>
        <w:tc>
          <w:tcPr>
            <w:tcW w:w="3674" w:type="dxa"/>
            <w:vAlign w:val="top"/>
          </w:tcPr>
          <w:p>
            <w:pPr>
              <w:spacing w:before="210" w:line="215" w:lineRule="auto"/>
              <w:ind w:left="98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其它投资占比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09" w:line="233" w:lineRule="auto"/>
              <w:ind w:left="98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37.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96%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10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1.4</w:t>
            </w:r>
          </w:p>
        </w:tc>
        <w:tc>
          <w:tcPr>
            <w:tcW w:w="3674" w:type="dxa"/>
            <w:vAlign w:val="top"/>
          </w:tcPr>
          <w:p>
            <w:pPr>
              <w:spacing w:before="210" w:line="215" w:lineRule="auto"/>
              <w:ind w:left="10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固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定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资产投资占比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09" w:line="233" w:lineRule="auto"/>
              <w:ind w:left="98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8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7.69%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2"/>
        </w:trPr>
        <w:tc>
          <w:tcPr>
            <w:tcW w:w="2018" w:type="dxa"/>
            <w:vAlign w:val="top"/>
          </w:tcPr>
          <w:p>
            <w:pPr>
              <w:spacing w:before="210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.2</w:t>
            </w:r>
          </w:p>
        </w:tc>
        <w:tc>
          <w:tcPr>
            <w:tcW w:w="3674" w:type="dxa"/>
            <w:vAlign w:val="top"/>
          </w:tcPr>
          <w:p>
            <w:pPr>
              <w:spacing w:before="210" w:line="215" w:lineRule="auto"/>
              <w:ind w:left="98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流动资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金</w:t>
            </w:r>
          </w:p>
        </w:tc>
        <w:tc>
          <w:tcPr>
            <w:tcW w:w="2326" w:type="dxa"/>
            <w:vAlign w:val="top"/>
          </w:tcPr>
          <w:p>
            <w:pPr>
              <w:spacing w:before="209" w:line="218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10" w:line="232" w:lineRule="auto"/>
              <w:ind w:left="98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354.66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700"/>
        </w:trPr>
        <w:tc>
          <w:tcPr>
            <w:tcW w:w="2018" w:type="dxa"/>
            <w:vAlign w:val="top"/>
          </w:tcPr>
          <w:p>
            <w:pPr>
              <w:spacing w:before="210" w:line="232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2.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2.1</w:t>
            </w:r>
          </w:p>
        </w:tc>
        <w:tc>
          <w:tcPr>
            <w:tcW w:w="3674" w:type="dxa"/>
            <w:vAlign w:val="top"/>
          </w:tcPr>
          <w:p>
            <w:pPr>
              <w:spacing w:before="210" w:line="215" w:lineRule="auto"/>
              <w:ind w:left="98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8"/>
                <w:sz w:val="29"/>
                <w:szCs w:val="29"/>
              </w:rPr>
              <w:t>流</w:t>
            </w: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动资金占比</w:t>
            </w:r>
          </w:p>
        </w:tc>
        <w:tc>
          <w:tcPr>
            <w:tcW w:w="2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vAlign w:val="top"/>
          </w:tcPr>
          <w:p>
            <w:pPr>
              <w:spacing w:before="210" w:line="234" w:lineRule="auto"/>
              <w:ind w:left="100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12.31%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713" w:type="dxa"/>
          <w:tblInd w:w="194" w:type="dxa"/>
          <w:tblLayout w:type="fixed"/>
        </w:tblPrEx>
        <w:trPr>
          <w:trHeight w:val="491"/>
        </w:trPr>
        <w:tc>
          <w:tcPr>
            <w:tcW w:w="2018" w:type="dxa"/>
            <w:vAlign w:val="top"/>
          </w:tcPr>
          <w:p>
            <w:pPr>
              <w:spacing w:before="208" w:line="180" w:lineRule="auto"/>
              <w:ind w:left="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3</w:t>
            </w:r>
          </w:p>
        </w:tc>
        <w:tc>
          <w:tcPr>
            <w:tcW w:w="3674" w:type="dxa"/>
            <w:vAlign w:val="top"/>
          </w:tcPr>
          <w:p>
            <w:pPr>
              <w:spacing w:before="208" w:line="180" w:lineRule="auto"/>
              <w:ind w:left="100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收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入</w:t>
            </w:r>
          </w:p>
        </w:tc>
        <w:tc>
          <w:tcPr>
            <w:tcW w:w="2326" w:type="dxa"/>
            <w:vAlign w:val="top"/>
          </w:tcPr>
          <w:p>
            <w:pPr>
              <w:spacing w:before="208" w:line="180" w:lineRule="auto"/>
              <w:ind w:left="31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3073" w:type="dxa"/>
            <w:vAlign w:val="top"/>
          </w:tcPr>
          <w:p>
            <w:pPr>
              <w:spacing w:before="208" w:line="180" w:lineRule="auto"/>
              <w:ind w:left="98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23</w:t>
            </w: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97.00</w:t>
            </w:r>
          </w:p>
        </w:tc>
        <w:tc>
          <w:tcPr>
            <w:tcW w:w="2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8"/>
          <w:pgSz w:w="18360" w:h="23760"/>
          <w:pgMar w:top="2019" w:right="1680" w:bottom="400" w:left="1620" w:header="0" w:footer="0" w:gutter="0"/>
          <w:pgNumType w:start="11"/>
          <w:cols w:space="708"/>
        </w:sectPr>
      </w:pPr>
    </w:p>
    <w:p/>
    <w:p/>
    <w:p>
      <w:pPr>
        <w:spacing w:line="39" w:lineRule="exact"/>
      </w:pPr>
    </w:p>
    <w:tbl>
      <w:tblPr>
        <w:tblStyle w:val="TableNormal1"/>
        <w:tblW w:w="10337" w:type="dxa"/>
        <w:tblInd w:w="1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649"/>
        <w:gridCol w:w="3601"/>
        <w:gridCol w:w="2845"/>
        <w:gridCol w:w="2242"/>
      </w:tblGrid>
      <w:tr>
        <w:tblPrEx>
          <w:tblW w:w="10337" w:type="dxa"/>
          <w:tblInd w:w="1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91"/>
        </w:trPr>
        <w:tc>
          <w:tcPr>
            <w:tcW w:w="1649" w:type="dxa"/>
            <w:vAlign w:val="top"/>
          </w:tcPr>
          <w:p>
            <w:pPr>
              <w:spacing w:line="234" w:lineRule="auto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-120181</wp:posOffset>
                  </wp:positionH>
                  <wp:positionV relativeFrom="paragraph">
                    <wp:posOffset>-90121</wp:posOffset>
                  </wp:positionV>
                  <wp:extent cx="9563100" cy="848360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0" cy="848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angSong" w:eastAsia="FangSong" w:hAnsi="FangSong" w:cs="FangSong"/>
                <w:sz w:val="29"/>
                <w:szCs w:val="29"/>
              </w:rPr>
              <w:t>4</w:t>
            </w:r>
          </w:p>
        </w:tc>
        <w:tc>
          <w:tcPr>
            <w:tcW w:w="3601" w:type="dxa"/>
            <w:vAlign w:val="top"/>
          </w:tcPr>
          <w:p>
            <w:pPr>
              <w:spacing w:before="1" w:line="213" w:lineRule="auto"/>
              <w:ind w:left="137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总成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本</w:t>
            </w:r>
          </w:p>
        </w:tc>
        <w:tc>
          <w:tcPr>
            <w:tcW w:w="2845" w:type="dxa"/>
            <w:vAlign w:val="top"/>
          </w:tcPr>
          <w:p>
            <w:pPr>
              <w:spacing w:line="217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line="232" w:lineRule="auto"/>
              <w:ind w:left="93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18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434.99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0"/>
        </w:trPr>
        <w:tc>
          <w:tcPr>
            <w:tcW w:w="1649" w:type="dxa"/>
            <w:vAlign w:val="top"/>
          </w:tcPr>
          <w:p>
            <w:pPr>
              <w:spacing w:before="251" w:line="183" w:lineRule="auto"/>
              <w:ind w:left="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5</w:t>
            </w:r>
          </w:p>
        </w:tc>
        <w:tc>
          <w:tcPr>
            <w:tcW w:w="3601" w:type="dxa"/>
            <w:vAlign w:val="top"/>
          </w:tcPr>
          <w:p>
            <w:pPr>
              <w:spacing w:before="207" w:line="214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利润总额</w:t>
            </w:r>
          </w:p>
        </w:tc>
        <w:tc>
          <w:tcPr>
            <w:tcW w:w="2845" w:type="dxa"/>
            <w:vAlign w:val="top"/>
          </w:tcPr>
          <w:p>
            <w:pPr>
              <w:spacing w:before="206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7" w:line="232" w:lineRule="auto"/>
              <w:ind w:left="90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4762.01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6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净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利润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1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3571.51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53" w:line="183" w:lineRule="auto"/>
              <w:ind w:left="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7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所得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税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3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3"/>
                <w:sz w:val="29"/>
                <w:szCs w:val="29"/>
              </w:rPr>
              <w:t>1.01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8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增值税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1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6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56.83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9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税金及附</w:t>
            </w: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加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1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302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.69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10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纳税总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额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1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150.02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07" w:line="234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11</w:t>
            </w:r>
          </w:p>
        </w:tc>
        <w:tc>
          <w:tcPr>
            <w:tcW w:w="3601" w:type="dxa"/>
            <w:vAlign w:val="top"/>
          </w:tcPr>
          <w:p>
            <w:pPr>
              <w:spacing w:before="207" w:line="214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利税总额</w:t>
            </w:r>
          </w:p>
        </w:tc>
        <w:tc>
          <w:tcPr>
            <w:tcW w:w="2845" w:type="dxa"/>
            <w:vAlign w:val="top"/>
          </w:tcPr>
          <w:p>
            <w:pPr>
              <w:spacing w:before="206" w:line="218" w:lineRule="auto"/>
              <w:ind w:left="765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万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元</w:t>
            </w:r>
          </w:p>
        </w:tc>
        <w:tc>
          <w:tcPr>
            <w:tcW w:w="2242" w:type="dxa"/>
            <w:vAlign w:val="top"/>
          </w:tcPr>
          <w:p>
            <w:pPr>
              <w:spacing w:before="207" w:line="232" w:lineRule="auto"/>
              <w:ind w:left="91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5721.53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4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12</w:t>
            </w:r>
          </w:p>
        </w:tc>
        <w:tc>
          <w:tcPr>
            <w:tcW w:w="3601" w:type="dxa"/>
            <w:vAlign w:val="top"/>
          </w:tcPr>
          <w:p>
            <w:pPr>
              <w:spacing w:before="208" w:line="214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投资利润率</w:t>
            </w:r>
          </w:p>
        </w:tc>
        <w:tc>
          <w:tcPr>
            <w:tcW w:w="28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2" w:type="dxa"/>
            <w:vAlign w:val="top"/>
          </w:tcPr>
          <w:p>
            <w:pPr>
              <w:spacing w:before="208" w:line="234" w:lineRule="auto"/>
              <w:ind w:left="91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24.90%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13</w:t>
            </w:r>
          </w:p>
        </w:tc>
        <w:tc>
          <w:tcPr>
            <w:tcW w:w="3601" w:type="dxa"/>
            <w:vAlign w:val="top"/>
          </w:tcPr>
          <w:p>
            <w:pPr>
              <w:spacing w:before="208" w:line="214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投资利税率</w:t>
            </w:r>
          </w:p>
        </w:tc>
        <w:tc>
          <w:tcPr>
            <w:tcW w:w="28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2" w:type="dxa"/>
            <w:vAlign w:val="top"/>
          </w:tcPr>
          <w:p>
            <w:pPr>
              <w:spacing w:before="208" w:line="233" w:lineRule="auto"/>
              <w:ind w:left="91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29.92%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4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14</w:t>
            </w:r>
          </w:p>
        </w:tc>
        <w:tc>
          <w:tcPr>
            <w:tcW w:w="3601" w:type="dxa"/>
            <w:vAlign w:val="top"/>
          </w:tcPr>
          <w:p>
            <w:pPr>
              <w:spacing w:before="208" w:line="214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5"/>
                <w:sz w:val="29"/>
                <w:szCs w:val="29"/>
              </w:rPr>
              <w:t>投资回报率</w:t>
            </w:r>
          </w:p>
        </w:tc>
        <w:tc>
          <w:tcPr>
            <w:tcW w:w="28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2" w:type="dxa"/>
            <w:vAlign w:val="top"/>
          </w:tcPr>
          <w:p>
            <w:pPr>
              <w:spacing w:before="208" w:line="233" w:lineRule="auto"/>
              <w:ind w:left="93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8.68%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699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15</w:t>
            </w:r>
          </w:p>
        </w:tc>
        <w:tc>
          <w:tcPr>
            <w:tcW w:w="3601" w:type="dxa"/>
            <w:vAlign w:val="top"/>
          </w:tcPr>
          <w:p>
            <w:pPr>
              <w:spacing w:before="208" w:line="215" w:lineRule="auto"/>
              <w:ind w:left="1397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8"/>
                <w:sz w:val="29"/>
                <w:szCs w:val="29"/>
              </w:rPr>
              <w:t>回</w:t>
            </w: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收期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4" w:lineRule="auto"/>
              <w:ind w:left="76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年</w:t>
            </w:r>
          </w:p>
        </w:tc>
        <w:tc>
          <w:tcPr>
            <w:tcW w:w="2242" w:type="dxa"/>
            <w:vAlign w:val="top"/>
          </w:tcPr>
          <w:p>
            <w:pPr>
              <w:spacing w:before="208" w:line="232" w:lineRule="auto"/>
              <w:ind w:left="91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6.85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07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16</w:t>
            </w:r>
          </w:p>
        </w:tc>
        <w:tc>
          <w:tcPr>
            <w:tcW w:w="3601" w:type="dxa"/>
            <w:vAlign w:val="top"/>
          </w:tcPr>
          <w:p>
            <w:pPr>
              <w:spacing w:before="207" w:line="215" w:lineRule="auto"/>
              <w:ind w:left="135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4"/>
                <w:sz w:val="29"/>
                <w:szCs w:val="29"/>
              </w:rPr>
              <w:t>设备数量</w:t>
            </w:r>
          </w:p>
        </w:tc>
        <w:tc>
          <w:tcPr>
            <w:tcW w:w="2845" w:type="dxa"/>
            <w:vAlign w:val="top"/>
          </w:tcPr>
          <w:p>
            <w:pPr>
              <w:spacing w:before="205" w:line="213" w:lineRule="auto"/>
              <w:ind w:left="79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7"/>
                <w:sz w:val="29"/>
                <w:szCs w:val="29"/>
              </w:rPr>
              <w:t>台(套)</w:t>
            </w:r>
          </w:p>
        </w:tc>
        <w:tc>
          <w:tcPr>
            <w:tcW w:w="2242" w:type="dxa"/>
            <w:vAlign w:val="top"/>
          </w:tcPr>
          <w:p>
            <w:pPr>
              <w:spacing w:before="207" w:line="233" w:lineRule="auto"/>
              <w:ind w:left="93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5"/>
                <w:sz w:val="29"/>
                <w:szCs w:val="29"/>
              </w:rPr>
              <w:t>1</w:t>
            </w:r>
            <w:r>
              <w:rPr>
                <w:rFonts w:ascii="FangSong" w:eastAsia="FangSong" w:hAnsi="FangSong" w:cs="FangSong"/>
                <w:spacing w:val="-4"/>
                <w:sz w:val="29"/>
                <w:szCs w:val="29"/>
              </w:rPr>
              <w:t>80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2"/>
        </w:trPr>
        <w:tc>
          <w:tcPr>
            <w:tcW w:w="1649" w:type="dxa"/>
            <w:vAlign w:val="top"/>
          </w:tcPr>
          <w:p>
            <w:pPr>
              <w:spacing w:before="208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17</w:t>
            </w:r>
          </w:p>
        </w:tc>
        <w:tc>
          <w:tcPr>
            <w:tcW w:w="3601" w:type="dxa"/>
            <w:vAlign w:val="top"/>
          </w:tcPr>
          <w:p>
            <w:pPr>
              <w:spacing w:before="208" w:line="214" w:lineRule="auto"/>
              <w:ind w:left="136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年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用电量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4" w:lineRule="auto"/>
              <w:ind w:left="77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千瓦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时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1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668665.7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9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09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18</w:t>
            </w:r>
          </w:p>
        </w:tc>
        <w:tc>
          <w:tcPr>
            <w:tcW w:w="3601" w:type="dxa"/>
            <w:vAlign w:val="top"/>
          </w:tcPr>
          <w:p>
            <w:pPr>
              <w:spacing w:before="209" w:line="214" w:lineRule="auto"/>
              <w:ind w:left="136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3"/>
                <w:sz w:val="29"/>
                <w:szCs w:val="29"/>
              </w:rPr>
              <w:t>年</w:t>
            </w: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用水量</w:t>
            </w:r>
          </w:p>
        </w:tc>
        <w:tc>
          <w:tcPr>
            <w:tcW w:w="2845" w:type="dxa"/>
            <w:vAlign w:val="top"/>
          </w:tcPr>
          <w:p>
            <w:pPr>
              <w:spacing w:before="209" w:line="214" w:lineRule="auto"/>
              <w:ind w:left="77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立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方米</w:t>
            </w:r>
          </w:p>
        </w:tc>
        <w:tc>
          <w:tcPr>
            <w:tcW w:w="2242" w:type="dxa"/>
            <w:vAlign w:val="top"/>
          </w:tcPr>
          <w:p>
            <w:pPr>
              <w:spacing w:before="209" w:line="232" w:lineRule="auto"/>
              <w:ind w:left="930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16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620.90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3"/>
        </w:trPr>
        <w:tc>
          <w:tcPr>
            <w:tcW w:w="1649" w:type="dxa"/>
            <w:vAlign w:val="top"/>
          </w:tcPr>
          <w:p>
            <w:pPr>
              <w:spacing w:before="210" w:line="233" w:lineRule="auto"/>
              <w:ind w:left="2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6"/>
                <w:sz w:val="29"/>
                <w:szCs w:val="29"/>
              </w:rPr>
              <w:t>19</w:t>
            </w:r>
          </w:p>
        </w:tc>
        <w:tc>
          <w:tcPr>
            <w:tcW w:w="3601" w:type="dxa"/>
            <w:vAlign w:val="top"/>
          </w:tcPr>
          <w:p>
            <w:pPr>
              <w:spacing w:before="211" w:line="213" w:lineRule="auto"/>
              <w:ind w:left="1373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总能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耗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3" w:lineRule="auto"/>
              <w:ind w:left="77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吨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标准煤</w:t>
            </w:r>
          </w:p>
        </w:tc>
        <w:tc>
          <w:tcPr>
            <w:tcW w:w="2242" w:type="dxa"/>
            <w:vAlign w:val="top"/>
          </w:tcPr>
          <w:p>
            <w:pPr>
              <w:spacing w:before="210" w:line="232" w:lineRule="auto"/>
              <w:ind w:left="909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83.60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09" w:line="233" w:lineRule="auto"/>
              <w:ind w:left="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0</w:t>
            </w:r>
          </w:p>
        </w:tc>
        <w:tc>
          <w:tcPr>
            <w:tcW w:w="3601" w:type="dxa"/>
            <w:vAlign w:val="top"/>
          </w:tcPr>
          <w:p>
            <w:pPr>
              <w:spacing w:before="210" w:line="213" w:lineRule="auto"/>
              <w:ind w:left="136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节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能率</w:t>
            </w:r>
          </w:p>
        </w:tc>
        <w:tc>
          <w:tcPr>
            <w:tcW w:w="28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2" w:type="dxa"/>
            <w:vAlign w:val="top"/>
          </w:tcPr>
          <w:p>
            <w:pPr>
              <w:spacing w:before="209" w:line="233" w:lineRule="auto"/>
              <w:ind w:left="91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28.25%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701"/>
        </w:trPr>
        <w:tc>
          <w:tcPr>
            <w:tcW w:w="1649" w:type="dxa"/>
            <w:vAlign w:val="top"/>
          </w:tcPr>
          <w:p>
            <w:pPr>
              <w:spacing w:before="210" w:line="234" w:lineRule="auto"/>
              <w:ind w:left="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1</w:t>
            </w:r>
          </w:p>
        </w:tc>
        <w:tc>
          <w:tcPr>
            <w:tcW w:w="3601" w:type="dxa"/>
            <w:vAlign w:val="top"/>
          </w:tcPr>
          <w:p>
            <w:pPr>
              <w:spacing w:before="211" w:line="213" w:lineRule="auto"/>
              <w:ind w:left="136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节</w:t>
            </w:r>
            <w:r>
              <w:rPr>
                <w:rFonts w:ascii="FangSong" w:eastAsia="FangSong" w:hAnsi="FangSong" w:cs="FangSong"/>
                <w:sz w:val="29"/>
                <w:szCs w:val="29"/>
              </w:rPr>
              <w:t>能量</w:t>
            </w:r>
          </w:p>
        </w:tc>
        <w:tc>
          <w:tcPr>
            <w:tcW w:w="2845" w:type="dxa"/>
            <w:vAlign w:val="top"/>
          </w:tcPr>
          <w:p>
            <w:pPr>
              <w:spacing w:before="208" w:line="213" w:lineRule="auto"/>
              <w:ind w:left="772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吨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标准煤</w:t>
            </w:r>
          </w:p>
        </w:tc>
        <w:tc>
          <w:tcPr>
            <w:tcW w:w="2242" w:type="dxa"/>
            <w:vAlign w:val="top"/>
          </w:tcPr>
          <w:p>
            <w:pPr>
              <w:spacing w:before="210" w:line="232" w:lineRule="auto"/>
              <w:ind w:left="911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2"/>
                <w:sz w:val="29"/>
                <w:szCs w:val="29"/>
              </w:rPr>
              <w:t>26</w:t>
            </w: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.40</w:t>
            </w:r>
          </w:p>
        </w:tc>
      </w:tr>
      <w:tr>
        <w:tblPrEx>
          <w:tblW w:w="10337" w:type="dxa"/>
          <w:tblInd w:w="189" w:type="dxa"/>
          <w:tblLayout w:type="fixed"/>
        </w:tblPrEx>
        <w:trPr>
          <w:trHeight w:val="491"/>
        </w:trPr>
        <w:tc>
          <w:tcPr>
            <w:tcW w:w="1649" w:type="dxa"/>
            <w:vAlign w:val="top"/>
          </w:tcPr>
          <w:p>
            <w:pPr>
              <w:spacing w:before="208" w:line="180" w:lineRule="auto"/>
              <w:ind w:left="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2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2</w:t>
            </w:r>
          </w:p>
        </w:tc>
        <w:tc>
          <w:tcPr>
            <w:tcW w:w="3601" w:type="dxa"/>
            <w:vAlign w:val="top"/>
          </w:tcPr>
          <w:p>
            <w:pPr>
              <w:spacing w:before="208" w:line="180" w:lineRule="auto"/>
              <w:ind w:left="1384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-2"/>
                <w:sz w:val="29"/>
                <w:szCs w:val="29"/>
              </w:rPr>
              <w:t>员工数</w:t>
            </w:r>
            <w:r>
              <w:rPr>
                <w:rFonts w:ascii="FangSong" w:eastAsia="FangSong" w:hAnsi="FangSong" w:cs="FangSong"/>
                <w:spacing w:val="-1"/>
                <w:sz w:val="29"/>
                <w:szCs w:val="29"/>
              </w:rPr>
              <w:t>量</w:t>
            </w:r>
          </w:p>
        </w:tc>
        <w:tc>
          <w:tcPr>
            <w:tcW w:w="2845" w:type="dxa"/>
            <w:vAlign w:val="top"/>
          </w:tcPr>
          <w:p>
            <w:pPr>
              <w:spacing w:before="208" w:line="180" w:lineRule="auto"/>
              <w:ind w:left="768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z w:val="29"/>
                <w:szCs w:val="29"/>
              </w:rPr>
              <w:t>人</w:t>
            </w:r>
          </w:p>
        </w:tc>
        <w:tc>
          <w:tcPr>
            <w:tcW w:w="2242" w:type="dxa"/>
            <w:vAlign w:val="top"/>
          </w:tcPr>
          <w:p>
            <w:pPr>
              <w:spacing w:before="208" w:line="180" w:lineRule="auto"/>
              <w:ind w:left="906"/>
              <w:rPr>
                <w:rFonts w:ascii="FangSong" w:eastAsia="FangSong" w:hAnsi="FangSong" w:cs="FangSong"/>
                <w:sz w:val="29"/>
                <w:szCs w:val="29"/>
              </w:rPr>
            </w:pPr>
            <w:r>
              <w:rPr>
                <w:rFonts w:ascii="FangSong" w:eastAsia="FangSong" w:hAnsi="FangSong" w:cs="FangSong"/>
                <w:spacing w:val="1"/>
                <w:sz w:val="29"/>
                <w:szCs w:val="29"/>
              </w:rPr>
              <w:t>465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53" w:line="213" w:lineRule="auto"/>
        <w:ind w:left="4685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14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Hei" w:eastAsia="SimHei" w:hAnsi="SimHei" w:cs="SimHei"/>
          <w:spacing w:val="10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章</w:t>
      </w:r>
      <w:r>
        <w:rPr>
          <w:rFonts w:ascii="SimHei" w:eastAsia="SimHei" w:hAnsi="SimHei" w:cs="SimHei"/>
          <w:spacing w:val="7"/>
          <w:sz w:val="47"/>
          <w:szCs w:val="47"/>
        </w:rPr>
        <w:t xml:space="preserve">  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建设单位基本信息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2" w:line="210" w:lineRule="auto"/>
        <w:ind w:left="1107"/>
        <w:outlineLvl w:val="0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12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SimHei" w:eastAsia="SimHei" w:hAnsi="SimHei" w:cs="SimHei"/>
          <w:spacing w:val="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370" w:lineRule="auto"/>
        <w:rPr>
          <w:rFonts w:ascii="Arial"/>
          <w:sz w:val="21"/>
        </w:rPr>
      </w:pPr>
    </w:p>
    <w:p>
      <w:pPr>
        <w:spacing w:before="146" w:line="208" w:lineRule="auto"/>
        <w:ind w:left="1110"/>
        <w:rPr>
          <w:rFonts w:ascii="FangSong" w:eastAsia="FangSong" w:hAnsi="FangSong" w:cs="FangSong"/>
          <w:sz w:val="45"/>
          <w:szCs w:val="45"/>
        </w:rPr>
        <w:sectPr>
          <w:footerReference w:type="default" r:id="rId10"/>
          <w:pgSz w:w="18360" w:h="23760"/>
          <w:pgMar w:top="2019" w:right="1680" w:bottom="400" w:left="1620" w:header="0" w:footer="0" w:gutter="0"/>
          <w:pgNumType w:start="12"/>
          <w:cols w:space="708"/>
        </w:sectPr>
      </w:pPr>
      <w:r>
        <w:rPr>
          <w:rFonts w:ascii="FangSong" w:eastAsia="FangSong" w:hAnsi="FangSong" w:cs="FangSong"/>
          <w:spacing w:val="53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(一)公司名称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46" w:line="209" w:lineRule="auto"/>
        <w:ind w:left="1094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5"/>
          <w:sz w:val="45"/>
          <w:szCs w:val="45"/>
        </w:rPr>
        <w:t>xxx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有限公司</w:t>
      </w:r>
    </w:p>
    <w:p>
      <w:pPr>
        <w:sectPr>
          <w:footerReference w:type="default" r:id="rId11"/>
          <w:type w:val="nextPage"/>
          <w:pgSz w:w="18360" w:h="23760"/>
          <w:pgMar w:top="2019" w:right="1680" w:bottom="400" w:left="1620" w:header="0" w:footer="0" w:gutter="0"/>
          <w:pgNumType w:start="13"/>
          <w:cols w:space="708"/>
          <w:titlePg w:val="0"/>
        </w:sectPr>
      </w:pPr>
    </w:p>
    <w:p>
      <w:pPr>
        <w:spacing w:before="375" w:line="208" w:lineRule="auto"/>
        <w:ind w:left="91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56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(二)公司简介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46" w:line="399" w:lineRule="auto"/>
        <w:ind w:left="10" w:firstLine="903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6"/>
          <w:sz w:val="45"/>
          <w:szCs w:val="45"/>
        </w:rPr>
        <w:t>展望未</w:t>
      </w:r>
      <w:r>
        <w:rPr>
          <w:rFonts w:ascii="FangSong" w:eastAsia="FangSong" w:hAnsi="FangSong" w:cs="FangSong"/>
          <w:spacing w:val="-5"/>
          <w:sz w:val="45"/>
          <w:szCs w:val="45"/>
        </w:rPr>
        <w:t>来</w:t>
      </w:r>
      <w:r>
        <w:rPr>
          <w:rFonts w:ascii="FangSong" w:eastAsia="FangSong" w:hAnsi="FangSong" w:cs="FangSong"/>
          <w:spacing w:val="-3"/>
          <w:sz w:val="45"/>
          <w:szCs w:val="45"/>
        </w:rPr>
        <w:t>，公司将围绕企业发展目标的实现，在“梦想、责任、忠诚、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一流”核心价值观的指引下，围绕业务体系、管控体系和人才队伍</w:t>
      </w:r>
      <w:r>
        <w:rPr>
          <w:rFonts w:ascii="FangSong" w:eastAsia="FangSong" w:hAnsi="FangSong" w:cs="FangSong"/>
          <w:sz w:val="45"/>
          <w:szCs w:val="45"/>
        </w:rPr>
        <w:t>体系重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塑，推动体制机制改革和管理及业务模式的创新，加强团队能力建</w:t>
      </w:r>
      <w:r>
        <w:rPr>
          <w:rFonts w:ascii="FangSong" w:eastAsia="FangSong" w:hAnsi="FangSong" w:cs="FangSong"/>
          <w:sz w:val="45"/>
          <w:szCs w:val="45"/>
        </w:rPr>
        <w:t>设，提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升核心竞争力，努力把公司打造成为国内一流的供应链管理平台。</w:t>
      </w:r>
      <w:r>
        <w:rPr>
          <w:rFonts w:ascii="FangSong" w:eastAsia="FangSong" w:hAnsi="FangSong" w:cs="FangSong"/>
          <w:sz w:val="45"/>
          <w:szCs w:val="45"/>
        </w:rPr>
        <w:t>公司坚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6"/>
          <w:sz w:val="45"/>
          <w:szCs w:val="45"/>
        </w:rPr>
        <w:t>持诚信为本、铸</w:t>
      </w:r>
      <w:r>
        <w:rPr>
          <w:rFonts w:ascii="FangSong" w:eastAsia="FangSong" w:hAnsi="FangSong" w:cs="FangSong"/>
          <w:spacing w:val="-5"/>
          <w:sz w:val="45"/>
          <w:szCs w:val="45"/>
        </w:rPr>
        <w:t>就</w:t>
      </w:r>
      <w:r>
        <w:rPr>
          <w:rFonts w:ascii="FangSong" w:eastAsia="FangSong" w:hAnsi="FangSong" w:cs="FangSong"/>
          <w:spacing w:val="-3"/>
          <w:sz w:val="45"/>
          <w:szCs w:val="45"/>
        </w:rPr>
        <w:t>品牌，优质服务、赢得市场的经营理念，秉承以人为本，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宾客至上服务理念，将一整套针对用户使用过程中完善的服务方案</w:t>
      </w:r>
      <w:r>
        <w:rPr>
          <w:rFonts w:ascii="FangSong" w:eastAsia="FangSong" w:hAnsi="FangSong" w:cs="FangSong"/>
          <w:sz w:val="45"/>
          <w:szCs w:val="45"/>
        </w:rPr>
        <w:t>。公司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坚持以科技创新为动力，建立了基础设施较为先进的技术中心，建</w:t>
      </w:r>
      <w:r>
        <w:rPr>
          <w:rFonts w:ascii="FangSong" w:eastAsia="FangSong" w:hAnsi="FangSong" w:cs="FangSong"/>
          <w:sz w:val="45"/>
          <w:szCs w:val="45"/>
        </w:rPr>
        <w:t>成了较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为完善的科技创新体系。通过自主研发、技术合作和引进消化吸收</w:t>
      </w:r>
      <w:r>
        <w:rPr>
          <w:rFonts w:ascii="FangSong" w:eastAsia="FangSong" w:hAnsi="FangSong" w:cs="FangSong"/>
          <w:sz w:val="45"/>
          <w:szCs w:val="45"/>
        </w:rPr>
        <w:t>等多种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途径，不断推动产品技术升级。公司主导产品质量和生产工艺居国</w:t>
      </w:r>
      <w:r>
        <w:rPr>
          <w:rFonts w:ascii="FangSong" w:eastAsia="FangSong" w:hAnsi="FangSong" w:cs="FangSong"/>
          <w:sz w:val="45"/>
          <w:szCs w:val="45"/>
        </w:rPr>
        <w:t>内领先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0"/>
          <w:sz w:val="45"/>
          <w:szCs w:val="45"/>
        </w:rPr>
        <w:t>水</w:t>
      </w:r>
      <w:r>
        <w:rPr>
          <w:rFonts w:ascii="FangSong" w:eastAsia="FangSong" w:hAnsi="FangSong" w:cs="FangSong"/>
          <w:spacing w:val="-6"/>
          <w:sz w:val="45"/>
          <w:szCs w:val="45"/>
        </w:rPr>
        <w:t>平，具有显著的竞争优势。</w:t>
      </w:r>
    </w:p>
    <w:p>
      <w:pPr>
        <w:spacing w:before="9" w:line="400" w:lineRule="auto"/>
        <w:ind w:left="12" w:right="243" w:firstLine="909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"/>
          <w:sz w:val="45"/>
          <w:szCs w:val="45"/>
        </w:rPr>
        <w:t>公司是强调项目开发</w:t>
      </w:r>
      <w:r>
        <w:rPr>
          <w:rFonts w:ascii="FangSong" w:eastAsia="FangSong" w:hAnsi="FangSong" w:cs="FangSong"/>
          <w:spacing w:val="-1"/>
          <w:sz w:val="45"/>
          <w:szCs w:val="45"/>
        </w:rPr>
        <w:t>、设计和经营服务的科技型企业，严格按照高新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8"/>
          <w:sz w:val="45"/>
          <w:szCs w:val="45"/>
        </w:rPr>
        <w:t>技术</w:t>
      </w:r>
      <w:r>
        <w:rPr>
          <w:rFonts w:ascii="FangSong" w:eastAsia="FangSong" w:hAnsi="FangSong" w:cs="FangSong"/>
          <w:spacing w:val="-12"/>
          <w:sz w:val="45"/>
          <w:szCs w:val="45"/>
        </w:rPr>
        <w:t>企</w:t>
      </w:r>
      <w:r>
        <w:rPr>
          <w:rFonts w:ascii="FangSong" w:eastAsia="FangSong" w:hAnsi="FangSong" w:cs="FangSong"/>
          <w:spacing w:val="-9"/>
          <w:sz w:val="45"/>
          <w:szCs w:val="45"/>
        </w:rPr>
        <w:t>业规范财务制度。截止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2017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年底，公司经济状况无不良资产发生，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并严格控制企业高速发展带来的高资产负债率。同时，为了创新需要</w:t>
      </w:r>
      <w:r>
        <w:rPr>
          <w:rFonts w:ascii="FangSong" w:eastAsia="FangSong" w:hAnsi="FangSong" w:cs="FangSong"/>
          <w:sz w:val="45"/>
          <w:szCs w:val="45"/>
        </w:rPr>
        <w:t>及时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的资金作保证，公司对研究开发经费的投入和使用制定了相应制度，</w:t>
      </w:r>
      <w:r>
        <w:rPr>
          <w:rFonts w:ascii="FangSong" w:eastAsia="FangSong" w:hAnsi="FangSong" w:cs="FangSong"/>
          <w:sz w:val="45"/>
          <w:szCs w:val="45"/>
        </w:rPr>
        <w:t>每季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"/>
          <w:sz w:val="45"/>
          <w:szCs w:val="45"/>
        </w:rPr>
        <w:t>度审核一次开发经费支出情况，适时平衡各开发项目经费使用，最大</w:t>
      </w:r>
      <w:r>
        <w:rPr>
          <w:rFonts w:ascii="FangSong" w:eastAsia="FangSong" w:hAnsi="FangSong" w:cs="FangSong"/>
          <w:sz w:val="45"/>
          <w:szCs w:val="45"/>
        </w:rPr>
        <w:t>限度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1"/>
          <w:sz w:val="45"/>
          <w:szCs w:val="45"/>
        </w:rPr>
        <w:t>地</w:t>
      </w:r>
      <w:r>
        <w:rPr>
          <w:rFonts w:ascii="FangSong" w:eastAsia="FangSong" w:hAnsi="FangSong" w:cs="FangSong"/>
          <w:spacing w:val="-6"/>
          <w:sz w:val="45"/>
          <w:szCs w:val="45"/>
        </w:rPr>
        <w:t>保证开发项目的资金落实。</w:t>
      </w:r>
    </w:p>
    <w:p>
      <w:pPr>
        <w:spacing w:before="103" w:line="197" w:lineRule="auto"/>
        <w:ind w:left="889"/>
        <w:outlineLvl w:val="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-1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二、公司经济效</w:t>
      </w:r>
      <w:r>
        <w:rPr>
          <w:rFonts w:ascii="Microsoft YaHei" w:eastAsia="Microsoft YaHei" w:hAnsi="Microsoft YaHei" w:cs="Microsoft YaHei"/>
          <w:sz w:val="29"/>
          <w:szCs w:val="29"/>
          <w14:textOutline w14:w="6138">
            <w14:solidFill>
              <w14:srgbClr w14:val="000000"/>
            </w14:solidFill>
            <w14:prstDash w14:val="solid"/>
            <w14:miter w14:lim="10"/>
          </w14:textOutline>
        </w:rPr>
        <w:t>益分析</w:t>
      </w:r>
    </w:p>
    <w:p>
      <w:pPr>
        <w:spacing w:line="351" w:lineRule="auto"/>
        <w:rPr>
          <w:rFonts w:ascii="Arial"/>
          <w:sz w:val="21"/>
        </w:rPr>
      </w:pPr>
    </w:p>
    <w:p>
      <w:pPr>
        <w:spacing w:before="146" w:line="404" w:lineRule="auto"/>
        <w:ind w:right="261" w:firstLine="916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22"/>
          <w:sz w:val="45"/>
          <w:szCs w:val="45"/>
        </w:rPr>
        <w:t>上</w:t>
      </w:r>
      <w:r>
        <w:rPr>
          <w:rFonts w:ascii="FangSong" w:eastAsia="FangSong" w:hAnsi="FangSong" w:cs="FangSong"/>
          <w:spacing w:val="-15"/>
          <w:sz w:val="45"/>
          <w:szCs w:val="45"/>
        </w:rPr>
        <w:t>一年度，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xxx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有限责任公司实现营业收入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21377.38</w:t>
      </w:r>
      <w:r>
        <w:rPr>
          <w:rFonts w:ascii="FangSong" w:eastAsia="FangSong" w:hAnsi="FangSong" w:cs="FangSong"/>
          <w:spacing w:val="-15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5"/>
          <w:sz w:val="45"/>
          <w:szCs w:val="45"/>
        </w:rPr>
        <w:t>万元，同比增长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4"/>
          <w:sz w:val="45"/>
          <w:szCs w:val="45"/>
        </w:rPr>
        <w:t>8.89%</w:t>
      </w:r>
      <w:r>
        <w:rPr>
          <w:rFonts w:ascii="FangSong" w:eastAsia="FangSong" w:hAnsi="FangSong" w:cs="FangSong"/>
          <w:spacing w:val="4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4"/>
          <w:sz w:val="45"/>
          <w:szCs w:val="45"/>
        </w:rPr>
        <w:t>(1</w:t>
      </w:r>
      <w:r>
        <w:rPr>
          <w:rFonts w:ascii="FangSong" w:eastAsia="FangSong" w:hAnsi="FangSong" w:cs="FangSong"/>
          <w:spacing w:val="2"/>
          <w:sz w:val="45"/>
          <w:szCs w:val="45"/>
        </w:rPr>
        <w:t>744.43</w:t>
      </w:r>
      <w:r>
        <w:rPr>
          <w:rFonts w:ascii="FangSong" w:eastAsia="FangSong" w:hAnsi="FangSong" w:cs="FangSong"/>
          <w:spacing w:val="2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2"/>
          <w:sz w:val="45"/>
          <w:szCs w:val="45"/>
        </w:rPr>
        <w:t>万元)。其中，主营业业务医疗器械生产及销售收入为</w:t>
      </w:r>
    </w:p>
    <w:p>
      <w:pPr>
        <w:sectPr>
          <w:footerReference w:type="default" r:id="rId12"/>
          <w:pgSz w:w="18360" w:h="23760"/>
          <w:pgMar w:top="2019" w:right="1781" w:bottom="400" w:left="1817" w:header="0" w:footer="0" w:gutter="0"/>
          <w:pgNumType w:start="14"/>
          <w:cols w:space="708"/>
        </w:sectPr>
      </w:pPr>
    </w:p>
    <w:p>
      <w:pPr>
        <w:spacing w:before="374" w:line="209" w:lineRule="auto"/>
        <w:ind w:left="201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9"/>
          <w:sz w:val="45"/>
          <w:szCs w:val="45"/>
        </w:rPr>
        <w:t>20011.08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万元，占营业总收入的</w:t>
      </w:r>
      <w:r>
        <w:rPr>
          <w:rFonts w:ascii="FangSong" w:eastAsia="FangSong" w:hAnsi="FangSong" w:cs="FangSong"/>
          <w:spacing w:val="-9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9"/>
          <w:sz w:val="45"/>
          <w:szCs w:val="45"/>
        </w:rPr>
        <w:t>93.61%。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37" w:line="208" w:lineRule="auto"/>
        <w:ind w:left="548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上年度营收情况一</w:t>
      </w:r>
      <w:r>
        <w:rPr>
          <w:rFonts w:ascii="FangSong" w:eastAsia="FangSong" w:hAnsi="FangSong" w:cs="FangSong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览表</w:t>
      </w:r>
    </w:p>
    <w:p>
      <w:pPr>
        <w:spacing w:line="403" w:lineRule="auto"/>
        <w:rPr>
          <w:rFonts w:ascii="Arial"/>
          <w:sz w:val="21"/>
        </w:rPr>
      </w:pPr>
    </w:p>
    <w:p>
      <w:pPr>
        <w:spacing w:line="7580" w:lineRule="exact"/>
        <w:textAlignment w:val="center"/>
      </w:pPr>
      <w:r>
        <w:pict>
          <v:group id="_x0000_i1025" style="width:753pt;height:379pt;mso-position-horizontal-relative:char;mso-position-vertical-relative:line" coordorigin="0,0" coordsize="15060,758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5060;height:7580;position:absolute" filled="f" stroked="f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275;height:7197;left:174;position:absolute;top:97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2"/>
                      <w:tblW w:w="14234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1079"/>
                      <w:gridCol w:w="3262"/>
                      <w:gridCol w:w="2613"/>
                      <w:gridCol w:w="1951"/>
                      <w:gridCol w:w="1950"/>
                      <w:gridCol w:w="1950"/>
                      <w:gridCol w:w="1429"/>
                    </w:tblGrid>
                    <w:tr>
                      <w:tblPrEx>
                        <w:tblW w:w="14234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540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7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5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序号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" w:line="209" w:lineRule="auto"/>
                            <w:ind w:left="431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项</w:t>
                          </w:r>
                          <w:r>
                            <w:rPr>
                              <w:rFonts w:ascii="FangSong" w:eastAsia="FangSong" w:hAnsi="FangSong" w:cs="FangSong"/>
                              <w:spacing w:val="-5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目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1082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第一季度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420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第二季度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421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第三季度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419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第四季度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line="208" w:lineRule="auto"/>
                            <w:ind w:left="747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8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合</w:t>
                          </w:r>
                          <w:r>
                            <w:rPr>
                              <w:rFonts w:ascii="FangSong" w:eastAsia="FangSong" w:hAnsi="FangSong" w:cs="FangSong"/>
                              <w:spacing w:val="-7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计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707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228" w:line="233" w:lineRule="auto"/>
                            <w:ind w:left="18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1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227" w:line="214" w:lineRule="auto"/>
                            <w:ind w:left="43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营业收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入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228" w:line="231" w:lineRule="auto"/>
                            <w:ind w:left="90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4489.25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28" w:line="231" w:lineRule="auto"/>
                            <w:ind w:left="24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5985.67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28" w:line="231" w:lineRule="auto"/>
                            <w:ind w:left="25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5558.12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28" w:line="231" w:lineRule="auto"/>
                            <w:ind w:left="248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5344.35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228" w:line="231" w:lineRule="auto"/>
                            <w:ind w:left="24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21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3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77.38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8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8" w:line="233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2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7" w:line="214" w:lineRule="auto"/>
                            <w:ind w:left="43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主营业务收入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90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4202.33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24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5603.10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25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5202.88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248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5002.77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24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20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0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11.08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9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.1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8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A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92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13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86.77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18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49.02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17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16.95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6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16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50.91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6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6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03.66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7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.2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6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B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90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9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66.54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88.71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11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96.66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6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11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50.64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4602.55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8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.3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6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C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91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71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4.40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5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9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52.53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5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8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84.49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8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50.47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5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3401.88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9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.4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8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D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911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504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.28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6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72.37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6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24.35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6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00.33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401.33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8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.5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6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E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911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336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.19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448.2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416.2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41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400.2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8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16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00.89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9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.6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8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医疗器械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(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F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90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210.12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280.16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8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260.14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45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250.14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201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10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00.55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679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.7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6" w:line="213" w:lineRule="auto"/>
                            <w:ind w:left="45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医疗器械(...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)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ind w:left="90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84.05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112.06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104.06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ind w:left="26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100.06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9" w:line="231" w:lineRule="auto"/>
                            <w:ind w:left="24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400.2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</w:t>
                          </w:r>
                        </w:p>
                      </w:tc>
                    </w:tr>
                    <w:tr>
                      <w:tblPrEx>
                        <w:tblW w:w="14234" w:type="dxa"/>
                        <w:tblInd w:w="20" w:type="dxa"/>
                        <w:tblLayout w:type="fixed"/>
                      </w:tblPrEx>
                      <w:trPr>
                        <w:trHeight w:val="482"/>
                      </w:trPr>
                      <w:tc>
                        <w:tcPr>
                          <w:tcW w:w="1079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3</w:t>
                          </w:r>
                        </w:p>
                      </w:tc>
                      <w:tc>
                        <w:tcPr>
                          <w:tcW w:w="3262" w:type="dxa"/>
                          <w:vAlign w:val="top"/>
                        </w:tcPr>
                        <w:p>
                          <w:pPr>
                            <w:spacing w:before="197" w:line="181" w:lineRule="auto"/>
                            <w:ind w:left="43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其他业务收入</w:t>
                          </w:r>
                        </w:p>
                      </w:tc>
                      <w:tc>
                        <w:tcPr>
                          <w:tcW w:w="2613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90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286.92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24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382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.56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25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355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.24</w:t>
                          </w:r>
                        </w:p>
                      </w:tc>
                      <w:tc>
                        <w:tcPr>
                          <w:tcW w:w="1950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248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341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.57</w:t>
                          </w:r>
                        </w:p>
                      </w:tc>
                      <w:tc>
                        <w:tcPr>
                          <w:tcW w:w="1429" w:type="dxa"/>
                          <w:vAlign w:val="top"/>
                        </w:tcPr>
                        <w:p>
                          <w:pPr>
                            <w:spacing w:before="199" w:line="180" w:lineRule="auto"/>
                            <w:ind w:left="2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13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66.30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46" w:line="403" w:lineRule="auto"/>
        <w:ind w:left="209" w:right="442" w:firstLine="902"/>
        <w:rPr>
          <w:rFonts w:ascii="FangSong" w:eastAsia="FangSong" w:hAnsi="FangSong" w:cs="FangSong"/>
          <w:sz w:val="45"/>
          <w:szCs w:val="45"/>
        </w:rPr>
      </w:pPr>
      <w:r>
        <w:rPr>
          <w:rFonts w:ascii="FangSong" w:eastAsia="FangSong" w:hAnsi="FangSong" w:cs="FangSong"/>
          <w:spacing w:val="-14"/>
          <w:sz w:val="45"/>
          <w:szCs w:val="45"/>
        </w:rPr>
        <w:t>根</w:t>
      </w:r>
      <w:r>
        <w:rPr>
          <w:rFonts w:ascii="FangSong" w:eastAsia="FangSong" w:hAnsi="FangSong" w:cs="FangSong"/>
          <w:spacing w:val="-11"/>
          <w:sz w:val="45"/>
          <w:szCs w:val="45"/>
        </w:rPr>
        <w:t>据</w:t>
      </w:r>
      <w:r>
        <w:rPr>
          <w:rFonts w:ascii="FangSong" w:eastAsia="FangSong" w:hAnsi="FangSong" w:cs="FangSong"/>
          <w:spacing w:val="-7"/>
          <w:sz w:val="45"/>
          <w:szCs w:val="45"/>
        </w:rPr>
        <w:t>初步统计测算，公司实现利润总额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4422.88</w:t>
      </w:r>
      <w:r>
        <w:rPr>
          <w:rFonts w:ascii="FangSong" w:eastAsia="FangSong" w:hAnsi="FangSong" w:cs="FangSong"/>
          <w:spacing w:val="-7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7"/>
          <w:sz w:val="45"/>
          <w:szCs w:val="45"/>
        </w:rPr>
        <w:t>万元，较去年同期相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6"/>
          <w:sz w:val="45"/>
          <w:szCs w:val="45"/>
        </w:rPr>
        <w:t>比</w:t>
      </w:r>
      <w:r>
        <w:rPr>
          <w:rFonts w:ascii="FangSong" w:eastAsia="FangSong" w:hAnsi="FangSong" w:cs="FangSong"/>
          <w:spacing w:val="-13"/>
          <w:sz w:val="45"/>
          <w:szCs w:val="45"/>
        </w:rPr>
        <w:t>增长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387.02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万元，增长率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9.59%；实现净利润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3317.16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万元，较去年同</w:t>
      </w:r>
      <w:r>
        <w:rPr>
          <w:rFonts w:ascii="FangSong" w:eastAsia="FangSong" w:hAnsi="FangSong" w:cs="FangSong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24"/>
          <w:sz w:val="45"/>
          <w:szCs w:val="45"/>
        </w:rPr>
        <w:t>期</w:t>
      </w:r>
      <w:r>
        <w:rPr>
          <w:rFonts w:ascii="FangSong" w:eastAsia="FangSong" w:hAnsi="FangSong" w:cs="FangSong"/>
          <w:spacing w:val="-13"/>
          <w:sz w:val="45"/>
          <w:szCs w:val="45"/>
        </w:rPr>
        <w:t>相比增长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556.20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万元，增长率</w:t>
      </w:r>
      <w:r>
        <w:rPr>
          <w:rFonts w:ascii="FangSong" w:eastAsia="FangSong" w:hAnsi="FangSong" w:cs="FangSong"/>
          <w:spacing w:val="-13"/>
          <w:sz w:val="45"/>
          <w:szCs w:val="45"/>
        </w:rPr>
        <w:t xml:space="preserve"> </w:t>
      </w:r>
      <w:r>
        <w:rPr>
          <w:rFonts w:ascii="FangSong" w:eastAsia="FangSong" w:hAnsi="FangSong" w:cs="FangSong"/>
          <w:spacing w:val="-13"/>
          <w:sz w:val="45"/>
          <w:szCs w:val="45"/>
        </w:rPr>
        <w:t>20.14%。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36" w:line="208" w:lineRule="auto"/>
        <w:ind w:left="569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上</w:t>
      </w:r>
      <w:r>
        <w:rPr>
          <w:rFonts w:ascii="FangSong" w:eastAsia="FangSong" w:hAnsi="FangSong" w:cs="FangSong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年度主要经济指标</w:t>
      </w:r>
    </w:p>
    <w:p>
      <w:pPr>
        <w:spacing w:line="419" w:lineRule="auto"/>
        <w:rPr>
          <w:rFonts w:ascii="Arial"/>
          <w:sz w:val="21"/>
        </w:rPr>
      </w:pPr>
    </w:p>
    <w:p>
      <w:pPr>
        <w:spacing w:line="3540" w:lineRule="exact"/>
        <w:textAlignment w:val="center"/>
      </w:pPr>
      <w:r>
        <w:pict>
          <v:group id="_x0000_i1028" style="width:757pt;height:177pt;mso-position-horizontal-relative:char;mso-position-vertical-relative:line" coordorigin="0,0" coordsize="15140,3540" filled="f" stroked="f">
            <v:shape id="_x0000_s1029" type="#_x0000_t75" style="width:15140;height:3540;position:absolute" filled="f" stroked="f">
              <v:imagedata r:id="rId14" o:title=""/>
            </v:shape>
            <v:shape id="_x0000_s1030" type="#_x0000_t202" style="width:12754;height:3162;left:183;position:absolute;top:84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2"/>
                      <w:tblW w:w="12713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4060"/>
                      <w:gridCol w:w="3794"/>
                      <w:gridCol w:w="4859"/>
                    </w:tblGrid>
                    <w:tr>
                      <w:tblPrEx>
                        <w:tblW w:w="12713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542"/>
                      </w:trPr>
                      <w:tc>
                        <w:tcPr>
                          <w:tcW w:w="4060" w:type="dxa"/>
                          <w:vAlign w:val="top"/>
                        </w:tcPr>
                        <w:p>
                          <w:pPr>
                            <w:spacing w:before="1" w:line="210" w:lineRule="auto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项</w:t>
                          </w:r>
                          <w:r>
                            <w:rPr>
                              <w:rFonts w:ascii="FangSong" w:eastAsia="FangSong" w:hAnsi="FangSong" w:cs="FangSong"/>
                              <w:spacing w:val="-5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目</w:t>
                          </w:r>
                        </w:p>
                      </w:tc>
                      <w:tc>
                        <w:tcPr>
                          <w:tcW w:w="3794" w:type="dxa"/>
                          <w:vAlign w:val="top"/>
                        </w:tcPr>
                        <w:p>
                          <w:pPr>
                            <w:spacing w:before="1" w:line="207" w:lineRule="auto"/>
                            <w:ind w:left="972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8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单</w:t>
                          </w:r>
                          <w:r>
                            <w:rPr>
                              <w:rFonts w:ascii="FangSong" w:eastAsia="FangSong" w:hAnsi="FangSong" w:cs="FangSong"/>
                              <w:spacing w:val="-6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位</w:t>
                          </w:r>
                        </w:p>
                      </w:tc>
                      <w:tc>
                        <w:tcPr>
                          <w:tcW w:w="4859" w:type="dxa"/>
                          <w:vAlign w:val="top"/>
                        </w:tcPr>
                        <w:p>
                          <w:pPr>
                            <w:spacing w:line="209" w:lineRule="auto"/>
                            <w:jc w:val="right"/>
                            <w:rPr>
                              <w:rFonts w:ascii="FangSong" w:eastAsia="FangSong" w:hAnsi="FangSong" w:cs="FangSong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1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指</w:t>
                          </w:r>
                          <w:r>
                            <w:rPr>
                              <w:rFonts w:ascii="FangSong" w:eastAsia="FangSong" w:hAnsi="FangSong" w:cs="FangSong"/>
                              <w:spacing w:val="-9"/>
                              <w:sz w:val="33"/>
                              <w:szCs w:val="33"/>
                              <w14:textOutline w14:w="7010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"/>
                              </w14:textOutline>
                            </w:rPr>
                            <w:t>标</w:t>
                          </w:r>
                        </w:p>
                      </w:tc>
                    </w:tr>
                    <w:tr>
                      <w:tblPrEx>
                        <w:tblW w:w="12713" w:type="dxa"/>
                        <w:tblInd w:w="20" w:type="dxa"/>
                        <w:tblLayout w:type="fixed"/>
                      </w:tblPrEx>
                      <w:trPr>
                        <w:trHeight w:val="707"/>
                      </w:trPr>
                      <w:tc>
                        <w:tcPr>
                          <w:tcW w:w="4060" w:type="dxa"/>
                          <w:vAlign w:val="top"/>
                        </w:tcPr>
                        <w:p>
                          <w:pPr>
                            <w:spacing w:before="226" w:line="214" w:lineRule="auto"/>
                            <w:ind w:left="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29"/>
                              <w:szCs w:val="29"/>
                            </w:rPr>
                            <w:t>完</w:t>
                          </w: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成营业收入</w:t>
                          </w:r>
                        </w:p>
                      </w:tc>
                      <w:tc>
                        <w:tcPr>
                          <w:tcW w:w="3794" w:type="dxa"/>
                          <w:vAlign w:val="top"/>
                        </w:tcPr>
                        <w:p>
                          <w:pPr>
                            <w:spacing w:before="226" w:line="217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4859" w:type="dxa"/>
                          <w:vAlign w:val="top"/>
                        </w:tcPr>
                        <w:p>
                          <w:pPr>
                            <w:spacing w:before="227" w:line="231" w:lineRule="auto"/>
                            <w:ind w:left="219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21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3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77.38</w:t>
                          </w:r>
                        </w:p>
                      </w:tc>
                    </w:tr>
                    <w:tr>
                      <w:tblPrEx>
                        <w:tblW w:w="12713" w:type="dxa"/>
                        <w:tblInd w:w="20" w:type="dxa"/>
                        <w:tblLayout w:type="fixed"/>
                      </w:tblPrEx>
                      <w:trPr>
                        <w:trHeight w:val="684"/>
                      </w:trPr>
                      <w:tc>
                        <w:tcPr>
                          <w:tcW w:w="4060" w:type="dxa"/>
                          <w:vAlign w:val="top"/>
                        </w:tcPr>
                        <w:p>
                          <w:pPr>
                            <w:spacing w:before="196" w:line="214" w:lineRule="auto"/>
                            <w:ind w:left="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9"/>
                              <w:sz w:val="29"/>
                              <w:szCs w:val="29"/>
                            </w:rPr>
                            <w:t>完</w:t>
                          </w: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成主营业务收入</w:t>
                          </w:r>
                        </w:p>
                      </w:tc>
                      <w:tc>
                        <w:tcPr>
                          <w:tcW w:w="3794" w:type="dxa"/>
                          <w:vAlign w:val="top"/>
                        </w:tcPr>
                        <w:p>
                          <w:pPr>
                            <w:spacing w:before="196" w:line="217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4859" w:type="dxa"/>
                          <w:vAlign w:val="top"/>
                        </w:tcPr>
                        <w:p>
                          <w:pPr>
                            <w:spacing w:before="197" w:line="231" w:lineRule="auto"/>
                            <w:ind w:left="2190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20</w:t>
                          </w: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0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11.08</w:t>
                          </w:r>
                        </w:p>
                      </w:tc>
                    </w:tr>
                    <w:tr>
                      <w:tblPrEx>
                        <w:tblW w:w="12713" w:type="dxa"/>
                        <w:tblInd w:w="20" w:type="dxa"/>
                        <w:tblLayout w:type="fixed"/>
                      </w:tblPrEx>
                      <w:trPr>
                        <w:trHeight w:val="696"/>
                      </w:trPr>
                      <w:tc>
                        <w:tcPr>
                          <w:tcW w:w="4060" w:type="dxa"/>
                          <w:vAlign w:val="top"/>
                        </w:tcPr>
                        <w:p>
                          <w:pPr>
                            <w:spacing w:before="203" w:line="214" w:lineRule="auto"/>
                            <w:ind w:left="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29"/>
                              <w:szCs w:val="29"/>
                            </w:rPr>
                            <w:t>主</w:t>
                          </w: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营业务收入占比</w:t>
                          </w:r>
                        </w:p>
                      </w:tc>
                      <w:tc>
                        <w:tcPr>
                          <w:tcW w:w="3794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4859" w:type="dxa"/>
                          <w:vAlign w:val="top"/>
                        </w:tcPr>
                        <w:p>
                          <w:pPr>
                            <w:spacing w:before="203" w:line="232" w:lineRule="auto"/>
                            <w:ind w:left="218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9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3.61%</w:t>
                          </w:r>
                        </w:p>
                      </w:tc>
                    </w:tr>
                    <w:tr>
                      <w:tblPrEx>
                        <w:tblW w:w="12713" w:type="dxa"/>
                        <w:tblInd w:w="20" w:type="dxa"/>
                        <w:tblLayout w:type="fixed"/>
                      </w:tblPrEx>
                      <w:trPr>
                        <w:trHeight w:val="492"/>
                      </w:trPr>
                      <w:tc>
                        <w:tcPr>
                          <w:tcW w:w="4060" w:type="dxa"/>
                          <w:vAlign w:val="top"/>
                        </w:tcPr>
                        <w:p>
                          <w:pPr>
                            <w:spacing w:before="209" w:line="180" w:lineRule="auto"/>
                            <w:ind w:left="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19"/>
                              <w:sz w:val="29"/>
                              <w:szCs w:val="29"/>
                            </w:rPr>
                            <w:t>营</w:t>
                          </w:r>
                          <w:r>
                            <w:rPr>
                              <w:rFonts w:ascii="FangSong" w:eastAsia="FangSong" w:hAnsi="FangSong" w:cs="FangSong"/>
                              <w:spacing w:val="17"/>
                              <w:sz w:val="29"/>
                              <w:szCs w:val="29"/>
                            </w:rPr>
                            <w:t>业收入增长率(同比)</w:t>
                          </w:r>
                        </w:p>
                      </w:tc>
                      <w:tc>
                        <w:tcPr>
                          <w:tcW w:w="3794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4859" w:type="dxa"/>
                          <w:vAlign w:val="top"/>
                        </w:tcPr>
                        <w:p>
                          <w:pPr>
                            <w:spacing w:before="209" w:line="180" w:lineRule="auto"/>
                            <w:ind w:left="2187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8.89%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ectPr>
          <w:footerReference w:type="default" r:id="rId15"/>
          <w:pgSz w:w="18360" w:h="23760"/>
          <w:pgMar w:top="2019" w:right="1600" w:bottom="400" w:left="1620" w:header="0" w:footer="0" w:gutter="0"/>
          <w:pgNumType w:start="15"/>
          <w:cols w:space="708"/>
        </w:sectPr>
      </w:pPr>
    </w:p>
    <w:p>
      <w:pPr>
        <w:spacing w:line="378" w:lineRule="auto"/>
        <w:rPr>
          <w:rFonts w:ascii="Arial"/>
          <w:sz w:val="21"/>
        </w:rPr>
      </w:pPr>
    </w:p>
    <w:p>
      <w:pPr>
        <w:spacing w:line="9660" w:lineRule="exact"/>
        <w:textAlignment w:val="center"/>
      </w:pPr>
      <w:r>
        <w:pict>
          <v:group id="_x0000_i1031" style="width:757pt;height:483pt;mso-position-horizontal-relative:char;mso-position-vertical-relative:line" coordorigin="0,0" coordsize="15140,9660" filled="f" stroked="f">
            <v:shape id="_x0000_s1032" type="#_x0000_t75" style="width:15140;height:9660;position:absolute" filled="f" stroked="f">
              <v:imagedata r:id="rId16" o:title=""/>
            </v:shape>
            <v:shape id="_x0000_s1033" type="#_x0000_t202" style="width:11270;height:9272;left:178;position:absolute;top:107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3"/>
                      <w:tblW w:w="11229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4064"/>
                      <w:gridCol w:w="3760"/>
                      <w:gridCol w:w="3405"/>
                    </w:tblGrid>
                    <w:tr>
                      <w:tblPrEx>
                        <w:tblW w:w="11229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482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line="215" w:lineRule="auto"/>
                            <w:ind w:left="9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19"/>
                              <w:sz w:val="29"/>
                              <w:szCs w:val="29"/>
                            </w:rPr>
                            <w:t>营</w:t>
                          </w:r>
                          <w:r>
                            <w:rPr>
                              <w:rFonts w:ascii="FangSong" w:eastAsia="FangSong" w:hAnsi="FangSong" w:cs="FangSong"/>
                              <w:spacing w:val="17"/>
                              <w:sz w:val="29"/>
                              <w:szCs w:val="29"/>
                            </w:rPr>
                            <w:t>业收入增长量(同比)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1" w:line="232" w:lineRule="auto"/>
                            <w:ind w:right="148"/>
                            <w:jc w:val="right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17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44.43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4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197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利润总额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198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198" w:line="233" w:lineRule="auto"/>
                            <w:ind w:right="148"/>
                            <w:jc w:val="right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4422.88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9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1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6"/>
                              <w:sz w:val="29"/>
                              <w:szCs w:val="29"/>
                            </w:rPr>
                            <w:t>利润总额增长率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2" w:line="233" w:lineRule="auto"/>
                            <w:ind w:left="222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9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.59%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6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3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6"/>
                              <w:sz w:val="29"/>
                              <w:szCs w:val="29"/>
                            </w:rPr>
                            <w:t>利润总额增长量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204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3" w:line="233" w:lineRule="auto"/>
                            <w:ind w:left="222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387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.02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4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198" w:line="215" w:lineRule="auto"/>
                            <w:ind w:left="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净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利润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199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198" w:line="233" w:lineRule="auto"/>
                            <w:ind w:right="148"/>
                            <w:jc w:val="right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3317.16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9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1" w:line="215" w:lineRule="auto"/>
                            <w:ind w:left="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净利润增长率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2" w:line="233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20.14%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90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3" w:line="215" w:lineRule="auto"/>
                            <w:ind w:left="3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净利润增长量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204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4" w:line="233" w:lineRule="auto"/>
                            <w:ind w:left="222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556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.20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95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2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投资利润率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3" w:line="233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27.40%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702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9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投资回报率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10" w:line="233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0.55%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97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9" w:line="215" w:lineRule="auto"/>
                            <w:ind w:left="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8"/>
                              <w:sz w:val="29"/>
                              <w:szCs w:val="29"/>
                            </w:rPr>
                            <w:t>财</w:t>
                          </w: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务内部收益率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10" w:line="233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0.56%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4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4" w:line="216" w:lineRule="auto"/>
                            <w:ind w:left="2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7"/>
                              <w:sz w:val="29"/>
                              <w:szCs w:val="29"/>
                            </w:rPr>
                            <w:t>企</w:t>
                          </w: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业总资产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204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3" w:line="233" w:lineRule="auto"/>
                            <w:jc w:val="right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4"/>
                              <w:sz w:val="29"/>
                              <w:szCs w:val="29"/>
                            </w:rPr>
                            <w:t>3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4834.58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79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197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8"/>
                              <w:sz w:val="29"/>
                              <w:szCs w:val="29"/>
                            </w:rPr>
                            <w:t>流</w:t>
                          </w:r>
                          <w:r>
                            <w:rPr>
                              <w:rFonts w:ascii="FangSong" w:eastAsia="FangSong" w:hAnsi="FangSong" w:cs="FangSong"/>
                              <w:spacing w:val="6"/>
                              <w:sz w:val="29"/>
                              <w:szCs w:val="29"/>
                            </w:rPr>
                            <w:t>动资产总额占比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197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197" w:line="233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3"/>
                              <w:sz w:val="29"/>
                              <w:szCs w:val="29"/>
                            </w:rPr>
                            <w:t>2</w:t>
                          </w: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9.32%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684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198" w:line="215" w:lineRule="auto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8"/>
                              <w:sz w:val="29"/>
                              <w:szCs w:val="29"/>
                            </w:rPr>
                            <w:t>流</w:t>
                          </w:r>
                          <w:r>
                            <w:rPr>
                              <w:rFonts w:ascii="FangSong" w:eastAsia="FangSong" w:hAnsi="FangSong" w:cs="FangSong"/>
                              <w:spacing w:val="5"/>
                              <w:sz w:val="29"/>
                              <w:szCs w:val="29"/>
                            </w:rPr>
                            <w:t>动资产总额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spacing w:before="198" w:line="218" w:lineRule="auto"/>
                            <w:ind w:left="96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-2"/>
                              <w:sz w:val="29"/>
                              <w:szCs w:val="29"/>
                            </w:rPr>
                            <w:t>万</w:t>
                          </w:r>
                          <w:r>
                            <w:rPr>
                              <w:rFonts w:ascii="FangSong" w:eastAsia="FangSong" w:hAnsi="FangSong" w:cs="FangSong"/>
                              <w:spacing w:val="-1"/>
                              <w:sz w:val="29"/>
                              <w:szCs w:val="29"/>
                            </w:rPr>
                            <w:t>元</w:t>
                          </w: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197" w:line="233" w:lineRule="auto"/>
                            <w:jc w:val="right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10</w:t>
                          </w:r>
                          <w:r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  <w:t>211.89</w:t>
                          </w:r>
                        </w:p>
                      </w:tc>
                    </w:tr>
                    <w:tr>
                      <w:tblPrEx>
                        <w:tblW w:w="11229" w:type="dxa"/>
                        <w:tblInd w:w="20" w:type="dxa"/>
                        <w:tblLayout w:type="fixed"/>
                      </w:tblPrEx>
                      <w:trPr>
                        <w:trHeight w:val="486"/>
                      </w:trPr>
                      <w:tc>
                        <w:tcPr>
                          <w:tcW w:w="4064" w:type="dxa"/>
                          <w:vAlign w:val="top"/>
                        </w:tcPr>
                        <w:p>
                          <w:pPr>
                            <w:spacing w:before="201" w:line="181" w:lineRule="auto"/>
                            <w:ind w:left="16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资产负债</w:t>
                          </w:r>
                          <w:r>
                            <w:rPr>
                              <w:rFonts w:ascii="FangSong" w:eastAsia="FangSong" w:hAnsi="FangSong" w:cs="FangSong"/>
                              <w:spacing w:val="1"/>
                              <w:sz w:val="29"/>
                              <w:szCs w:val="29"/>
                            </w:rPr>
                            <w:t>率</w:t>
                          </w:r>
                        </w:p>
                      </w:tc>
                      <w:tc>
                        <w:tcPr>
                          <w:tcW w:w="376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405" w:type="dxa"/>
                          <w:vAlign w:val="top"/>
                        </w:tcPr>
                        <w:p>
                          <w:pPr>
                            <w:spacing w:before="201" w:line="181" w:lineRule="auto"/>
                            <w:ind w:left="2224"/>
                            <w:rPr>
                              <w:rFonts w:ascii="FangSong" w:eastAsia="FangSong" w:hAnsi="FangSong" w:cs="FangSong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FangSong" w:eastAsia="FangSong" w:hAnsi="FangSong" w:cs="FangSong"/>
                              <w:spacing w:val="2"/>
                              <w:sz w:val="29"/>
                              <w:szCs w:val="29"/>
                            </w:rPr>
                            <w:t>23.98%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53" w:line="212" w:lineRule="auto"/>
        <w:ind w:left="5168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13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三章</w:t>
      </w:r>
      <w:r>
        <w:rPr>
          <w:rFonts w:ascii="SimHei" w:eastAsia="SimHei" w:hAnsi="SimHei" w:cs="SimHei"/>
          <w:spacing w:val="7"/>
          <w:sz w:val="47"/>
          <w:szCs w:val="47"/>
        </w:rPr>
        <w:t xml:space="preserve">  </w:t>
      </w:r>
      <w:r>
        <w:rPr>
          <w:rFonts w:ascii="SimHei" w:eastAsia="SimHei" w:hAnsi="SimHei" w:cs="Sim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建设背景分析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53" w:line="409" w:lineRule="auto"/>
        <w:ind w:left="213" w:right="446" w:firstLine="921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7"/>
          <w:sz w:val="47"/>
          <w:szCs w:val="47"/>
        </w:rPr>
        <w:t>随着我国居民健康需求的日益增加，医疗卫生事业不断发展，</w:t>
      </w:r>
      <w:r>
        <w:rPr>
          <w:rFonts w:ascii="FangSong" w:eastAsia="FangSong" w:hAnsi="FangSong" w:cs="FangSong"/>
          <w:spacing w:val="3"/>
          <w:sz w:val="47"/>
          <w:szCs w:val="47"/>
        </w:rPr>
        <w:t>作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4"/>
          <w:sz w:val="47"/>
          <w:szCs w:val="47"/>
        </w:rPr>
        <w:t>为医</w:t>
      </w:r>
      <w:r>
        <w:rPr>
          <w:rFonts w:ascii="FangSong" w:eastAsia="FangSong" w:hAnsi="FangSong" w:cs="FangSong"/>
          <w:spacing w:val="13"/>
          <w:sz w:val="47"/>
          <w:szCs w:val="47"/>
        </w:rPr>
        <w:t>疗</w:t>
      </w:r>
      <w:r>
        <w:rPr>
          <w:rFonts w:ascii="FangSong" w:eastAsia="FangSong" w:hAnsi="FangSong" w:cs="FangSong"/>
          <w:spacing w:val="7"/>
          <w:sz w:val="47"/>
          <w:szCs w:val="47"/>
        </w:rPr>
        <w:t>服务中重要组成部分的医疗器械市场也受益于此，多年来一直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4"/>
          <w:sz w:val="47"/>
          <w:szCs w:val="47"/>
        </w:rPr>
        <w:t>保持稳步增长。根据中国</w:t>
      </w:r>
      <w:r>
        <w:rPr>
          <w:rFonts w:ascii="FangSong" w:eastAsia="FangSong" w:hAnsi="FangSong" w:cs="FangSong"/>
          <w:spacing w:val="-2"/>
          <w:sz w:val="47"/>
          <w:szCs w:val="47"/>
        </w:rPr>
        <w:t>医药物资协会统计数据，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2018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年我国医疗器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6"/>
          <w:sz w:val="47"/>
          <w:szCs w:val="47"/>
        </w:rPr>
        <w:t>械行业市场规模</w:t>
      </w:r>
      <w:r>
        <w:rPr>
          <w:rFonts w:ascii="FangSong" w:eastAsia="FangSong" w:hAnsi="FangSong" w:cs="FangSong"/>
          <w:spacing w:val="-3"/>
          <w:sz w:val="47"/>
          <w:szCs w:val="47"/>
        </w:rPr>
        <w:t>达到</w:t>
      </w:r>
      <w:r>
        <w:rPr>
          <w:rFonts w:ascii="FangSong" w:eastAsia="FangSong" w:hAnsi="FangSong" w:cs="FangSong"/>
          <w:spacing w:val="-3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3"/>
          <w:sz w:val="47"/>
          <w:szCs w:val="47"/>
        </w:rPr>
        <w:t>5250</w:t>
      </w:r>
      <w:r>
        <w:rPr>
          <w:rFonts w:ascii="FangSong" w:eastAsia="FangSong" w:hAnsi="FangSong" w:cs="FangSong"/>
          <w:spacing w:val="-3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3"/>
          <w:sz w:val="47"/>
          <w:szCs w:val="47"/>
        </w:rPr>
        <w:t>亿元，同比增长</w:t>
      </w:r>
      <w:r>
        <w:rPr>
          <w:rFonts w:ascii="FangSong" w:eastAsia="FangSong" w:hAnsi="FangSong" w:cs="FangSong"/>
          <w:spacing w:val="-3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3"/>
          <w:sz w:val="47"/>
          <w:szCs w:val="47"/>
        </w:rPr>
        <w:t>18%，这其中所做贡献最大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8"/>
          <w:sz w:val="47"/>
          <w:szCs w:val="47"/>
        </w:rPr>
        <w:t>的子</w:t>
      </w:r>
      <w:r>
        <w:rPr>
          <w:rFonts w:ascii="FangSong" w:eastAsia="FangSong" w:hAnsi="FangSong" w:cs="FangSong"/>
          <w:spacing w:val="4"/>
          <w:sz w:val="47"/>
          <w:szCs w:val="47"/>
        </w:rPr>
        <w:t>行业为医学影像行业，销售额占整个医疗器械行业收入的</w:t>
      </w:r>
      <w:r>
        <w:rPr>
          <w:rFonts w:ascii="FangSong" w:eastAsia="FangSong" w:hAnsi="FangSong" w:cs="FangSong"/>
          <w:spacing w:val="4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4"/>
          <w:sz w:val="47"/>
          <w:szCs w:val="47"/>
        </w:rPr>
        <w:t>16%。</w:t>
      </w:r>
    </w:p>
    <w:p>
      <w:pPr>
        <w:sectPr>
          <w:footerReference w:type="default" r:id="rId17"/>
          <w:pgSz w:w="18360" w:h="23760"/>
          <w:pgMar w:top="2019" w:right="1600" w:bottom="400" w:left="1620" w:header="0" w:footer="0" w:gutter="0"/>
          <w:pgNumType w:start="16"/>
          <w:cols w:space="708"/>
        </w:sectPr>
      </w:pPr>
    </w:p>
    <w:p>
      <w:pPr>
        <w:spacing w:before="343" w:line="408" w:lineRule="auto"/>
        <w:ind w:left="9" w:firstLine="919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8"/>
          <w:sz w:val="47"/>
          <w:szCs w:val="47"/>
        </w:rPr>
        <w:t>我</w:t>
      </w:r>
      <w:r>
        <w:rPr>
          <w:rFonts w:ascii="FangSong" w:eastAsia="FangSong" w:hAnsi="FangSong" w:cs="FangSong"/>
          <w:spacing w:val="7"/>
          <w:sz w:val="47"/>
          <w:szCs w:val="47"/>
        </w:rPr>
        <w:t>国医疗器械行业发展到现在，越来越多在国外上市的医疗器械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14"/>
          <w:sz w:val="47"/>
          <w:szCs w:val="47"/>
        </w:rPr>
        <w:t>企业选</w:t>
      </w:r>
      <w:r>
        <w:rPr>
          <w:rFonts w:ascii="FangSong" w:eastAsia="FangSong" w:hAnsi="FangSong" w:cs="FangSong"/>
          <w:spacing w:val="9"/>
          <w:sz w:val="47"/>
          <w:szCs w:val="47"/>
        </w:rPr>
        <w:t>择</w:t>
      </w:r>
      <w:r>
        <w:rPr>
          <w:rFonts w:ascii="FangSong" w:eastAsia="FangSong" w:hAnsi="FangSong" w:cs="FangSong"/>
          <w:spacing w:val="7"/>
          <w:sz w:val="47"/>
          <w:szCs w:val="47"/>
        </w:rPr>
        <w:t>回归，这一迹象从侧面反映了我国医疗器械行业的市场前景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14"/>
          <w:sz w:val="47"/>
          <w:szCs w:val="47"/>
        </w:rPr>
        <w:t>广阔，</w:t>
      </w:r>
      <w:r>
        <w:rPr>
          <w:rFonts w:ascii="FangSong" w:eastAsia="FangSong" w:hAnsi="FangSong" w:cs="FangSong"/>
          <w:spacing w:val="9"/>
          <w:sz w:val="47"/>
          <w:szCs w:val="47"/>
        </w:rPr>
        <w:t>从</w:t>
      </w:r>
      <w:r>
        <w:rPr>
          <w:rFonts w:ascii="FangSong" w:eastAsia="FangSong" w:hAnsi="FangSong" w:cs="FangSong"/>
          <w:spacing w:val="7"/>
          <w:sz w:val="47"/>
          <w:szCs w:val="47"/>
        </w:rPr>
        <w:t>而吸引了资本市场的眼球，使得近年来我国医疗器械行业投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2"/>
          <w:sz w:val="47"/>
          <w:szCs w:val="47"/>
        </w:rPr>
        <w:t>融资市场热度不减，但是从</w:t>
      </w:r>
      <w:r>
        <w:rPr>
          <w:rFonts w:ascii="FangSong" w:eastAsia="FangSong" w:hAnsi="FangSong" w:cs="FangSong"/>
          <w:spacing w:val="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"/>
          <w:sz w:val="47"/>
          <w:szCs w:val="47"/>
        </w:rPr>
        <w:t>2018</w:t>
      </w:r>
      <w:r>
        <w:rPr>
          <w:rFonts w:ascii="FangSong" w:eastAsia="FangSong" w:hAnsi="FangSong" w:cs="FangSong"/>
          <w:spacing w:val="1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"/>
          <w:sz w:val="47"/>
          <w:szCs w:val="47"/>
        </w:rPr>
        <w:t>年我国医疗器械企业的融资阶段来看，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"/>
          <w:sz w:val="47"/>
          <w:szCs w:val="47"/>
        </w:rPr>
        <w:t>处于</w:t>
      </w:r>
      <w:r>
        <w:rPr>
          <w:rFonts w:ascii="FangSong" w:eastAsia="FangSong" w:hAnsi="FangSong" w:cs="FangSong"/>
          <w:spacing w:val="1"/>
          <w:sz w:val="47"/>
          <w:szCs w:val="47"/>
        </w:rPr>
        <w:t xml:space="preserve"> </w:t>
      </w:r>
      <w:r>
        <w:rPr>
          <w:rFonts w:ascii="FangSong" w:eastAsia="FangSong" w:hAnsi="FangSong" w:cs="FangSong"/>
          <w:sz w:val="47"/>
          <w:szCs w:val="47"/>
        </w:rPr>
        <w:t>B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z w:val="47"/>
          <w:szCs w:val="47"/>
        </w:rPr>
        <w:t>轮次融资以前的企业居多，说明我国现阶段大部分器械企业处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2"/>
          <w:sz w:val="47"/>
          <w:szCs w:val="47"/>
        </w:rPr>
        <w:t>于初创时</w:t>
      </w:r>
      <w:r>
        <w:rPr>
          <w:rFonts w:ascii="FangSong" w:eastAsia="FangSong" w:hAnsi="FangSong" w:cs="FangSong"/>
          <w:spacing w:val="1"/>
          <w:sz w:val="47"/>
          <w:szCs w:val="47"/>
        </w:rPr>
        <w:t>期。最后，随着《中国制造</w:t>
      </w:r>
      <w:r>
        <w:rPr>
          <w:rFonts w:ascii="FangSong" w:eastAsia="FangSong" w:hAnsi="FangSong" w:cs="FangSong"/>
          <w:spacing w:val="1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"/>
          <w:sz w:val="47"/>
          <w:szCs w:val="47"/>
        </w:rPr>
        <w:t>2025》中发展目标的逐步履行，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6"/>
          <w:sz w:val="47"/>
          <w:szCs w:val="47"/>
        </w:rPr>
        <w:t>我</w:t>
      </w:r>
      <w:r>
        <w:rPr>
          <w:rFonts w:ascii="FangSong" w:eastAsia="FangSong" w:hAnsi="FangSong" w:cs="FangSong"/>
          <w:spacing w:val="4"/>
          <w:sz w:val="47"/>
          <w:szCs w:val="47"/>
        </w:rPr>
        <w:t>国医疗器械行业研发趋势将逐步向国际靠拢。</w:t>
      </w:r>
    </w:p>
    <w:p>
      <w:pPr>
        <w:spacing w:line="211" w:lineRule="auto"/>
        <w:ind w:left="925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7"/>
          <w:sz w:val="47"/>
          <w:szCs w:val="47"/>
        </w:rPr>
        <w:t>市场规模稳定增长，医学影像占据行业最高市场份</w:t>
      </w:r>
      <w:r>
        <w:rPr>
          <w:rFonts w:ascii="FangSong" w:eastAsia="FangSong" w:hAnsi="FangSong" w:cs="FangSong"/>
          <w:spacing w:val="3"/>
          <w:sz w:val="47"/>
          <w:szCs w:val="47"/>
        </w:rPr>
        <w:t>额</w:t>
      </w:r>
    </w:p>
    <w:p>
      <w:pPr>
        <w:spacing w:line="346" w:lineRule="auto"/>
        <w:rPr>
          <w:rFonts w:ascii="Arial"/>
          <w:sz w:val="21"/>
        </w:rPr>
      </w:pPr>
    </w:p>
    <w:p>
      <w:pPr>
        <w:spacing w:before="153" w:line="408" w:lineRule="auto"/>
        <w:ind w:left="9" w:right="363" w:firstLine="924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7"/>
          <w:sz w:val="47"/>
          <w:szCs w:val="47"/>
        </w:rPr>
        <w:t>随着人民健康需求日益增加，医疗卫生事业不断发展，作为医</w:t>
      </w:r>
      <w:r>
        <w:rPr>
          <w:rFonts w:ascii="FangSong" w:eastAsia="FangSong" w:hAnsi="FangSong" w:cs="FangSong"/>
          <w:spacing w:val="3"/>
          <w:sz w:val="47"/>
          <w:szCs w:val="47"/>
        </w:rPr>
        <w:t>疗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14"/>
          <w:sz w:val="47"/>
          <w:szCs w:val="47"/>
        </w:rPr>
        <w:t>服务中</w:t>
      </w:r>
      <w:r>
        <w:rPr>
          <w:rFonts w:ascii="FangSong" w:eastAsia="FangSong" w:hAnsi="FangSong" w:cs="FangSong"/>
          <w:spacing w:val="9"/>
          <w:sz w:val="47"/>
          <w:szCs w:val="47"/>
        </w:rPr>
        <w:t>重</w:t>
      </w:r>
      <w:r>
        <w:rPr>
          <w:rFonts w:ascii="FangSong" w:eastAsia="FangSong" w:hAnsi="FangSong" w:cs="FangSong"/>
          <w:spacing w:val="7"/>
          <w:sz w:val="47"/>
          <w:szCs w:val="47"/>
        </w:rPr>
        <w:t>要组成部分的医疗器械市场也受益于此，多年来一直保持稳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4"/>
          <w:sz w:val="47"/>
          <w:szCs w:val="47"/>
        </w:rPr>
        <w:t>步增长。据中国</w:t>
      </w:r>
      <w:r>
        <w:rPr>
          <w:rFonts w:ascii="FangSong" w:eastAsia="FangSong" w:hAnsi="FangSong" w:cs="FangSong"/>
          <w:spacing w:val="-2"/>
          <w:sz w:val="47"/>
          <w:szCs w:val="47"/>
        </w:rPr>
        <w:t>医药物资协会统计，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2013-2018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年中国医疗器械市场规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16"/>
          <w:sz w:val="47"/>
          <w:szCs w:val="47"/>
        </w:rPr>
        <w:t>模</w:t>
      </w:r>
      <w:r>
        <w:rPr>
          <w:rFonts w:ascii="FangSong" w:eastAsia="FangSong" w:hAnsi="FangSong" w:cs="FangSong"/>
          <w:spacing w:val="-11"/>
          <w:sz w:val="47"/>
          <w:szCs w:val="47"/>
        </w:rPr>
        <w:t>呈</w:t>
      </w:r>
      <w:r>
        <w:rPr>
          <w:rFonts w:ascii="FangSong" w:eastAsia="FangSong" w:hAnsi="FangSong" w:cs="FangSong"/>
          <w:spacing w:val="-8"/>
          <w:sz w:val="47"/>
          <w:szCs w:val="47"/>
        </w:rPr>
        <w:t>逐年增长趋势。</w:t>
      </w:r>
      <w:r>
        <w:rPr>
          <w:rFonts w:ascii="FangSong" w:eastAsia="FangSong" w:hAnsi="FangSong" w:cs="FangSong"/>
          <w:spacing w:val="-8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8"/>
          <w:sz w:val="47"/>
          <w:szCs w:val="47"/>
        </w:rPr>
        <w:t>2018</w:t>
      </w:r>
      <w:r>
        <w:rPr>
          <w:rFonts w:ascii="FangSong" w:eastAsia="FangSong" w:hAnsi="FangSong" w:cs="FangSong"/>
          <w:spacing w:val="-8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8"/>
          <w:sz w:val="47"/>
          <w:szCs w:val="47"/>
        </w:rPr>
        <w:t>年中国医疗器械市场规模为</w:t>
      </w:r>
      <w:r>
        <w:rPr>
          <w:rFonts w:ascii="FangSong" w:eastAsia="FangSong" w:hAnsi="FangSong" w:cs="FangSong"/>
          <w:spacing w:val="-8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8"/>
          <w:sz w:val="47"/>
          <w:szCs w:val="47"/>
        </w:rPr>
        <w:t>5250</w:t>
      </w:r>
      <w:r>
        <w:rPr>
          <w:rFonts w:ascii="FangSong" w:eastAsia="FangSong" w:hAnsi="FangSong" w:cs="FangSong"/>
          <w:spacing w:val="-8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8"/>
          <w:sz w:val="47"/>
          <w:szCs w:val="47"/>
        </w:rPr>
        <w:t>亿元，同比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11"/>
          <w:sz w:val="47"/>
          <w:szCs w:val="47"/>
        </w:rPr>
        <w:t>增长</w:t>
      </w:r>
      <w:r>
        <w:rPr>
          <w:rFonts w:ascii="FangSong" w:eastAsia="FangSong" w:hAnsi="FangSong" w:cs="FangSong"/>
          <w:spacing w:val="-11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11"/>
          <w:sz w:val="47"/>
          <w:szCs w:val="47"/>
        </w:rPr>
        <w:t>18.0%。</w:t>
      </w:r>
    </w:p>
    <w:p>
      <w:pPr>
        <w:spacing w:before="3" w:line="407" w:lineRule="auto"/>
        <w:ind w:right="116" w:firstLine="910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-1"/>
          <w:sz w:val="47"/>
          <w:szCs w:val="47"/>
        </w:rPr>
        <w:t>从</w:t>
      </w:r>
      <w:r>
        <w:rPr>
          <w:rFonts w:ascii="FangSong" w:eastAsia="FangSong" w:hAnsi="FangSong" w:cs="FangSong"/>
          <w:spacing w:val="-1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1"/>
          <w:sz w:val="47"/>
          <w:szCs w:val="47"/>
        </w:rPr>
        <w:t>2018</w:t>
      </w:r>
      <w:r>
        <w:rPr>
          <w:rFonts w:ascii="FangSong" w:eastAsia="FangSong" w:hAnsi="FangSong" w:cs="FangSong"/>
          <w:spacing w:val="-1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1"/>
          <w:sz w:val="47"/>
          <w:szCs w:val="47"/>
        </w:rPr>
        <w:t>年我国</w:t>
      </w:r>
      <w:r>
        <w:rPr>
          <w:rFonts w:ascii="FangSong" w:eastAsia="FangSong" w:hAnsi="FangSong" w:cs="FangSong"/>
          <w:sz w:val="47"/>
          <w:szCs w:val="47"/>
        </w:rPr>
        <w:t>医疗器械市场的产品结构来看，国内医疗器械市场</w:t>
      </w:r>
      <w:r>
        <w:rPr>
          <w:rFonts w:ascii="FangSong" w:eastAsia="FangSong" w:hAnsi="FangSong" w:cs="FangSong"/>
          <w:sz w:val="47"/>
          <w:szCs w:val="47"/>
        </w:rPr>
        <w:t xml:space="preserve">  </w:t>
      </w:r>
      <w:r>
        <w:rPr>
          <w:rFonts w:ascii="FangSong" w:eastAsia="FangSong" w:hAnsi="FangSong" w:cs="FangSong"/>
          <w:spacing w:val="6"/>
          <w:sz w:val="47"/>
          <w:szCs w:val="47"/>
        </w:rPr>
        <w:t>中</w:t>
      </w:r>
      <w:r>
        <w:rPr>
          <w:rFonts w:ascii="FangSong" w:eastAsia="FangSong" w:hAnsi="FangSong" w:cs="FangSong"/>
          <w:spacing w:val="5"/>
          <w:sz w:val="47"/>
          <w:szCs w:val="47"/>
        </w:rPr>
        <w:t>医学影像、体外诊断、低值耗材类份额占比较高，分别占据</w:t>
      </w:r>
      <w:r>
        <w:rPr>
          <w:rFonts w:ascii="FangSong" w:eastAsia="FangSong" w:hAnsi="FangSong" w:cs="FangSong"/>
          <w:spacing w:val="5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5"/>
          <w:sz w:val="47"/>
          <w:szCs w:val="47"/>
        </w:rPr>
        <w:t>16%、14%</w:t>
      </w:r>
      <w:r>
        <w:rPr>
          <w:rFonts w:ascii="FangSong" w:eastAsia="FangSong" w:hAnsi="FangSong" w:cs="FangSong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4"/>
          <w:sz w:val="47"/>
          <w:szCs w:val="47"/>
        </w:rPr>
        <w:t>和</w:t>
      </w:r>
      <w:r>
        <w:rPr>
          <w:rFonts w:ascii="FangSong" w:eastAsia="FangSong" w:hAnsi="FangSong" w:cs="FangSong"/>
          <w:spacing w:val="-4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4"/>
          <w:sz w:val="47"/>
          <w:szCs w:val="47"/>
        </w:rPr>
        <w:t>13%的市场份</w:t>
      </w:r>
      <w:r>
        <w:rPr>
          <w:rFonts w:ascii="FangSong" w:eastAsia="FangSong" w:hAnsi="FangSong" w:cs="FangSong"/>
          <w:spacing w:val="-3"/>
          <w:sz w:val="47"/>
          <w:szCs w:val="47"/>
        </w:rPr>
        <w:t>额</w:t>
      </w:r>
      <w:r>
        <w:rPr>
          <w:rFonts w:ascii="FangSong" w:eastAsia="FangSong" w:hAnsi="FangSong" w:cs="FangSong"/>
          <w:spacing w:val="-2"/>
          <w:sz w:val="47"/>
          <w:szCs w:val="47"/>
        </w:rPr>
        <w:t>，加上心血管设备在内的前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7</w:t>
      </w:r>
      <w:r>
        <w:rPr>
          <w:rFonts w:ascii="FangSong" w:eastAsia="FangSong" w:hAnsi="FangSong" w:cs="FangSong"/>
          <w:spacing w:val="-2"/>
          <w:sz w:val="47"/>
          <w:szCs w:val="47"/>
        </w:rPr>
        <w:t xml:space="preserve"> </w:t>
      </w:r>
      <w:r>
        <w:rPr>
          <w:rFonts w:ascii="FangSong" w:eastAsia="FangSong" w:hAnsi="FangSong" w:cs="FangSong"/>
          <w:spacing w:val="-2"/>
          <w:sz w:val="47"/>
          <w:szCs w:val="47"/>
        </w:rPr>
        <w:t>大细分领域总计占据</w:t>
      </w:r>
      <w:r>
        <w:rPr>
          <w:rFonts w:ascii="FangSong" w:eastAsia="FangSong" w:hAnsi="FangSong" w:cs="FangSong"/>
          <w:sz w:val="47"/>
          <w:szCs w:val="47"/>
        </w:rPr>
        <w:t xml:space="preserve">   </w:t>
      </w:r>
      <w:r>
        <w:rPr>
          <w:rFonts w:ascii="FangSong" w:eastAsia="FangSong" w:hAnsi="FangSong" w:cs="FangSong"/>
          <w:spacing w:val="-2"/>
          <w:sz w:val="47"/>
          <w:szCs w:val="47"/>
        </w:rPr>
        <w:t>68%的市场份额。</w:t>
      </w:r>
    </w:p>
    <w:p>
      <w:pPr>
        <w:spacing w:before="2" w:line="211" w:lineRule="auto"/>
        <w:ind w:left="973"/>
        <w:rPr>
          <w:rFonts w:ascii="FangSong" w:eastAsia="FangSong" w:hAnsi="FangSong" w:cs="FangSong"/>
          <w:sz w:val="47"/>
          <w:szCs w:val="47"/>
        </w:rPr>
      </w:pPr>
      <w:r>
        <w:rPr>
          <w:rFonts w:ascii="FangSong" w:eastAsia="FangSong" w:hAnsi="FangSong" w:cs="FangSong"/>
          <w:spacing w:val="10"/>
          <w:sz w:val="47"/>
          <w:szCs w:val="47"/>
        </w:rPr>
        <w:t>中</w:t>
      </w:r>
      <w:r>
        <w:rPr>
          <w:rFonts w:ascii="FangSong" w:eastAsia="FangSong" w:hAnsi="FangSong" w:cs="FangSong"/>
          <w:spacing w:val="5"/>
          <w:sz w:val="47"/>
          <w:szCs w:val="47"/>
        </w:rPr>
        <w:t>概股回归成主潮流，现阶段我国大部分企业处于初创时期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https://d.book118.com/205042324230011124</w:t>
        </w:r>
      </w:hyperlink>
    </w:p>
    <w:p/>
    <w:sectPr>
      <w:footerReference w:type="default" r:id="rId19"/>
      <w:pgSz w:w="18360" w:h="23760"/>
      <w:pgMar w:top="2019" w:right="1441" w:bottom="400" w:left="1820" w:header="0" w:footer="0" w:gutter="0"/>
      <w:pgNumType w:start="1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95" w:lineRule="auto"/>
      <w:ind w:left="886"/>
      <w:rPr>
        <w:rFonts w:ascii="Microsoft YaHei" w:eastAsia="Microsoft YaHei" w:hAnsi="Microsoft YaHei" w:cs="Microsoft YaHei"/>
        <w:sz w:val="29"/>
        <w:szCs w:val="29"/>
      </w:rPr>
    </w:pPr>
    <w:r>
      <w:rPr>
        <w:rFonts w:ascii="Microsoft YaHei" w:eastAsia="Microsoft YaHei" w:hAnsi="Microsoft YaHei" w:cs="Microsoft YaHei"/>
        <w:spacing w:val="-1"/>
        <w:sz w:val="29"/>
        <w:szCs w:val="29"/>
        <w14:textOutline w14:w="6138">
          <w14:solidFill>
            <w14:srgbClr w14:val="000000"/>
          </w14:solidFill>
          <w14:prstDash w14:val="solid"/>
          <w14:miter w14:lim="10"/>
        </w14:textOutline>
      </w:rPr>
      <w:t>三、项目</w:t>
    </w:r>
    <w:r>
      <w:rPr>
        <w:rFonts w:ascii="Microsoft YaHei" w:eastAsia="Microsoft YaHei" w:hAnsi="Microsoft YaHei" w:cs="Microsoft YaHei"/>
        <w:sz w:val="29"/>
        <w:szCs w:val="29"/>
        <w14:textOutline w14:w="6138">
          <w14:solidFill>
            <w14:srgbClr w14:val="000000"/>
          </w14:solidFill>
          <w14:prstDash w14:val="solid"/>
          <w14:miter w14:lim="10"/>
        </w14:textOutline>
      </w:rPr>
      <w:t>评价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95" w:lineRule="auto"/>
      <w:ind w:left="886"/>
      <w:rPr>
        <w:rFonts w:ascii="Microsoft YaHei" w:eastAsia="Microsoft YaHei" w:hAnsi="Microsoft YaHei" w:cs="Microsoft YaHei"/>
        <w:sz w:val="29"/>
        <w:szCs w:val="29"/>
      </w:rPr>
    </w:pPr>
    <w:r>
      <w:rPr>
        <w:rFonts w:ascii="Microsoft YaHei" w:eastAsia="Microsoft YaHei" w:hAnsi="Microsoft YaHei" w:cs="Microsoft YaHei"/>
        <w:spacing w:val="-1"/>
        <w:sz w:val="29"/>
        <w:szCs w:val="29"/>
        <w14:textOutline w14:w="6138">
          <w14:solidFill>
            <w14:srgbClr w14:val="000000"/>
          </w14:solidFill>
          <w14:prstDash w14:val="solid"/>
          <w14:miter w14:lim="10"/>
        </w14:textOutline>
      </w:rPr>
      <w:t>三、项目</w:t>
    </w:r>
    <w:r>
      <w:rPr>
        <w:rFonts w:ascii="Microsoft YaHei" w:eastAsia="Microsoft YaHei" w:hAnsi="Microsoft YaHei" w:cs="Microsoft YaHei"/>
        <w:sz w:val="29"/>
        <w:szCs w:val="29"/>
        <w14:textOutline w14:w="6138">
          <w14:solidFill>
            <w14:srgbClr w14:val="000000"/>
          </w14:solidFill>
          <w14:prstDash w14:val="solid"/>
          <w14:miter w14:lim="10"/>
        </w14:textOutline>
      </w:rPr>
      <w:t>评价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image" Target="media/image3.png" /><Relationship Id="rId14" Type="http://schemas.openxmlformats.org/officeDocument/2006/relationships/image" Target="media/image4.png" /><Relationship Id="rId15" Type="http://schemas.openxmlformats.org/officeDocument/2006/relationships/footer" Target="footer8.xml" /><Relationship Id="rId16" Type="http://schemas.openxmlformats.org/officeDocument/2006/relationships/image" Target="media/image5.png" /><Relationship Id="rId17" Type="http://schemas.openxmlformats.org/officeDocument/2006/relationships/footer" Target="footer9.xml" /><Relationship Id="rId18" Type="http://schemas.openxmlformats.org/officeDocument/2006/relationships/hyperlink" Target="https://d.book118.com/205042324230011124" TargetMode="External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image" Target="media/image1.png" /><Relationship Id="rId8" Type="http://schemas.openxmlformats.org/officeDocument/2006/relationships/footer" Target="footer4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2023-04-17T13:19:50Z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2023-04-17T19:06:43Z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643d2839a2d7b00015420cac</vt:lpwstr>
  </property>
</Properties>
</file>