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化学发光免疫诊断项目规划设计纲要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5" w:history="1">
        <w:r>
          <w:rPr>
            <w:rFonts w:ascii="仿宋" w:eastAsia="仿宋" w:hAnsi="仿宋" w:cs="仿宋" w:hint="eastAsia"/>
            <w:lang w:eastAsia="zh-CN"/>
          </w:rPr>
          <w:t>序言</w:t>
        </w:r>
        <w:r>
          <w:tab/>
        </w:r>
        <w:r>
          <w:fldChar w:fldCharType="begin"/>
        </w:r>
        <w:r>
          <w:instrText xml:space="preserve"> PAGEREF _Toc24885 \h </w:instrText>
        </w:r>
        <w:r>
          <w:fldChar w:fldCharType="separate"/>
        </w:r>
        <w:r>
          <w:t>3</w:t>
        </w:r>
        <w:r>
          <w:fldChar w:fldCharType="end"/>
        </w:r>
      </w:hyperlink>
    </w:p>
    <w:p>
      <w:pPr>
        <w:pStyle w:val="TOC1"/>
        <w:tabs>
          <w:tab w:val="right" w:leader="dot" w:pos="8306"/>
        </w:tabs>
      </w:pPr>
      <w:hyperlink w:anchor="_Toc11956" w:history="1">
        <w:r>
          <w:rPr>
            <w:rFonts w:ascii="仿宋" w:eastAsia="仿宋" w:hAnsi="仿宋" w:cs="仿宋" w:hint="eastAsia"/>
            <w:lang w:eastAsia="zh-CN"/>
          </w:rPr>
          <w:t>一、化学发光免疫诊断项目建设单位说明</w:t>
        </w:r>
        <w:r>
          <w:tab/>
        </w:r>
        <w:r>
          <w:fldChar w:fldCharType="begin"/>
        </w:r>
        <w:r>
          <w:instrText xml:space="preserve"> PAGEREF _Toc11956 \h </w:instrText>
        </w:r>
        <w:r>
          <w:fldChar w:fldCharType="separate"/>
        </w:r>
        <w:r>
          <w:t>3</w:t>
        </w:r>
        <w:r>
          <w:fldChar w:fldCharType="end"/>
        </w:r>
      </w:hyperlink>
    </w:p>
    <w:p>
      <w:pPr>
        <w:pStyle w:val="TOC2"/>
        <w:tabs>
          <w:tab w:val="right" w:leader="dot" w:pos="8306"/>
        </w:tabs>
      </w:pPr>
      <w:hyperlink w:anchor="_Toc2126" w:history="1">
        <w:r>
          <w:rPr>
            <w:rFonts w:ascii="仿宋" w:eastAsia="仿宋" w:hAnsi="仿宋" w:cs="仿宋" w:hint="eastAsia"/>
            <w:lang w:eastAsia="zh-CN"/>
          </w:rPr>
          <w:t>(一)、化学发光免疫诊断项目承办单位基本情况</w:t>
        </w:r>
        <w:r>
          <w:tab/>
        </w:r>
        <w:r>
          <w:fldChar w:fldCharType="begin"/>
        </w:r>
        <w:r>
          <w:instrText xml:space="preserve"> PAGEREF _Toc2126 \h </w:instrText>
        </w:r>
        <w:r>
          <w:fldChar w:fldCharType="separate"/>
        </w:r>
        <w:r>
          <w:t>3</w:t>
        </w:r>
        <w:r>
          <w:fldChar w:fldCharType="end"/>
        </w:r>
      </w:hyperlink>
    </w:p>
    <w:p>
      <w:pPr>
        <w:pStyle w:val="TOC2"/>
        <w:tabs>
          <w:tab w:val="right" w:leader="dot" w:pos="8306"/>
        </w:tabs>
      </w:pPr>
      <w:hyperlink w:anchor="_Toc28141" w:history="1">
        <w:r>
          <w:rPr>
            <w:rFonts w:ascii="仿宋" w:eastAsia="仿宋" w:hAnsi="仿宋" w:cs="仿宋" w:hint="eastAsia"/>
            <w:lang w:eastAsia="zh-CN"/>
          </w:rPr>
          <w:t>(二)、公司经济效益分析</w:t>
        </w:r>
        <w:r>
          <w:tab/>
        </w:r>
        <w:r>
          <w:fldChar w:fldCharType="begin"/>
        </w:r>
        <w:r>
          <w:instrText xml:space="preserve"> PAGEREF _Toc28141 \h </w:instrText>
        </w:r>
        <w:r>
          <w:fldChar w:fldCharType="separate"/>
        </w:r>
        <w:r>
          <w:t>4</w:t>
        </w:r>
        <w:r>
          <w:fldChar w:fldCharType="end"/>
        </w:r>
      </w:hyperlink>
    </w:p>
    <w:p>
      <w:pPr>
        <w:pStyle w:val="TOC1"/>
        <w:tabs>
          <w:tab w:val="right" w:leader="dot" w:pos="8306"/>
        </w:tabs>
      </w:pPr>
      <w:hyperlink w:anchor="_Toc31674" w:history="1">
        <w:r>
          <w:rPr>
            <w:rFonts w:ascii="仿宋" w:eastAsia="仿宋" w:hAnsi="仿宋" w:cs="仿宋" w:hint="eastAsia"/>
            <w:lang w:eastAsia="zh-CN"/>
          </w:rPr>
          <w:t>二、市场分析、调研</w:t>
        </w:r>
        <w:r>
          <w:tab/>
        </w:r>
        <w:r>
          <w:fldChar w:fldCharType="begin"/>
        </w:r>
        <w:r>
          <w:instrText xml:space="preserve"> PAGEREF _Toc31674 \h </w:instrText>
        </w:r>
        <w:r>
          <w:fldChar w:fldCharType="separate"/>
        </w:r>
        <w:r>
          <w:t>5</w:t>
        </w:r>
        <w:r>
          <w:fldChar w:fldCharType="end"/>
        </w:r>
      </w:hyperlink>
    </w:p>
    <w:p>
      <w:pPr>
        <w:pStyle w:val="TOC2"/>
        <w:tabs>
          <w:tab w:val="right" w:leader="dot" w:pos="8306"/>
        </w:tabs>
      </w:pPr>
      <w:hyperlink w:anchor="_Toc5255" w:history="1">
        <w:r>
          <w:rPr>
            <w:rFonts w:ascii="仿宋" w:eastAsia="仿宋" w:hAnsi="仿宋" w:cs="仿宋" w:hint="eastAsia"/>
            <w:lang w:eastAsia="zh-CN"/>
          </w:rPr>
          <w:t>(一)、化学发光免疫诊断行业分析</w:t>
        </w:r>
        <w:r>
          <w:tab/>
        </w:r>
        <w:r>
          <w:fldChar w:fldCharType="begin"/>
        </w:r>
        <w:r>
          <w:instrText xml:space="preserve"> PAGEREF _Toc5255 \h </w:instrText>
        </w:r>
        <w:r>
          <w:fldChar w:fldCharType="separate"/>
        </w:r>
        <w:r>
          <w:t>5</w:t>
        </w:r>
        <w:r>
          <w:fldChar w:fldCharType="end"/>
        </w:r>
      </w:hyperlink>
    </w:p>
    <w:p>
      <w:pPr>
        <w:pStyle w:val="TOC2"/>
        <w:tabs>
          <w:tab w:val="right" w:leader="dot" w:pos="8306"/>
        </w:tabs>
      </w:pPr>
      <w:hyperlink w:anchor="_Toc18678" w:history="1">
        <w:r>
          <w:rPr>
            <w:rFonts w:ascii="仿宋" w:eastAsia="仿宋" w:hAnsi="仿宋" w:cs="仿宋" w:hint="eastAsia"/>
            <w:lang w:eastAsia="zh-CN"/>
          </w:rPr>
          <w:t>(二)、化学发光免疫诊断市场分析预测</w:t>
        </w:r>
        <w:r>
          <w:tab/>
        </w:r>
        <w:r>
          <w:fldChar w:fldCharType="begin"/>
        </w:r>
        <w:r>
          <w:instrText xml:space="preserve"> PAGEREF _Toc18678 \h </w:instrText>
        </w:r>
        <w:r>
          <w:fldChar w:fldCharType="separate"/>
        </w:r>
        <w:r>
          <w:t>5</w:t>
        </w:r>
        <w:r>
          <w:fldChar w:fldCharType="end"/>
        </w:r>
      </w:hyperlink>
    </w:p>
    <w:p>
      <w:pPr>
        <w:pStyle w:val="TOC1"/>
        <w:tabs>
          <w:tab w:val="right" w:leader="dot" w:pos="8306"/>
        </w:tabs>
      </w:pPr>
      <w:hyperlink w:anchor="_Toc7888" w:history="1">
        <w:r>
          <w:rPr>
            <w:rFonts w:ascii="仿宋" w:eastAsia="仿宋" w:hAnsi="仿宋" w:cs="仿宋" w:hint="eastAsia"/>
            <w:lang w:eastAsia="zh-CN"/>
          </w:rPr>
          <w:t>三、化学发光免疫诊断项目绩效评估</w:t>
        </w:r>
        <w:r>
          <w:tab/>
        </w:r>
        <w:r>
          <w:fldChar w:fldCharType="begin"/>
        </w:r>
        <w:r>
          <w:instrText xml:space="preserve"> PAGEREF _Toc7888 \h </w:instrText>
        </w:r>
        <w:r>
          <w:fldChar w:fldCharType="separate"/>
        </w:r>
        <w:r>
          <w:t>6</w:t>
        </w:r>
        <w:r>
          <w:fldChar w:fldCharType="end"/>
        </w:r>
      </w:hyperlink>
    </w:p>
    <w:p>
      <w:pPr>
        <w:pStyle w:val="TOC2"/>
        <w:tabs>
          <w:tab w:val="right" w:leader="dot" w:pos="8306"/>
        </w:tabs>
      </w:pPr>
      <w:hyperlink w:anchor="_Toc13501" w:history="1">
        <w:r>
          <w:rPr>
            <w:rFonts w:ascii="仿宋" w:eastAsia="仿宋" w:hAnsi="仿宋" w:cs="仿宋" w:hint="eastAsia"/>
            <w:lang w:eastAsia="zh-CN"/>
          </w:rPr>
          <w:t>(一)、绩效评估指标</w:t>
        </w:r>
        <w:r>
          <w:tab/>
        </w:r>
        <w:r>
          <w:fldChar w:fldCharType="begin"/>
        </w:r>
        <w:r>
          <w:instrText xml:space="preserve"> PAGEREF _Toc13501 \h </w:instrText>
        </w:r>
        <w:r>
          <w:fldChar w:fldCharType="separate"/>
        </w:r>
        <w:r>
          <w:t>6</w:t>
        </w:r>
        <w:r>
          <w:fldChar w:fldCharType="end"/>
        </w:r>
      </w:hyperlink>
    </w:p>
    <w:p>
      <w:pPr>
        <w:pStyle w:val="TOC2"/>
        <w:tabs>
          <w:tab w:val="right" w:leader="dot" w:pos="8306"/>
        </w:tabs>
      </w:pPr>
      <w:hyperlink w:anchor="_Toc6586" w:history="1">
        <w:r>
          <w:rPr>
            <w:rFonts w:ascii="仿宋" w:eastAsia="仿宋" w:hAnsi="仿宋" w:cs="仿宋" w:hint="eastAsia"/>
            <w:lang w:eastAsia="zh-CN"/>
          </w:rPr>
          <w:t>(二)、绩效评估方法</w:t>
        </w:r>
        <w:r>
          <w:tab/>
        </w:r>
        <w:r>
          <w:fldChar w:fldCharType="begin"/>
        </w:r>
        <w:r>
          <w:instrText xml:space="preserve"> PAGEREF _Toc6586 \h </w:instrText>
        </w:r>
        <w:r>
          <w:fldChar w:fldCharType="separate"/>
        </w:r>
        <w:r>
          <w:t>7</w:t>
        </w:r>
        <w:r>
          <w:fldChar w:fldCharType="end"/>
        </w:r>
      </w:hyperlink>
    </w:p>
    <w:p>
      <w:pPr>
        <w:pStyle w:val="TOC2"/>
        <w:tabs>
          <w:tab w:val="right" w:leader="dot" w:pos="8306"/>
        </w:tabs>
      </w:pPr>
      <w:hyperlink w:anchor="_Toc28393" w:history="1">
        <w:r>
          <w:rPr>
            <w:rFonts w:ascii="仿宋" w:eastAsia="仿宋" w:hAnsi="仿宋" w:cs="仿宋" w:hint="eastAsia"/>
            <w:lang w:eastAsia="zh-CN"/>
          </w:rPr>
          <w:t>(三)、绩效评估周期</w:t>
        </w:r>
        <w:r>
          <w:tab/>
        </w:r>
        <w:r>
          <w:fldChar w:fldCharType="begin"/>
        </w:r>
        <w:r>
          <w:instrText xml:space="preserve"> PAGEREF _Toc28393 \h </w:instrText>
        </w:r>
        <w:r>
          <w:fldChar w:fldCharType="separate"/>
        </w:r>
        <w:r>
          <w:t>9</w:t>
        </w:r>
        <w:r>
          <w:fldChar w:fldCharType="end"/>
        </w:r>
      </w:hyperlink>
    </w:p>
    <w:p>
      <w:pPr>
        <w:pStyle w:val="TOC1"/>
        <w:tabs>
          <w:tab w:val="right" w:leader="dot" w:pos="8306"/>
        </w:tabs>
      </w:pPr>
      <w:hyperlink w:anchor="_Toc14747" w:history="1">
        <w:r>
          <w:rPr>
            <w:rFonts w:ascii="仿宋" w:eastAsia="仿宋" w:hAnsi="仿宋" w:cs="仿宋" w:hint="eastAsia"/>
            <w:lang w:eastAsia="zh-CN"/>
          </w:rPr>
          <w:t>四、化学发光免疫诊断项目土建工程</w:t>
        </w:r>
        <w:r>
          <w:tab/>
        </w:r>
        <w:r>
          <w:fldChar w:fldCharType="begin"/>
        </w:r>
        <w:r>
          <w:instrText xml:space="preserve"> PAGEREF _Toc14747 \h </w:instrText>
        </w:r>
        <w:r>
          <w:fldChar w:fldCharType="separate"/>
        </w:r>
        <w:r>
          <w:t>10</w:t>
        </w:r>
        <w:r>
          <w:fldChar w:fldCharType="end"/>
        </w:r>
      </w:hyperlink>
    </w:p>
    <w:p>
      <w:pPr>
        <w:pStyle w:val="TOC2"/>
        <w:tabs>
          <w:tab w:val="right" w:leader="dot" w:pos="8306"/>
        </w:tabs>
      </w:pPr>
      <w:hyperlink w:anchor="_Toc14009" w:history="1">
        <w:r>
          <w:rPr>
            <w:rFonts w:ascii="仿宋" w:eastAsia="仿宋" w:hAnsi="仿宋" w:cs="仿宋" w:hint="eastAsia"/>
            <w:lang w:eastAsia="zh-CN"/>
          </w:rPr>
          <w:t>(一)、建筑工程设计原则</w:t>
        </w:r>
        <w:r>
          <w:tab/>
        </w:r>
        <w:r>
          <w:fldChar w:fldCharType="begin"/>
        </w:r>
        <w:r>
          <w:instrText xml:space="preserve"> PAGEREF _Toc14009 \h </w:instrText>
        </w:r>
        <w:r>
          <w:fldChar w:fldCharType="separate"/>
        </w:r>
        <w:r>
          <w:t>10</w:t>
        </w:r>
        <w:r>
          <w:fldChar w:fldCharType="end"/>
        </w:r>
      </w:hyperlink>
    </w:p>
    <w:p>
      <w:pPr>
        <w:pStyle w:val="TOC2"/>
        <w:tabs>
          <w:tab w:val="right" w:leader="dot" w:pos="8306"/>
        </w:tabs>
      </w:pPr>
      <w:hyperlink w:anchor="_Toc13294" w:history="1">
        <w:r>
          <w:rPr>
            <w:rFonts w:ascii="仿宋" w:eastAsia="仿宋" w:hAnsi="仿宋" w:cs="仿宋" w:hint="eastAsia"/>
            <w:lang w:eastAsia="zh-CN"/>
          </w:rPr>
          <w:t>(二)、土建工程设计年限及安全等级</w:t>
        </w:r>
        <w:r>
          <w:tab/>
        </w:r>
        <w:r>
          <w:fldChar w:fldCharType="begin"/>
        </w:r>
        <w:r>
          <w:instrText xml:space="preserve"> PAGEREF _Toc13294 \h </w:instrText>
        </w:r>
        <w:r>
          <w:fldChar w:fldCharType="separate"/>
        </w:r>
        <w:r>
          <w:t>11</w:t>
        </w:r>
        <w:r>
          <w:fldChar w:fldCharType="end"/>
        </w:r>
      </w:hyperlink>
    </w:p>
    <w:p>
      <w:pPr>
        <w:pStyle w:val="TOC2"/>
        <w:tabs>
          <w:tab w:val="right" w:leader="dot" w:pos="8306"/>
        </w:tabs>
      </w:pPr>
      <w:hyperlink w:anchor="_Toc31246" w:history="1">
        <w:r>
          <w:rPr>
            <w:rFonts w:ascii="仿宋" w:eastAsia="仿宋" w:hAnsi="仿宋" w:cs="仿宋" w:hint="eastAsia"/>
            <w:lang w:eastAsia="zh-CN"/>
          </w:rPr>
          <w:t>(三)、建筑工程设计总体要求</w:t>
        </w:r>
        <w:r>
          <w:tab/>
        </w:r>
        <w:r>
          <w:fldChar w:fldCharType="begin"/>
        </w:r>
        <w:r>
          <w:instrText xml:space="preserve"> PAGEREF _Toc31246 \h </w:instrText>
        </w:r>
        <w:r>
          <w:fldChar w:fldCharType="separate"/>
        </w:r>
        <w:r>
          <w:t>12</w:t>
        </w:r>
        <w:r>
          <w:fldChar w:fldCharType="end"/>
        </w:r>
      </w:hyperlink>
    </w:p>
    <w:p>
      <w:pPr>
        <w:pStyle w:val="TOC2"/>
        <w:tabs>
          <w:tab w:val="right" w:leader="dot" w:pos="8306"/>
        </w:tabs>
      </w:pPr>
      <w:hyperlink w:anchor="_Toc23583" w:history="1">
        <w:r>
          <w:rPr>
            <w:rFonts w:ascii="仿宋" w:eastAsia="仿宋" w:hAnsi="仿宋" w:cs="仿宋" w:hint="eastAsia"/>
            <w:lang w:eastAsia="zh-CN"/>
          </w:rPr>
          <w:t>(四)、土建工程建设指标</w:t>
        </w:r>
        <w:r>
          <w:tab/>
        </w:r>
        <w:r>
          <w:fldChar w:fldCharType="begin"/>
        </w:r>
        <w:r>
          <w:instrText xml:space="preserve"> PAGEREF _Toc23583 \h </w:instrText>
        </w:r>
        <w:r>
          <w:fldChar w:fldCharType="separate"/>
        </w:r>
        <w:r>
          <w:t>13</w:t>
        </w:r>
        <w:r>
          <w:fldChar w:fldCharType="end"/>
        </w:r>
      </w:hyperlink>
    </w:p>
    <w:p>
      <w:pPr>
        <w:pStyle w:val="TOC1"/>
        <w:tabs>
          <w:tab w:val="right" w:leader="dot" w:pos="8306"/>
        </w:tabs>
      </w:pPr>
      <w:hyperlink w:anchor="_Toc3978" w:history="1">
        <w:r>
          <w:rPr>
            <w:rFonts w:ascii="仿宋" w:eastAsia="仿宋" w:hAnsi="仿宋" w:cs="仿宋" w:hint="eastAsia"/>
            <w:lang w:eastAsia="zh-CN"/>
          </w:rPr>
          <w:t>五、化学发光免疫诊断项目危机管理</w:t>
        </w:r>
        <w:r>
          <w:tab/>
        </w:r>
        <w:r>
          <w:fldChar w:fldCharType="begin"/>
        </w:r>
        <w:r>
          <w:instrText xml:space="preserve"> PAGEREF _Toc3978 \h </w:instrText>
        </w:r>
        <w:r>
          <w:fldChar w:fldCharType="separate"/>
        </w:r>
        <w:r>
          <w:t>13</w:t>
        </w:r>
        <w:r>
          <w:fldChar w:fldCharType="end"/>
        </w:r>
      </w:hyperlink>
    </w:p>
    <w:p>
      <w:pPr>
        <w:pStyle w:val="TOC2"/>
        <w:tabs>
          <w:tab w:val="right" w:leader="dot" w:pos="8306"/>
        </w:tabs>
      </w:pPr>
      <w:hyperlink w:anchor="_Toc17315" w:history="1">
        <w:r>
          <w:rPr>
            <w:rFonts w:ascii="仿宋" w:eastAsia="仿宋" w:hAnsi="仿宋" w:cs="仿宋" w:hint="eastAsia"/>
            <w:lang w:eastAsia="zh-CN"/>
          </w:rPr>
          <w:t>(一)、危机预警与识别</w:t>
        </w:r>
        <w:r>
          <w:tab/>
        </w:r>
        <w:r>
          <w:fldChar w:fldCharType="begin"/>
        </w:r>
        <w:r>
          <w:instrText xml:space="preserve"> PAGEREF _Toc17315 \h </w:instrText>
        </w:r>
        <w:r>
          <w:fldChar w:fldCharType="separate"/>
        </w:r>
        <w:r>
          <w:t>13</w:t>
        </w:r>
        <w:r>
          <w:fldChar w:fldCharType="end"/>
        </w:r>
      </w:hyperlink>
    </w:p>
    <w:p>
      <w:pPr>
        <w:pStyle w:val="TOC2"/>
        <w:tabs>
          <w:tab w:val="right" w:leader="dot" w:pos="8306"/>
        </w:tabs>
      </w:pPr>
      <w:hyperlink w:anchor="_Toc27326" w:history="1">
        <w:r>
          <w:rPr>
            <w:rFonts w:ascii="仿宋" w:eastAsia="仿宋" w:hAnsi="仿宋" w:cs="仿宋" w:hint="eastAsia"/>
            <w:lang w:eastAsia="zh-CN"/>
          </w:rPr>
          <w:t>(二)、危机应对与恢复</w:t>
        </w:r>
        <w:r>
          <w:tab/>
        </w:r>
        <w:r>
          <w:fldChar w:fldCharType="begin"/>
        </w:r>
        <w:r>
          <w:instrText xml:space="preserve"> PAGEREF _Toc27326 \h </w:instrText>
        </w:r>
        <w:r>
          <w:fldChar w:fldCharType="separate"/>
        </w:r>
        <w:r>
          <w:t>14</w:t>
        </w:r>
        <w:r>
          <w:fldChar w:fldCharType="end"/>
        </w:r>
      </w:hyperlink>
    </w:p>
    <w:p>
      <w:pPr>
        <w:pStyle w:val="TOC1"/>
        <w:tabs>
          <w:tab w:val="right" w:leader="dot" w:pos="8306"/>
        </w:tabs>
      </w:pPr>
      <w:hyperlink w:anchor="_Toc24557" w:history="1">
        <w:r>
          <w:rPr>
            <w:rFonts w:ascii="仿宋" w:eastAsia="仿宋" w:hAnsi="仿宋" w:cs="仿宋" w:hint="eastAsia"/>
            <w:lang w:eastAsia="zh-CN"/>
          </w:rPr>
          <w:t>六、化学发光免疫诊断项目文档管理</w:t>
        </w:r>
        <w:r>
          <w:tab/>
        </w:r>
        <w:r>
          <w:fldChar w:fldCharType="begin"/>
        </w:r>
        <w:r>
          <w:instrText xml:space="preserve"> PAGEREF _Toc24557 \h </w:instrText>
        </w:r>
        <w:r>
          <w:fldChar w:fldCharType="separate"/>
        </w:r>
        <w:r>
          <w:t>16</w:t>
        </w:r>
        <w:r>
          <w:fldChar w:fldCharType="end"/>
        </w:r>
      </w:hyperlink>
    </w:p>
    <w:p>
      <w:pPr>
        <w:pStyle w:val="TOC2"/>
        <w:tabs>
          <w:tab w:val="right" w:leader="dot" w:pos="8306"/>
        </w:tabs>
      </w:pPr>
      <w:hyperlink w:anchor="_Toc25295" w:history="1">
        <w:r>
          <w:rPr>
            <w:rFonts w:ascii="仿宋" w:eastAsia="仿宋" w:hAnsi="仿宋" w:cs="仿宋" w:hint="eastAsia"/>
            <w:lang w:eastAsia="zh-CN"/>
          </w:rPr>
          <w:t>(一)、文档编制与审查</w:t>
        </w:r>
        <w:r>
          <w:tab/>
        </w:r>
        <w:r>
          <w:fldChar w:fldCharType="begin"/>
        </w:r>
        <w:r>
          <w:instrText xml:space="preserve"> PAGEREF _Toc25295 \h </w:instrText>
        </w:r>
        <w:r>
          <w:fldChar w:fldCharType="separate"/>
        </w:r>
        <w:r>
          <w:t>16</w:t>
        </w:r>
        <w:r>
          <w:fldChar w:fldCharType="end"/>
        </w:r>
      </w:hyperlink>
    </w:p>
    <w:p>
      <w:pPr>
        <w:pStyle w:val="TOC2"/>
        <w:tabs>
          <w:tab w:val="right" w:leader="dot" w:pos="8306"/>
        </w:tabs>
      </w:pPr>
      <w:hyperlink w:anchor="_Toc3334" w:history="1">
        <w:r>
          <w:rPr>
            <w:rFonts w:ascii="仿宋" w:eastAsia="仿宋" w:hAnsi="仿宋" w:cs="仿宋" w:hint="eastAsia"/>
            <w:lang w:eastAsia="zh-CN"/>
          </w:rPr>
          <w:t>(二)、文档发布与分发</w:t>
        </w:r>
        <w:r>
          <w:tab/>
        </w:r>
        <w:r>
          <w:fldChar w:fldCharType="begin"/>
        </w:r>
        <w:r>
          <w:instrText xml:space="preserve"> PAGEREF _Toc3334 \h </w:instrText>
        </w:r>
        <w:r>
          <w:fldChar w:fldCharType="separate"/>
        </w:r>
        <w:r>
          <w:t>17</w:t>
        </w:r>
        <w:r>
          <w:fldChar w:fldCharType="end"/>
        </w:r>
      </w:hyperlink>
    </w:p>
    <w:p>
      <w:pPr>
        <w:pStyle w:val="TOC2"/>
        <w:tabs>
          <w:tab w:val="right" w:leader="dot" w:pos="8306"/>
        </w:tabs>
      </w:pPr>
      <w:hyperlink w:anchor="_Toc10043" w:history="1">
        <w:r>
          <w:rPr>
            <w:rFonts w:ascii="仿宋" w:eastAsia="仿宋" w:hAnsi="仿宋" w:cs="仿宋" w:hint="eastAsia"/>
            <w:lang w:eastAsia="zh-CN"/>
          </w:rPr>
          <w:t>(三)、文档存档与归档</w:t>
        </w:r>
        <w:r>
          <w:tab/>
        </w:r>
        <w:r>
          <w:fldChar w:fldCharType="begin"/>
        </w:r>
        <w:r>
          <w:instrText xml:space="preserve"> PAGEREF _Toc10043 \h </w:instrText>
        </w:r>
        <w:r>
          <w:fldChar w:fldCharType="separate"/>
        </w:r>
        <w:r>
          <w:t>18</w:t>
        </w:r>
        <w:r>
          <w:fldChar w:fldCharType="end"/>
        </w:r>
      </w:hyperlink>
    </w:p>
    <w:p>
      <w:pPr>
        <w:pStyle w:val="TOC1"/>
        <w:tabs>
          <w:tab w:val="right" w:leader="dot" w:pos="8306"/>
        </w:tabs>
      </w:pPr>
      <w:hyperlink w:anchor="_Toc14790" w:history="1">
        <w:r>
          <w:rPr>
            <w:rFonts w:ascii="仿宋" w:eastAsia="仿宋" w:hAnsi="仿宋" w:cs="仿宋" w:hint="eastAsia"/>
            <w:lang w:eastAsia="zh-CN"/>
          </w:rPr>
          <w:t>七、化学发光免疫诊断项目技术管理</w:t>
        </w:r>
        <w:r>
          <w:tab/>
        </w:r>
        <w:r>
          <w:fldChar w:fldCharType="begin"/>
        </w:r>
        <w:r>
          <w:instrText xml:space="preserve"> PAGEREF _Toc14790 \h </w:instrText>
        </w:r>
        <w:r>
          <w:fldChar w:fldCharType="separate"/>
        </w:r>
        <w:r>
          <w:t>19</w:t>
        </w:r>
        <w:r>
          <w:fldChar w:fldCharType="end"/>
        </w:r>
      </w:hyperlink>
    </w:p>
    <w:p>
      <w:pPr>
        <w:pStyle w:val="TOC2"/>
        <w:tabs>
          <w:tab w:val="right" w:leader="dot" w:pos="8306"/>
        </w:tabs>
      </w:pPr>
      <w:hyperlink w:anchor="_Toc7060" w:history="1">
        <w:r>
          <w:rPr>
            <w:rFonts w:ascii="仿宋" w:eastAsia="仿宋" w:hAnsi="仿宋" w:cs="仿宋" w:hint="eastAsia"/>
            <w:lang w:eastAsia="zh-CN"/>
          </w:rPr>
          <w:t>(一)、技术方案选用方向</w:t>
        </w:r>
        <w:r>
          <w:tab/>
        </w:r>
        <w:r>
          <w:fldChar w:fldCharType="begin"/>
        </w:r>
        <w:r>
          <w:instrText xml:space="preserve"> PAGEREF _Toc7060 \h </w:instrText>
        </w:r>
        <w:r>
          <w:fldChar w:fldCharType="separate"/>
        </w:r>
        <w:r>
          <w:t>19</w:t>
        </w:r>
        <w:r>
          <w:fldChar w:fldCharType="end"/>
        </w:r>
      </w:hyperlink>
    </w:p>
    <w:p>
      <w:pPr>
        <w:pStyle w:val="TOC2"/>
        <w:tabs>
          <w:tab w:val="right" w:leader="dot" w:pos="8306"/>
        </w:tabs>
      </w:pPr>
      <w:hyperlink w:anchor="_Toc13065" w:history="1">
        <w:r>
          <w:rPr>
            <w:rFonts w:ascii="仿宋" w:eastAsia="仿宋" w:hAnsi="仿宋" w:cs="仿宋" w:hint="eastAsia"/>
            <w:lang w:eastAsia="zh-CN"/>
          </w:rPr>
          <w:t>(二)、工艺技术方案选用原则</w:t>
        </w:r>
        <w:r>
          <w:tab/>
        </w:r>
        <w:r>
          <w:fldChar w:fldCharType="begin"/>
        </w:r>
        <w:r>
          <w:instrText xml:space="preserve"> PAGEREF _Toc13065 \h </w:instrText>
        </w:r>
        <w:r>
          <w:fldChar w:fldCharType="separate"/>
        </w:r>
        <w:r>
          <w:t>21</w:t>
        </w:r>
        <w:r>
          <w:fldChar w:fldCharType="end"/>
        </w:r>
      </w:hyperlink>
    </w:p>
    <w:p>
      <w:pPr>
        <w:pStyle w:val="TOC2"/>
        <w:tabs>
          <w:tab w:val="right" w:leader="dot" w:pos="8306"/>
        </w:tabs>
      </w:pPr>
      <w:hyperlink w:anchor="_Toc23165" w:history="1">
        <w:r>
          <w:rPr>
            <w:rFonts w:ascii="仿宋" w:eastAsia="仿宋" w:hAnsi="仿宋" w:cs="仿宋" w:hint="eastAsia"/>
            <w:lang w:eastAsia="zh-CN"/>
          </w:rPr>
          <w:t>(三)、工艺技术方案要求</w:t>
        </w:r>
        <w:r>
          <w:tab/>
        </w:r>
        <w:r>
          <w:fldChar w:fldCharType="begin"/>
        </w:r>
        <w:r>
          <w:instrText xml:space="preserve"> PAGEREF _Toc23165 \h </w:instrText>
        </w:r>
        <w:r>
          <w:fldChar w:fldCharType="separate"/>
        </w:r>
        <w:r>
          <w:t>23</w:t>
        </w:r>
        <w:r>
          <w:fldChar w:fldCharType="end"/>
        </w:r>
      </w:hyperlink>
    </w:p>
    <w:p>
      <w:pPr>
        <w:pStyle w:val="TOC1"/>
        <w:tabs>
          <w:tab w:val="right" w:leader="dot" w:pos="8306"/>
        </w:tabs>
      </w:pPr>
      <w:hyperlink w:anchor="_Toc27987" w:history="1">
        <w:r>
          <w:rPr>
            <w:rFonts w:ascii="仿宋" w:eastAsia="仿宋" w:hAnsi="仿宋" w:cs="仿宋" w:hint="eastAsia"/>
            <w:lang w:eastAsia="zh-CN"/>
          </w:rPr>
          <w:t>八、化学发光免疫诊断项目投资规划</w:t>
        </w:r>
        <w:r>
          <w:tab/>
        </w:r>
        <w:r>
          <w:fldChar w:fldCharType="begin"/>
        </w:r>
        <w:r>
          <w:instrText xml:space="preserve"> PAGEREF _Toc27987 \h </w:instrText>
        </w:r>
        <w:r>
          <w:fldChar w:fldCharType="separate"/>
        </w:r>
        <w:r>
          <w:t>25</w:t>
        </w:r>
        <w:r>
          <w:fldChar w:fldCharType="end"/>
        </w:r>
      </w:hyperlink>
    </w:p>
    <w:p>
      <w:pPr>
        <w:pStyle w:val="TOC2"/>
        <w:tabs>
          <w:tab w:val="right" w:leader="dot" w:pos="8306"/>
        </w:tabs>
      </w:pPr>
      <w:hyperlink w:anchor="_Toc24878" w:history="1">
        <w:r>
          <w:rPr>
            <w:rFonts w:ascii="仿宋" w:eastAsia="仿宋" w:hAnsi="仿宋" w:cs="仿宋" w:hint="eastAsia"/>
            <w:lang w:eastAsia="zh-CN"/>
          </w:rPr>
          <w:t>(一)、化学发光免疫诊断项目总投资估算</w:t>
        </w:r>
        <w:r>
          <w:tab/>
        </w:r>
        <w:r>
          <w:fldChar w:fldCharType="begin"/>
        </w:r>
        <w:r>
          <w:instrText xml:space="preserve"> PAGEREF _Toc24878 \h </w:instrText>
        </w:r>
        <w:r>
          <w:fldChar w:fldCharType="separate"/>
        </w:r>
        <w:r>
          <w:t>25</w:t>
        </w:r>
        <w:r>
          <w:fldChar w:fldCharType="end"/>
        </w:r>
      </w:hyperlink>
    </w:p>
    <w:p>
      <w:pPr>
        <w:pStyle w:val="TOC2"/>
        <w:tabs>
          <w:tab w:val="right" w:leader="dot" w:pos="8306"/>
        </w:tabs>
      </w:pPr>
      <w:hyperlink w:anchor="_Toc26809" w:history="1">
        <w:r>
          <w:rPr>
            <w:rFonts w:ascii="仿宋" w:eastAsia="仿宋" w:hAnsi="仿宋" w:cs="仿宋" w:hint="eastAsia"/>
            <w:lang w:eastAsia="zh-CN"/>
          </w:rPr>
          <w:t>(二)、资金筹措</w:t>
        </w:r>
        <w:r>
          <w:tab/>
        </w:r>
        <w:r>
          <w:fldChar w:fldCharType="begin"/>
        </w:r>
        <w:r>
          <w:instrText xml:space="preserve"> PAGEREF _Toc26809 \h </w:instrText>
        </w:r>
        <w:r>
          <w:fldChar w:fldCharType="separate"/>
        </w:r>
        <w:r>
          <w:t>27</w:t>
        </w:r>
        <w:r>
          <w:fldChar w:fldCharType="end"/>
        </w:r>
      </w:hyperlink>
    </w:p>
    <w:p>
      <w:pPr>
        <w:pStyle w:val="TOC1"/>
        <w:tabs>
          <w:tab w:val="right" w:leader="dot" w:pos="8306"/>
        </w:tabs>
      </w:pPr>
      <w:hyperlink w:anchor="_Toc12341" w:history="1">
        <w:r>
          <w:rPr>
            <w:rFonts w:ascii="仿宋" w:eastAsia="仿宋" w:hAnsi="仿宋" w:cs="仿宋" w:hint="eastAsia"/>
            <w:lang w:eastAsia="zh-CN"/>
          </w:rPr>
          <w:t>九、化学发光免疫诊断项目人力资源培养与发展</w:t>
        </w:r>
        <w:r>
          <w:tab/>
        </w:r>
        <w:r>
          <w:fldChar w:fldCharType="begin"/>
        </w:r>
        <w:r>
          <w:instrText xml:space="preserve"> PAGEREF _Toc12341 \h </w:instrText>
        </w:r>
        <w:r>
          <w:fldChar w:fldCharType="separate"/>
        </w:r>
        <w:r>
          <w:t>27</w:t>
        </w:r>
        <w:r>
          <w:fldChar w:fldCharType="end"/>
        </w:r>
      </w:hyperlink>
    </w:p>
    <w:p>
      <w:pPr>
        <w:pStyle w:val="TOC2"/>
        <w:tabs>
          <w:tab w:val="right" w:leader="dot" w:pos="8306"/>
        </w:tabs>
      </w:pPr>
      <w:hyperlink w:anchor="_Toc26902" w:history="1">
        <w:r>
          <w:rPr>
            <w:rFonts w:ascii="仿宋" w:eastAsia="仿宋" w:hAnsi="仿宋" w:cs="仿宋" w:hint="eastAsia"/>
            <w:lang w:eastAsia="zh-CN"/>
          </w:rPr>
          <w:t>(一)、人才需求与规划</w:t>
        </w:r>
        <w:r>
          <w:tab/>
        </w:r>
        <w:r>
          <w:fldChar w:fldCharType="begin"/>
        </w:r>
        <w:r>
          <w:instrText xml:space="preserve"> PAGEREF _Toc26902 \h </w:instrText>
        </w:r>
        <w:r>
          <w:fldChar w:fldCharType="separate"/>
        </w:r>
        <w:r>
          <w:t>27</w:t>
        </w:r>
        <w:r>
          <w:fldChar w:fldCharType="end"/>
        </w:r>
      </w:hyperlink>
    </w:p>
    <w:p>
      <w:pPr>
        <w:pStyle w:val="TOC2"/>
        <w:tabs>
          <w:tab w:val="right" w:leader="dot" w:pos="8306"/>
        </w:tabs>
      </w:pPr>
      <w:hyperlink w:anchor="_Toc21349" w:history="1">
        <w:r>
          <w:rPr>
            <w:rFonts w:ascii="仿宋" w:eastAsia="仿宋" w:hAnsi="仿宋" w:cs="仿宋" w:hint="eastAsia"/>
            <w:lang w:eastAsia="zh-CN"/>
          </w:rPr>
          <w:t>(二)、培训与发展计划</w:t>
        </w:r>
        <w:r>
          <w:tab/>
        </w:r>
        <w:r>
          <w:fldChar w:fldCharType="begin"/>
        </w:r>
        <w:r>
          <w:instrText xml:space="preserve"> PAGEREF _Toc21349 \h </w:instrText>
        </w:r>
        <w:r>
          <w:fldChar w:fldCharType="separate"/>
        </w:r>
        <w:r>
          <w:t>28</w:t>
        </w:r>
        <w:r>
          <w:fldChar w:fldCharType="end"/>
        </w:r>
      </w:hyperlink>
    </w:p>
    <w:p>
      <w:pPr>
        <w:pStyle w:val="TOC1"/>
        <w:tabs>
          <w:tab w:val="right" w:leader="dot" w:pos="8306"/>
        </w:tabs>
      </w:pPr>
      <w:hyperlink w:anchor="_Toc19661" w:history="1">
        <w:r>
          <w:rPr>
            <w:rFonts w:ascii="仿宋" w:eastAsia="仿宋" w:hAnsi="仿宋" w:cs="仿宋" w:hint="eastAsia"/>
            <w:lang w:eastAsia="zh-CN"/>
          </w:rPr>
          <w:t>十、化学发光免疫诊断项目创新与研发</w:t>
        </w:r>
        <w:r>
          <w:tab/>
        </w:r>
        <w:r>
          <w:fldChar w:fldCharType="begin"/>
        </w:r>
        <w:r>
          <w:instrText xml:space="preserve"> PAGEREF _Toc19661 \h </w:instrText>
        </w:r>
        <w:r>
          <w:fldChar w:fldCharType="separate"/>
        </w:r>
        <w:r>
          <w:t>28</w:t>
        </w:r>
        <w:r>
          <w:fldChar w:fldCharType="end"/>
        </w:r>
      </w:hyperlink>
    </w:p>
    <w:p>
      <w:pPr>
        <w:pStyle w:val="TOC2"/>
        <w:tabs>
          <w:tab w:val="right" w:leader="dot" w:pos="8306"/>
        </w:tabs>
      </w:pPr>
      <w:hyperlink w:anchor="_Toc4620" w:history="1">
        <w:r>
          <w:rPr>
            <w:rFonts w:ascii="仿宋" w:eastAsia="仿宋" w:hAnsi="仿宋" w:cs="仿宋" w:hint="eastAsia"/>
            <w:lang w:eastAsia="zh-CN"/>
          </w:rPr>
          <w:t>(一)、创新策略与方向</w:t>
        </w:r>
        <w:r>
          <w:tab/>
        </w:r>
        <w:r>
          <w:fldChar w:fldCharType="begin"/>
        </w:r>
        <w:r>
          <w:instrText xml:space="preserve"> PAGEREF _Toc4620 \h </w:instrText>
        </w:r>
        <w:r>
          <w:fldChar w:fldCharType="separate"/>
        </w:r>
        <w:r>
          <w:t>28</w:t>
        </w:r>
        <w:r>
          <w:fldChar w:fldCharType="end"/>
        </w:r>
      </w:hyperlink>
    </w:p>
    <w:p>
      <w:pPr>
        <w:pStyle w:val="TOC2"/>
        <w:tabs>
          <w:tab w:val="right" w:leader="dot" w:pos="8306"/>
        </w:tabs>
      </w:pPr>
      <w:hyperlink w:anchor="_Toc24225" w:history="1">
        <w:r>
          <w:rPr>
            <w:rFonts w:ascii="仿宋" w:eastAsia="仿宋" w:hAnsi="仿宋" w:cs="仿宋" w:hint="eastAsia"/>
            <w:lang w:eastAsia="zh-CN"/>
          </w:rPr>
          <w:t>(二)、研发规划与投入</w:t>
        </w:r>
        <w:r>
          <w:tab/>
        </w:r>
        <w:r>
          <w:fldChar w:fldCharType="begin"/>
        </w:r>
        <w:r>
          <w:instrText xml:space="preserve"> PAGEREF _Toc24225 \h </w:instrText>
        </w:r>
        <w:r>
          <w:fldChar w:fldCharType="separate"/>
        </w:r>
        <w:r>
          <w:t>30</w:t>
        </w:r>
        <w:r>
          <w:fldChar w:fldCharType="end"/>
        </w:r>
      </w:hyperlink>
    </w:p>
    <w:p>
      <w:pPr>
        <w:pStyle w:val="TOC1"/>
        <w:tabs>
          <w:tab w:val="right" w:leader="dot" w:pos="8306"/>
        </w:tabs>
      </w:pPr>
      <w:hyperlink w:anchor="_Toc20953" w:history="1">
        <w:r>
          <w:rPr>
            <w:rFonts w:ascii="仿宋" w:eastAsia="仿宋" w:hAnsi="仿宋" w:cs="仿宋" w:hint="eastAsia"/>
            <w:lang w:eastAsia="zh-CN"/>
          </w:rPr>
          <w:t>十一、化学发光免疫诊断项目风险管理</w:t>
        </w:r>
        <w:r>
          <w:tab/>
        </w:r>
        <w:r>
          <w:fldChar w:fldCharType="begin"/>
        </w:r>
        <w:r>
          <w:instrText xml:space="preserve"> PAGEREF _Toc20953 \h </w:instrText>
        </w:r>
        <w:r>
          <w:fldChar w:fldCharType="separate"/>
        </w:r>
        <w:r>
          <w:t>32</w:t>
        </w:r>
        <w:r>
          <w:fldChar w:fldCharType="end"/>
        </w:r>
      </w:hyperlink>
    </w:p>
    <w:p>
      <w:pPr>
        <w:pStyle w:val="TOC2"/>
        <w:tabs>
          <w:tab w:val="right" w:leader="dot" w:pos="8306"/>
        </w:tabs>
      </w:pPr>
      <w:hyperlink w:anchor="_Toc9082" w:history="1">
        <w:r>
          <w:rPr>
            <w:rFonts w:ascii="仿宋" w:eastAsia="仿宋" w:hAnsi="仿宋" w:cs="仿宋" w:hint="eastAsia"/>
            <w:lang w:eastAsia="zh-CN"/>
          </w:rPr>
          <w:t>(一)、风险识别与评估</w:t>
        </w:r>
        <w:r>
          <w:tab/>
        </w:r>
        <w:r>
          <w:fldChar w:fldCharType="begin"/>
        </w:r>
        <w:r>
          <w:instrText xml:space="preserve"> PAGEREF _Toc9082 \h </w:instrText>
        </w:r>
        <w:r>
          <w:fldChar w:fldCharType="separate"/>
        </w:r>
        <w:r>
          <w:t>32</w:t>
        </w:r>
        <w:r>
          <w:fldChar w:fldCharType="end"/>
        </w:r>
      </w:hyperlink>
    </w:p>
    <w:p>
      <w:pPr>
        <w:pStyle w:val="TOC2"/>
        <w:tabs>
          <w:tab w:val="right" w:leader="dot" w:pos="8306"/>
        </w:tabs>
      </w:pPr>
      <w:hyperlink w:anchor="_Toc18987" w:history="1">
        <w:r>
          <w:rPr>
            <w:rFonts w:ascii="仿宋" w:eastAsia="仿宋" w:hAnsi="仿宋" w:cs="仿宋" w:hint="eastAsia"/>
            <w:lang w:eastAsia="zh-CN"/>
          </w:rPr>
          <w:t>(二)、风险应对策略</w:t>
        </w:r>
        <w:r>
          <w:tab/>
        </w:r>
        <w:r>
          <w:fldChar w:fldCharType="begin"/>
        </w:r>
        <w:r>
          <w:instrText xml:space="preserve"> PAGEREF _Toc18987 \h </w:instrText>
        </w:r>
        <w:r>
          <w:fldChar w:fldCharType="separate"/>
        </w:r>
        <w:r>
          <w:t>33</w:t>
        </w:r>
        <w:r>
          <w:fldChar w:fldCharType="end"/>
        </w:r>
      </w:hyperlink>
    </w:p>
    <w:p>
      <w:pPr>
        <w:pStyle w:val="TOC2"/>
        <w:tabs>
          <w:tab w:val="right" w:leader="dot" w:pos="8306"/>
        </w:tabs>
      </w:pPr>
      <w:hyperlink w:anchor="_Toc27398" w:history="1">
        <w:r>
          <w:rPr>
            <w:rFonts w:ascii="仿宋" w:eastAsia="仿宋" w:hAnsi="仿宋" w:cs="仿宋" w:hint="eastAsia"/>
            <w:lang w:eastAsia="zh-CN"/>
          </w:rPr>
          <w:t>(三)、风险监控与控制</w:t>
        </w:r>
        <w:r>
          <w:tab/>
        </w:r>
        <w:r>
          <w:fldChar w:fldCharType="begin"/>
        </w:r>
        <w:r>
          <w:instrText xml:space="preserve"> PAGEREF _Toc27398 \h </w:instrText>
        </w:r>
        <w:r>
          <w:fldChar w:fldCharType="separate"/>
        </w:r>
        <w:r>
          <w:t>35</w:t>
        </w:r>
        <w:r>
          <w:fldChar w:fldCharType="end"/>
        </w:r>
      </w:hyperlink>
    </w:p>
    <w:p>
      <w:pPr>
        <w:pStyle w:val="TOC1"/>
        <w:tabs>
          <w:tab w:val="right" w:leader="dot" w:pos="8306"/>
        </w:tabs>
      </w:pPr>
      <w:hyperlink w:anchor="_Toc21150" w:history="1">
        <w:r>
          <w:rPr>
            <w:rFonts w:ascii="仿宋" w:eastAsia="仿宋" w:hAnsi="仿宋" w:cs="仿宋" w:hint="eastAsia"/>
            <w:lang w:eastAsia="zh-CN"/>
          </w:rPr>
          <w:t>十二、化学发光免疫诊断项目计划安排</w:t>
        </w:r>
        <w:r>
          <w:tab/>
        </w:r>
        <w:r>
          <w:fldChar w:fldCharType="begin"/>
        </w:r>
        <w:r>
          <w:instrText xml:space="preserve"> PAGEREF _Toc21150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31" w:history="1">
        <w:r>
          <w:rPr>
            <w:rFonts w:ascii="仿宋" w:eastAsia="仿宋" w:hAnsi="仿宋" w:cs="仿宋" w:hint="eastAsia"/>
            <w:lang w:eastAsia="zh-CN"/>
          </w:rPr>
          <w:t>(一)、建设周期</w:t>
        </w:r>
        <w:r>
          <w:tab/>
        </w:r>
        <w:r>
          <w:fldChar w:fldCharType="begin"/>
        </w:r>
        <w:r>
          <w:instrText xml:space="preserve"> PAGEREF _Toc25231 \h </w:instrText>
        </w:r>
        <w:r>
          <w:fldChar w:fldCharType="separate"/>
        </w:r>
        <w:r>
          <w:t>36</w:t>
        </w:r>
        <w:r>
          <w:fldChar w:fldCharType="end"/>
        </w:r>
      </w:hyperlink>
    </w:p>
    <w:p>
      <w:pPr>
        <w:pStyle w:val="TOC2"/>
        <w:tabs>
          <w:tab w:val="right" w:leader="dot" w:pos="8306"/>
        </w:tabs>
      </w:pPr>
      <w:hyperlink w:anchor="_Toc12033" w:history="1">
        <w:r>
          <w:rPr>
            <w:rFonts w:ascii="仿宋" w:eastAsia="仿宋" w:hAnsi="仿宋" w:cs="仿宋" w:hint="eastAsia"/>
            <w:lang w:eastAsia="zh-CN"/>
          </w:rPr>
          <w:t>(二)、建设进度</w:t>
        </w:r>
        <w:r>
          <w:tab/>
        </w:r>
        <w:r>
          <w:fldChar w:fldCharType="begin"/>
        </w:r>
        <w:r>
          <w:instrText xml:space="preserve"> PAGEREF _Toc12033 \h </w:instrText>
        </w:r>
        <w:r>
          <w:fldChar w:fldCharType="separate"/>
        </w:r>
        <w:r>
          <w:t>37</w:t>
        </w:r>
        <w:r>
          <w:fldChar w:fldCharType="end"/>
        </w:r>
      </w:hyperlink>
    </w:p>
    <w:p>
      <w:pPr>
        <w:pStyle w:val="TOC2"/>
        <w:tabs>
          <w:tab w:val="right" w:leader="dot" w:pos="8306"/>
        </w:tabs>
      </w:pPr>
      <w:hyperlink w:anchor="_Toc9102" w:history="1">
        <w:r>
          <w:rPr>
            <w:rFonts w:ascii="仿宋" w:eastAsia="仿宋" w:hAnsi="仿宋" w:cs="仿宋" w:hint="eastAsia"/>
            <w:lang w:eastAsia="zh-CN"/>
          </w:rPr>
          <w:t>(三)、进度安排注意事项</w:t>
        </w:r>
        <w:r>
          <w:tab/>
        </w:r>
        <w:r>
          <w:fldChar w:fldCharType="begin"/>
        </w:r>
        <w:r>
          <w:instrText xml:space="preserve"> PAGEREF _Toc9102 \h </w:instrText>
        </w:r>
        <w:r>
          <w:fldChar w:fldCharType="separate"/>
        </w:r>
        <w:r>
          <w:t>38</w:t>
        </w:r>
        <w:r>
          <w:fldChar w:fldCharType="end"/>
        </w:r>
      </w:hyperlink>
    </w:p>
    <w:p>
      <w:pPr>
        <w:pStyle w:val="TOC2"/>
        <w:tabs>
          <w:tab w:val="right" w:leader="dot" w:pos="8306"/>
        </w:tabs>
      </w:pPr>
      <w:hyperlink w:anchor="_Toc3114" w:history="1">
        <w:r>
          <w:rPr>
            <w:rFonts w:ascii="仿宋" w:eastAsia="仿宋" w:hAnsi="仿宋" w:cs="仿宋" w:hint="eastAsia"/>
            <w:lang w:eastAsia="zh-CN"/>
          </w:rPr>
          <w:t>(四)、人力资源配置</w:t>
        </w:r>
        <w:r>
          <w:tab/>
        </w:r>
        <w:r>
          <w:fldChar w:fldCharType="begin"/>
        </w:r>
        <w:r>
          <w:instrText xml:space="preserve"> PAGEREF _Toc3114 \h </w:instrText>
        </w:r>
        <w:r>
          <w:fldChar w:fldCharType="separate"/>
        </w:r>
        <w:r>
          <w:t>39</w:t>
        </w:r>
        <w:r>
          <w:fldChar w:fldCharType="end"/>
        </w:r>
      </w:hyperlink>
    </w:p>
    <w:p>
      <w:pPr>
        <w:pStyle w:val="TOC1"/>
        <w:tabs>
          <w:tab w:val="right" w:leader="dot" w:pos="8306"/>
        </w:tabs>
      </w:pPr>
      <w:hyperlink w:anchor="_Toc17341" w:history="1">
        <w:r>
          <w:rPr>
            <w:rFonts w:ascii="仿宋" w:eastAsia="仿宋" w:hAnsi="仿宋" w:cs="仿宋" w:hint="eastAsia"/>
            <w:lang w:eastAsia="zh-CN"/>
          </w:rPr>
          <w:t>十三、供应链管理</w:t>
        </w:r>
        <w:r>
          <w:tab/>
        </w:r>
        <w:r>
          <w:fldChar w:fldCharType="begin"/>
        </w:r>
        <w:r>
          <w:instrText xml:space="preserve"> PAGEREF _Toc17341 \h </w:instrText>
        </w:r>
        <w:r>
          <w:fldChar w:fldCharType="separate"/>
        </w:r>
        <w:r>
          <w:t>40</w:t>
        </w:r>
        <w:r>
          <w:fldChar w:fldCharType="end"/>
        </w:r>
      </w:hyperlink>
    </w:p>
    <w:p>
      <w:pPr>
        <w:pStyle w:val="TOC2"/>
        <w:tabs>
          <w:tab w:val="right" w:leader="dot" w:pos="8306"/>
        </w:tabs>
      </w:pPr>
      <w:hyperlink w:anchor="_Toc15424" w:history="1">
        <w:r>
          <w:rPr>
            <w:rFonts w:ascii="仿宋" w:eastAsia="仿宋" w:hAnsi="仿宋" w:cs="仿宋" w:hint="eastAsia"/>
            <w:lang w:eastAsia="zh-CN"/>
          </w:rPr>
          <w:t>(一)、供应链战略规划</w:t>
        </w:r>
        <w:r>
          <w:tab/>
        </w:r>
        <w:r>
          <w:fldChar w:fldCharType="begin"/>
        </w:r>
        <w:r>
          <w:instrText xml:space="preserve"> PAGEREF _Toc15424 \h </w:instrText>
        </w:r>
        <w:r>
          <w:fldChar w:fldCharType="separate"/>
        </w:r>
        <w:r>
          <w:t>40</w:t>
        </w:r>
        <w:r>
          <w:fldChar w:fldCharType="end"/>
        </w:r>
      </w:hyperlink>
    </w:p>
    <w:p>
      <w:pPr>
        <w:pStyle w:val="TOC2"/>
        <w:tabs>
          <w:tab w:val="right" w:leader="dot" w:pos="8306"/>
        </w:tabs>
      </w:pPr>
      <w:hyperlink w:anchor="_Toc23214" w:history="1">
        <w:r>
          <w:rPr>
            <w:rFonts w:ascii="仿宋" w:eastAsia="仿宋" w:hAnsi="仿宋" w:cs="仿宋" w:hint="eastAsia"/>
            <w:lang w:eastAsia="zh-CN"/>
          </w:rPr>
          <w:t>(二)、供应商选择与合作</w:t>
        </w:r>
        <w:r>
          <w:tab/>
        </w:r>
        <w:r>
          <w:fldChar w:fldCharType="begin"/>
        </w:r>
        <w:r>
          <w:instrText xml:space="preserve"> PAGEREF _Toc23214 \h </w:instrText>
        </w:r>
        <w:r>
          <w:fldChar w:fldCharType="separate"/>
        </w:r>
        <w:r>
          <w:t>42</w:t>
        </w:r>
        <w:r>
          <w:fldChar w:fldCharType="end"/>
        </w:r>
      </w:hyperlink>
    </w:p>
    <w:p>
      <w:pPr>
        <w:pStyle w:val="TOC2"/>
        <w:tabs>
          <w:tab w:val="right" w:leader="dot" w:pos="8306"/>
        </w:tabs>
      </w:pPr>
      <w:hyperlink w:anchor="_Toc30321" w:history="1">
        <w:r>
          <w:rPr>
            <w:rFonts w:ascii="仿宋" w:eastAsia="仿宋" w:hAnsi="仿宋" w:cs="仿宋" w:hint="eastAsia"/>
            <w:lang w:eastAsia="zh-CN"/>
          </w:rPr>
          <w:t>(三)、物流与库存管理</w:t>
        </w:r>
        <w:r>
          <w:tab/>
        </w:r>
        <w:r>
          <w:fldChar w:fldCharType="begin"/>
        </w:r>
        <w:r>
          <w:instrText xml:space="preserve"> PAGEREF _Toc30321 \h </w:instrText>
        </w:r>
        <w:r>
          <w:fldChar w:fldCharType="separate"/>
        </w:r>
        <w:r>
          <w:t>43</w:t>
        </w:r>
        <w:r>
          <w:fldChar w:fldCharType="end"/>
        </w:r>
      </w:hyperlink>
    </w:p>
    <w:p>
      <w:pPr>
        <w:pStyle w:val="TOC1"/>
        <w:tabs>
          <w:tab w:val="right" w:leader="dot" w:pos="8306"/>
        </w:tabs>
      </w:pPr>
      <w:hyperlink w:anchor="_Toc20790" w:history="1">
        <w:r>
          <w:rPr>
            <w:rFonts w:ascii="仿宋" w:eastAsia="仿宋" w:hAnsi="仿宋" w:cs="仿宋" w:hint="eastAsia"/>
            <w:lang w:eastAsia="zh-CN"/>
          </w:rPr>
          <w:t>十四、化学发光免疫诊断项目变更管理</w:t>
        </w:r>
        <w:r>
          <w:tab/>
        </w:r>
        <w:r>
          <w:fldChar w:fldCharType="begin"/>
        </w:r>
        <w:r>
          <w:instrText xml:space="preserve"> PAGEREF _Toc20790 \h </w:instrText>
        </w:r>
        <w:r>
          <w:fldChar w:fldCharType="separate"/>
        </w:r>
        <w:r>
          <w:t>44</w:t>
        </w:r>
        <w:r>
          <w:fldChar w:fldCharType="end"/>
        </w:r>
      </w:hyperlink>
    </w:p>
    <w:p>
      <w:pPr>
        <w:pStyle w:val="TOC2"/>
        <w:tabs>
          <w:tab w:val="right" w:leader="dot" w:pos="8306"/>
        </w:tabs>
      </w:pPr>
      <w:hyperlink w:anchor="_Toc15657" w:history="1">
        <w:r>
          <w:rPr>
            <w:rFonts w:ascii="仿宋" w:eastAsia="仿宋" w:hAnsi="仿宋" w:cs="仿宋" w:hint="eastAsia"/>
            <w:lang w:eastAsia="zh-CN"/>
          </w:rPr>
          <w:t>(一)、变更申请与评估</w:t>
        </w:r>
        <w:r>
          <w:tab/>
        </w:r>
        <w:r>
          <w:fldChar w:fldCharType="begin"/>
        </w:r>
        <w:r>
          <w:instrText xml:space="preserve"> PAGEREF _Toc15657 \h </w:instrText>
        </w:r>
        <w:r>
          <w:fldChar w:fldCharType="separate"/>
        </w:r>
        <w:r>
          <w:t>44</w:t>
        </w:r>
        <w:r>
          <w:fldChar w:fldCharType="end"/>
        </w:r>
      </w:hyperlink>
    </w:p>
    <w:p>
      <w:pPr>
        <w:pStyle w:val="TOC2"/>
        <w:tabs>
          <w:tab w:val="right" w:leader="dot" w:pos="8306"/>
        </w:tabs>
      </w:pPr>
      <w:hyperlink w:anchor="_Toc12598" w:history="1">
        <w:r>
          <w:rPr>
            <w:rFonts w:ascii="仿宋" w:eastAsia="仿宋" w:hAnsi="仿宋" w:cs="仿宋" w:hint="eastAsia"/>
            <w:lang w:eastAsia="zh-CN"/>
          </w:rPr>
          <w:t>(二)、变更实施与控制</w:t>
        </w:r>
        <w:r>
          <w:tab/>
        </w:r>
        <w:r>
          <w:fldChar w:fldCharType="begin"/>
        </w:r>
        <w:r>
          <w:instrText xml:space="preserve"> PAGEREF _Toc12598 \h </w:instrText>
        </w:r>
        <w:r>
          <w:fldChar w:fldCharType="separate"/>
        </w:r>
        <w:r>
          <w:t>45</w:t>
        </w:r>
        <w:r>
          <w:fldChar w:fldCharType="end"/>
        </w:r>
      </w:hyperlink>
    </w:p>
    <w:p>
      <w:pPr>
        <w:pStyle w:val="TOC1"/>
        <w:tabs>
          <w:tab w:val="right" w:leader="dot" w:pos="8306"/>
        </w:tabs>
      </w:pPr>
      <w:hyperlink w:anchor="_Toc26446" w:history="1">
        <w:r>
          <w:rPr>
            <w:rFonts w:ascii="仿宋" w:eastAsia="仿宋" w:hAnsi="仿宋" w:cs="仿宋" w:hint="eastAsia"/>
            <w:lang w:eastAsia="zh-CN"/>
          </w:rPr>
          <w:t>十五、化学发光免疫诊断项目工程方案分析</w:t>
        </w:r>
        <w:r>
          <w:tab/>
        </w:r>
        <w:r>
          <w:fldChar w:fldCharType="begin"/>
        </w:r>
        <w:r>
          <w:instrText xml:space="preserve"> PAGEREF _Toc26446 \h </w:instrText>
        </w:r>
        <w:r>
          <w:fldChar w:fldCharType="separate"/>
        </w:r>
        <w:r>
          <w:t>45</w:t>
        </w:r>
        <w:r>
          <w:fldChar w:fldCharType="end"/>
        </w:r>
      </w:hyperlink>
    </w:p>
    <w:p>
      <w:pPr>
        <w:pStyle w:val="TOC2"/>
        <w:tabs>
          <w:tab w:val="right" w:leader="dot" w:pos="8306"/>
        </w:tabs>
      </w:pPr>
      <w:hyperlink w:anchor="_Toc8315" w:history="1">
        <w:r>
          <w:rPr>
            <w:rFonts w:ascii="仿宋" w:eastAsia="仿宋" w:hAnsi="仿宋" w:cs="仿宋" w:hint="eastAsia"/>
            <w:lang w:eastAsia="zh-CN"/>
          </w:rPr>
          <w:t>(一)、建筑工程设计原则</w:t>
        </w:r>
        <w:r>
          <w:tab/>
        </w:r>
        <w:r>
          <w:fldChar w:fldCharType="begin"/>
        </w:r>
        <w:r>
          <w:instrText xml:space="preserve"> PAGEREF _Toc8315 \h </w:instrText>
        </w:r>
        <w:r>
          <w:fldChar w:fldCharType="separate"/>
        </w:r>
        <w:r>
          <w:t>45</w:t>
        </w:r>
        <w:r>
          <w:fldChar w:fldCharType="end"/>
        </w:r>
      </w:hyperlink>
    </w:p>
    <w:p>
      <w:pPr>
        <w:pStyle w:val="TOC2"/>
        <w:tabs>
          <w:tab w:val="right" w:leader="dot" w:pos="8306"/>
        </w:tabs>
      </w:pPr>
      <w:hyperlink w:anchor="_Toc27658" w:history="1">
        <w:r>
          <w:rPr>
            <w:rFonts w:ascii="仿宋" w:eastAsia="仿宋" w:hAnsi="仿宋" w:cs="仿宋" w:hint="eastAsia"/>
            <w:lang w:eastAsia="zh-CN"/>
          </w:rPr>
          <w:t>(二)、土建工程建设指标</w:t>
        </w:r>
        <w:r>
          <w:tab/>
        </w:r>
        <w:r>
          <w:fldChar w:fldCharType="begin"/>
        </w:r>
        <w:r>
          <w:instrText xml:space="preserve"> PAGEREF _Toc27658 \h </w:instrText>
        </w:r>
        <w:r>
          <w:fldChar w:fldCharType="separate"/>
        </w:r>
        <w:r>
          <w:t>49</w:t>
        </w:r>
        <w:r>
          <w:fldChar w:fldCharType="end"/>
        </w:r>
      </w:hyperlink>
    </w:p>
    <w:p>
      <w:pPr>
        <w:pStyle w:val="TOC1"/>
        <w:tabs>
          <w:tab w:val="right" w:leader="dot" w:pos="8306"/>
        </w:tabs>
      </w:pPr>
      <w:hyperlink w:anchor="_Toc18380" w:history="1">
        <w:r>
          <w:rPr>
            <w:rFonts w:ascii="仿宋" w:eastAsia="仿宋" w:hAnsi="仿宋" w:cs="仿宋" w:hint="eastAsia"/>
            <w:lang w:eastAsia="zh-CN"/>
          </w:rPr>
          <w:t>十六、营销与推广策略</w:t>
        </w:r>
        <w:r>
          <w:tab/>
        </w:r>
        <w:r>
          <w:fldChar w:fldCharType="begin"/>
        </w:r>
        <w:r>
          <w:instrText xml:space="preserve"> PAGEREF _Toc18380 \h </w:instrText>
        </w:r>
        <w:r>
          <w:fldChar w:fldCharType="separate"/>
        </w:r>
        <w:r>
          <w:t>50</w:t>
        </w:r>
        <w:r>
          <w:fldChar w:fldCharType="end"/>
        </w:r>
      </w:hyperlink>
    </w:p>
    <w:p>
      <w:pPr>
        <w:pStyle w:val="TOC2"/>
        <w:tabs>
          <w:tab w:val="right" w:leader="dot" w:pos="8306"/>
        </w:tabs>
      </w:pPr>
      <w:hyperlink w:anchor="_Toc20005" w:history="1">
        <w:r>
          <w:rPr>
            <w:rFonts w:ascii="仿宋" w:eastAsia="仿宋" w:hAnsi="仿宋" w:cs="仿宋" w:hint="eastAsia"/>
            <w:lang w:eastAsia="zh-CN"/>
          </w:rPr>
          <w:t>(一)、产品/服务定位与特点</w:t>
        </w:r>
        <w:r>
          <w:tab/>
        </w:r>
        <w:r>
          <w:fldChar w:fldCharType="begin"/>
        </w:r>
        <w:r>
          <w:instrText xml:space="preserve"> PAGEREF _Toc20005 \h </w:instrText>
        </w:r>
        <w:r>
          <w:fldChar w:fldCharType="separate"/>
        </w:r>
        <w:r>
          <w:t>50</w:t>
        </w:r>
        <w:r>
          <w:fldChar w:fldCharType="end"/>
        </w:r>
      </w:hyperlink>
    </w:p>
    <w:p>
      <w:pPr>
        <w:pStyle w:val="TOC2"/>
        <w:tabs>
          <w:tab w:val="right" w:leader="dot" w:pos="8306"/>
        </w:tabs>
      </w:pPr>
      <w:hyperlink w:anchor="_Toc12142" w:history="1">
        <w:r>
          <w:rPr>
            <w:rFonts w:ascii="仿宋" w:eastAsia="仿宋" w:hAnsi="仿宋" w:cs="仿宋" w:hint="eastAsia"/>
            <w:lang w:eastAsia="zh-CN"/>
          </w:rPr>
          <w:t>(二)、市场定位与竞争分析</w:t>
        </w:r>
        <w:r>
          <w:tab/>
        </w:r>
        <w:r>
          <w:fldChar w:fldCharType="begin"/>
        </w:r>
        <w:r>
          <w:instrText xml:space="preserve"> PAGEREF _Toc12142 \h </w:instrText>
        </w:r>
        <w:r>
          <w:fldChar w:fldCharType="separate"/>
        </w:r>
        <w:r>
          <w:t>52</w:t>
        </w:r>
        <w:r>
          <w:fldChar w:fldCharType="end"/>
        </w:r>
      </w:hyperlink>
    </w:p>
    <w:p>
      <w:pPr>
        <w:pStyle w:val="TOC2"/>
        <w:tabs>
          <w:tab w:val="right" w:leader="dot" w:pos="8306"/>
        </w:tabs>
      </w:pPr>
      <w:hyperlink w:anchor="_Toc11013" w:history="1">
        <w:r>
          <w:rPr>
            <w:rFonts w:ascii="仿宋" w:eastAsia="仿宋" w:hAnsi="仿宋" w:cs="仿宋" w:hint="eastAsia"/>
            <w:lang w:eastAsia="zh-CN"/>
          </w:rPr>
          <w:t>(三)、营销渠道与策略</w:t>
        </w:r>
        <w:r>
          <w:tab/>
        </w:r>
        <w:r>
          <w:fldChar w:fldCharType="begin"/>
        </w:r>
        <w:r>
          <w:instrText xml:space="preserve"> PAGEREF _Toc11013 \h </w:instrText>
        </w:r>
        <w:r>
          <w:fldChar w:fldCharType="separate"/>
        </w:r>
        <w:r>
          <w:t>53</w:t>
        </w:r>
        <w:r>
          <w:fldChar w:fldCharType="end"/>
        </w:r>
      </w:hyperlink>
    </w:p>
    <w:p>
      <w:pPr>
        <w:pStyle w:val="TOC2"/>
        <w:tabs>
          <w:tab w:val="right" w:leader="dot" w:pos="8306"/>
        </w:tabs>
      </w:pPr>
      <w:hyperlink w:anchor="_Toc9369" w:history="1">
        <w:r>
          <w:rPr>
            <w:rFonts w:ascii="仿宋" w:eastAsia="仿宋" w:hAnsi="仿宋" w:cs="仿宋" w:hint="eastAsia"/>
            <w:lang w:eastAsia="zh-CN"/>
          </w:rPr>
          <w:t>(四)、推广与宣传活动</w:t>
        </w:r>
        <w:r>
          <w:tab/>
        </w:r>
        <w:r>
          <w:fldChar w:fldCharType="begin"/>
        </w:r>
        <w:r>
          <w:instrText xml:space="preserve"> PAGEREF _Toc9369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56"/>
      <w:r>
        <w:rPr>
          <w:rFonts w:ascii="仿宋" w:eastAsia="仿宋" w:hAnsi="仿宋" w:cs="仿宋" w:hint="eastAsia"/>
          <w:sz w:val="28"/>
          <w:lang w:eastAsia="zh-CN"/>
        </w:rPr>
        <w:t>一、化学发光免疫诊断项目建设单位说明</w:t>
      </w:r>
      <w:bookmarkEnd w:id="2"/>
    </w:p>
    <w:p>
      <w:pPr>
        <w:pStyle w:val="Heading2"/>
        <w:rPr>
          <w:rFonts w:ascii="仿宋" w:eastAsia="仿宋" w:hAnsi="仿宋" w:cs="仿宋" w:hint="eastAsia"/>
          <w:lang w:eastAsia="zh-CN"/>
        </w:rPr>
      </w:pPr>
      <w:bookmarkStart w:id="3" w:name="_Toc2126"/>
      <w:r>
        <w:rPr>
          <w:rFonts w:ascii="仿宋" w:eastAsia="仿宋" w:hAnsi="仿宋" w:cs="仿宋" w:hint="eastAsia"/>
          <w:lang w:eastAsia="zh-CN"/>
        </w:rPr>
        <w:t>(一)、化学发光免疫诊断项目承办单位基本情况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14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发光免疫诊断项目承办单位的XXXX，我们着眼于实现可持续的经济效益。通过技术创新和解决方案的提供，公司预计在化学发光免疫诊断项目执行期间将获得可观的收入增长。这一收入来源主要包括化学发光免疫诊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同时，我们注重成本控制和效率提升，以确保化学发光免疫诊断项目的可持续盈利。透过精细的管理和资源优化，公司期望实现化学发光免疫诊断项目利润最大化。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学发光免疫诊断项目实施进行全面的投资评估，包括化学发光免疫诊断项目启动阶段的资金投入和后续运营成本。通过对化学发光免疫诊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化学发光免疫诊断项目实施过程中具备足够的资金流动性，公司将进行详尽的现金流分析。这包括资金需求的合理预测、化学发光免疫诊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67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255"/>
      <w:r>
        <w:rPr>
          <w:rFonts w:ascii="仿宋" w:eastAsia="仿宋" w:hAnsi="仿宋" w:cs="仿宋" w:hint="eastAsia"/>
          <w:lang w:eastAsia="zh-CN"/>
        </w:rPr>
        <w:t>(一)、化学发光免疫诊断行业分析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化学发光免疫诊断行业一直以来都是市场的关注焦点。行业内的发展趋势、竞争态势以及潜在机会都对化学发光免疫诊断项目的推进产生深远的影响。通过深入研究行业的整体概貌，我们将更好地理解行业的核心特征，为化学发光免疫诊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发光免疫诊断行业，技术一直是推动创新和发展的关键因素。我们将对当前技术趋势进行详尽分析，包括但不限于人工智能、大数据应用、先进制造技术等。这有助于化学发光免疫诊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学发光免疫诊断项目成功的基础。我们将对主要竞争对手进行深入研究，包括其市场份额、产品特点、市场定位等。通过全面了解竞争对手的优势和劣势，化学发光免疫诊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678"/>
      <w:r>
        <w:rPr>
          <w:rFonts w:ascii="仿宋" w:eastAsia="仿宋" w:hAnsi="仿宋" w:cs="仿宋" w:hint="eastAsia"/>
          <w:sz w:val="28"/>
          <w:lang w:eastAsia="zh-CN"/>
        </w:rPr>
        <w:t>(二)、化学发光免疫诊断市场分析预测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学发光免疫诊断市场未来的增长趋势。这包括市场的整体规模、各细分领域的发展趋势等。化学发光免疫诊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学发光免疫诊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学发光免疫诊断项目实施过程中需要充分考虑的因素。我们将对市场风险进行全面评估，包括但不限于政策法规风险、市场竞争风险、技术变革风险等。通过对潜在风险的深入分析，化学发光免疫诊断项目可以制定相应的风险缓解策略，降低不确定性对化学发光免疫诊断项目的影响。</w:t>
      </w:r>
    </w:p>
    <w:p>
      <w:pPr>
        <w:pStyle w:val="Heading1"/>
        <w:ind w:firstLine="560" w:firstLineChars="200"/>
        <w:rPr>
          <w:rFonts w:ascii="仿宋" w:eastAsia="仿宋" w:hAnsi="仿宋" w:cs="仿宋" w:hint="eastAsia"/>
          <w:sz w:val="28"/>
          <w:lang w:eastAsia="zh-CN"/>
        </w:rPr>
      </w:pPr>
      <w:bookmarkStart w:id="8" w:name="_Toc7888"/>
      <w:r>
        <w:rPr>
          <w:rFonts w:ascii="仿宋" w:eastAsia="仿宋" w:hAnsi="仿宋" w:cs="仿宋" w:hint="eastAsia"/>
          <w:sz w:val="28"/>
          <w:lang w:eastAsia="zh-CN"/>
        </w:rPr>
        <w:t>三、化学发光免疫诊断项目绩效评估</w:t>
      </w:r>
      <w:bookmarkEnd w:id="8"/>
    </w:p>
    <w:p>
      <w:pPr>
        <w:pStyle w:val="Heading2"/>
        <w:rPr>
          <w:rFonts w:ascii="仿宋" w:eastAsia="仿宋" w:hAnsi="仿宋" w:cs="仿宋" w:hint="eastAsia"/>
          <w:lang w:eastAsia="zh-CN"/>
        </w:rPr>
      </w:pPr>
      <w:bookmarkStart w:id="9" w:name="_Toc1350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发光免疫诊断项目中，我们设计了一套全面的绩效评估指标，以确保化学发光免疫诊断项目的可控和成功交付。这些指标跨足化学发光免疫诊断项目目标、成本、进度和质量等多个维度，为我们提供了全面洞察化学发光免疫诊断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发光免疫诊断项目目标达成率是我们关注的首要指标。我们设定了明确的目标，并通过定期监测和评估，迅速发现并应对潜在的目标偏差。这为化学发光免疫诊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成本绩效是另一个核心关注点。通过实际成本与预算成本的对比分析，我们深入了解成本差异的原因，及时调整资源分配，保持化学发光免疫诊断项目在经济效益方面的合理水平。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发光免疫诊断项目进度作为关键的绩效指标之一，得到了精心的关注。我们制定了详细的化学发光免疫诊断项目进度计划，并设立了进度符合度指标，确保实际进度与计划进度保持一致。这使我们能够快速发现和解决潜在的进度问题，保持化学发光免疫诊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发光免疫诊断项目绩效的不可或缺的一环。我们引入了一系列的质量标准和客户满意度指标，以确保化学发光免疫诊断项目交付的成果在质量上达到或超越预期水平。通过持续监测这些指标，我们努力提升化学发光免疫诊断项目整体质量水平，为化学发光免疫诊断项目的成功交付提供有力保障。通过这些科学且全面的绩效评估，我们能够更好地引导化学发光免疫诊断项目的持续改进，确保化学发光免疫诊断项目目标的顺利达成。</w:t>
      </w:r>
    </w:p>
    <w:p>
      <w:pPr>
        <w:pStyle w:val="Heading2"/>
        <w:ind w:firstLine="560" w:firstLineChars="200"/>
        <w:rPr>
          <w:rFonts w:ascii="仿宋" w:eastAsia="仿宋" w:hAnsi="仿宋" w:cs="仿宋" w:hint="eastAsia"/>
          <w:sz w:val="28"/>
          <w:lang w:eastAsia="zh-CN"/>
        </w:rPr>
      </w:pPr>
      <w:bookmarkStart w:id="10" w:name="_Toc658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绩效评估是化学发光免疫诊断项目中的关键环节，为确保化学发光免疫诊断项目达到预期目标，我们采用了多层次、多维度的绩效评估方法。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发光免疫诊断项目的战略目标对齐，确保每个决策和行动都与化学发光免疫诊断项目整体目标保持一致。团队会定期召开战略对齐会议，审视当前工作与化学发光免疫诊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发光免疫诊断项目进度、质量、成本和风险等方面。这些指标通过数据收集和分析，为化学发光免疫诊断项目管理团队提供了客观的评估依据。例如，我们通过化学发光免疫诊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发光免疫诊断项目内部，还考虑了化学发光免疫诊断项目对外部环境的影响。我们定期进行干系人满意度调查，以了解各利益相关方对化学发光免疫诊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这种多层次、多角度的绩效评估方法，使得我们能够全面了解化学发光免疫诊断项目的运行状态，及时做出调整，确保化学发光免疫诊断项目在不断变化的环境中保持稳健前行。</w:t>
      </w:r>
    </w:p>
    <w:p>
      <w:pPr>
        <w:pStyle w:val="Heading2"/>
        <w:ind w:firstLine="560" w:firstLineChars="200"/>
        <w:rPr>
          <w:rFonts w:ascii="仿宋" w:eastAsia="仿宋" w:hAnsi="仿宋" w:cs="仿宋" w:hint="eastAsia"/>
          <w:sz w:val="28"/>
          <w:lang w:eastAsia="zh-CN"/>
        </w:rPr>
      </w:pPr>
      <w:bookmarkStart w:id="11" w:name="_Toc2839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为了确保化学发光免疫诊断项目的有效管理和不断优化，我们采用了精心设计的绩效评估周期。这个周期旨在实现灵活、实时和全面的评估，以适应化学发光免疫诊断项目执行中的各种挑战。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发光免疫诊断项目的不同需求，分为短期、中期和长期。短期评估关注每个迭代或工作周期，以及时发现和解决当前任务中的问题。中期评估涵盖几个迭代，深入了解整体化学发光免疫诊断项目的趋势和性能。长期评估则着眼于整个化学发光免疫诊断项目阶段，确保化学发光免疫诊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发光免疫诊断项目管理工具和协作平台，团队成员能够随时更新和分享化学发光免疫诊断项目数据。这种实时性的反馈机制使我们能够及时察觉潜在问题，快速调整，保持化学发光免疫诊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化学发光免疫诊断项目的决策制定密不可分。每个周期的化学发光免疫诊断项目回顾会议成为集体总结经验、识别问题深层次原因并找到创新解决方案的平台。这种定期的反思与调整机制使化学发光免疫诊断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747"/>
      <w:r>
        <w:rPr>
          <w:rFonts w:ascii="仿宋" w:eastAsia="仿宋" w:hAnsi="仿宋" w:cs="仿宋" w:hint="eastAsia"/>
          <w:sz w:val="28"/>
          <w:lang w:eastAsia="zh-CN"/>
        </w:rPr>
        <w:t>四、化学发光免疫诊断项目土建工程</w:t>
      </w:r>
      <w:bookmarkEnd w:id="12"/>
    </w:p>
    <w:p>
      <w:pPr>
        <w:pStyle w:val="Heading2"/>
        <w:rPr>
          <w:rFonts w:ascii="仿宋" w:eastAsia="仿宋" w:hAnsi="仿宋" w:cs="仿宋" w:hint="eastAsia"/>
          <w:lang w:eastAsia="zh-CN"/>
        </w:rPr>
      </w:pPr>
      <w:bookmarkStart w:id="13" w:name="_Toc1400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在化学发光免疫诊断项目的建筑工程设计中，我们将秉承一系列重要的设计原则，以确保化学发光免疫诊断项目建筑在功能、美观、可持续性等方面达到最佳效果。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首要原则是确保建筑的功能性得到最大化的发挥。我们将充分理解化学发光免疫诊断项目的实际需求，合理布局各个功能区域，保证建筑在满足业务需求的同时，提供高效的工作环境。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在建筑设计中，我们将综合考虑建设和运营成本。通过精细的经济效益分析，确保设计方案在高效利用资源的同时，对化学发光免疫诊断项目的长期盈利能力有积极的贡献。</w:t>
      </w:r>
    </w:p>
    <w:p>
      <w:pPr>
        <w:pStyle w:val="Heading2"/>
        <w:ind w:firstLine="560" w:firstLineChars="200"/>
        <w:rPr>
          <w:rFonts w:ascii="仿宋" w:eastAsia="仿宋" w:hAnsi="仿宋" w:cs="仿宋" w:hint="eastAsia"/>
          <w:sz w:val="28"/>
          <w:lang w:eastAsia="zh-CN"/>
        </w:rPr>
      </w:pPr>
      <w:bookmarkStart w:id="14" w:name="_Toc1329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发光免疫诊断项目的土建工程设计中，我们将精准设定设计年限，结合化学发光免疫诊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发光免疫诊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24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发光免疫诊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发光免疫诊断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发光免疫诊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58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本期工程化学发光免疫诊断项目预计总建筑面积XXX平方米，其中：计容建筑面积XXX平方米，计划建筑工程投资XX万元，占化学发光免疫诊断项目总投资的XX%。</w:t>
      </w:r>
    </w:p>
    <w:p>
      <w:pPr>
        <w:pStyle w:val="Heading1"/>
        <w:ind w:firstLine="560" w:firstLineChars="200"/>
        <w:rPr>
          <w:rFonts w:ascii="仿宋" w:eastAsia="仿宋" w:hAnsi="仿宋" w:cs="仿宋" w:hint="eastAsia"/>
          <w:sz w:val="28"/>
          <w:lang w:eastAsia="zh-CN"/>
        </w:rPr>
      </w:pPr>
      <w:bookmarkStart w:id="17" w:name="_Toc3978"/>
      <w:r>
        <w:rPr>
          <w:rFonts w:ascii="仿宋" w:eastAsia="仿宋" w:hAnsi="仿宋" w:cs="仿宋" w:hint="eastAsia"/>
          <w:sz w:val="28"/>
          <w:lang w:eastAsia="zh-CN"/>
        </w:rPr>
        <w:t>五、化学发光免疫诊断项目危机管理</w:t>
      </w:r>
      <w:bookmarkEnd w:id="17"/>
    </w:p>
    <w:p>
      <w:pPr>
        <w:pStyle w:val="Heading2"/>
        <w:rPr>
          <w:rFonts w:ascii="仿宋" w:eastAsia="仿宋" w:hAnsi="仿宋" w:cs="仿宋" w:hint="eastAsia"/>
          <w:lang w:eastAsia="zh-CN"/>
        </w:rPr>
      </w:pPr>
      <w:bookmarkStart w:id="18" w:name="_Toc1731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发光免疫诊断项目危机管理中，危机预警与识别是确保化学发光免疫诊断项目稳健运行的核心步骤。通过建立全面的监测机制，化学发光免疫诊断项目团队旨在及时发现和理解潜在的风险和危机因素，以便采取及时的预防和应对措施，确保化学发光免疫诊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发光免疫诊断项目团队全面分析了整个化学发光免疫诊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化学发光免疫诊断项目团队着重于明确定义化学发光免疫诊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发光免疫诊断项目进展的持续监控，团队能够及时发现潜在问题并作出迅速反应。化学发光免疫诊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在这一阶段，团队的专业素养和反应速度将发挥至关重要的作用，以确保潜在危机能够在初期得到有效的处理，最大程度地减轻负面影响。通过危机预警与识别，化学发光免疫诊断项目得以更有序、可控地推进。</w:t>
      </w:r>
    </w:p>
    <w:p>
      <w:pPr>
        <w:pStyle w:val="Heading2"/>
        <w:ind w:firstLine="560" w:firstLineChars="200"/>
        <w:rPr>
          <w:rFonts w:ascii="仿宋" w:eastAsia="仿宋" w:hAnsi="仿宋" w:cs="仿宋" w:hint="eastAsia"/>
          <w:sz w:val="28"/>
          <w:lang w:eastAsia="zh-CN"/>
        </w:rPr>
      </w:pPr>
      <w:bookmarkStart w:id="19" w:name="_Toc2732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在危机发生时，化学发光免疫诊断项目团队立即行动，成立了应急小组。该小组的任务是迅速制定并实施紧急应对措施，以最小化潜在损失。以下是采取的主要措施：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暂停化学发光免疫诊断项目进度：为遏制危机蔓延，化学发光免疫诊断项目暂时停止进行，以便全面评估当前状况。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资源重新分配：重新评估化学发光免疫诊断项目资源的分配，确保最大限度地减小损失。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实时沟通：与关键利益相关者建立实时沟通机制，向他们传递化学发光免疫诊断项目危机的实际状况，保障化学发光免疫诊断项目核心利益。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在紧急应对的同时，化学发光免疫诊断项目团队强调了团队协作和有效沟通的重要性。以下是团队协作的关键举措：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信息共享机制：建立了信息共享平台，确保团队成员能够及时获取化学发光免疫诊断项目危机的实时信息。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领导者沟通：化学发光免疫诊断项目领导者通过定期会议和即时沟通工具，指导团队应对危机，保持团队稳定运行。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随着危机得到初步控制，化学发光免疫诊断项目团队转向制定恢复计划，以确保化学发光免疫诊断项目能够从中迅速恢复。主要恢复计划包括：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修复受损的进度计划：重新评估化学发光免疫诊断项目进度，制定修复计划，确保化学发光免疫诊断项目尽快回归正常进程。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重新调整资源分配：优化资源分配，确保化学发光免疫诊断项目在有限资源下高效运转。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风险管理机制加强：对化学发光免疫诊断项目风险进行全面评估，制定更强化的风险管理策略，以预防未来可能的危机。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4557"/>
      <w:r>
        <w:rPr>
          <w:rFonts w:ascii="仿宋" w:eastAsia="仿宋" w:hAnsi="仿宋" w:cs="仿宋" w:hint="eastAsia"/>
          <w:sz w:val="28"/>
          <w:lang w:eastAsia="zh-CN"/>
        </w:rPr>
        <w:t>六、化学发光免疫诊断项目文档管理</w:t>
      </w:r>
      <w:bookmarkEnd w:id="20"/>
    </w:p>
    <w:p>
      <w:pPr>
        <w:pStyle w:val="Heading2"/>
        <w:rPr>
          <w:rFonts w:ascii="仿宋" w:eastAsia="仿宋" w:hAnsi="仿宋" w:cs="仿宋" w:hint="eastAsia"/>
          <w:lang w:eastAsia="zh-CN"/>
        </w:rPr>
      </w:pPr>
      <w:bookmarkStart w:id="21" w:name="_Toc25295"/>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化学发光免疫诊断项目高度重视文档的质量和准确性，以支持化学发光免疫诊断项目的各项活动和决策。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发光免疫诊断项目文档的编制始于化学发光免疫诊断项目计划的初期，我们制定了详细的文档编制计划，明确了每个文档的内容、格式和编写责任人。在化学发光免疫诊断项目启动阶段，我们首先编制了化学发光免疫诊断项目章程，明确定义了化学发光免疫诊断项目的目标、范围、风险等关键要素。随后，化学发光免疫诊断项目团队根据计划陆续编制了需求文档、设计文档、测试文档等各类文档，确保化学发光免疫诊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https://d.book118.com/205112100114011100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化学发光免疫诊断项目规划设计纲要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B36E8"/>
    <w:rsid w:val="7FBB36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11210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2024-01-20T08:15:00Z</dcterms:created>
  <dcterms:modified xsi:type="dcterms:W3CDTF">2024-01-20T08:16:12Z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6888DF2AE3464B9BBDF32B9460F94726_11</vt:lpwstr>
  </property>
  <property fmtid="{D5CDD505-2E9C-101B-9397-08002B2CF9AE}" pid="3" name="KSOProductBuildVer">
    <vt:lpwstr>2052-12.1.0.16120</vt:lpwstr>
  </property>
</Properties>
</file>