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新型电子时间继电器相关行业公司成立方案及可行性研究报告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1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_Toc15174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0" w:history="1">
        <w:r>
          <w:rPr>
            <w:rFonts w:ascii="仿宋" w:eastAsia="仿宋" w:hAnsi="仿宋" w:cs="仿宋" w:hint="eastAsia"/>
            <w:lang w:eastAsia="zh-CN"/>
          </w:rPr>
          <w:t>一、新型电子时间继电器筹建公司基本信息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_Toc31463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_Toc17534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_Toc14407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_Toc31790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_Toc24549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_Toc16110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_Toc31225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_Toc7253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_Toc26362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_Toc11601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1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_Toc25611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_Toc16221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_Toc18826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_Toc5492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_Toc20502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1" w:history="1">
        <w:r>
          <w:rPr>
            <w:rFonts w:ascii="仿宋" w:eastAsia="仿宋" w:hAnsi="仿宋" w:cs="仿宋" w:hint="eastAsia"/>
            <w:lang w:eastAsia="zh-CN"/>
          </w:rPr>
          <w:t>(七)、新型电子时间继电器项目建设必要性分析</w:t>
        </w:r>
        <w:r>
          <w:tab/>
        </w:r>
        <w:r>
          <w:fldChar w:fldCharType="begin"/>
        </w:r>
        <w:r>
          <w:instrText xml:space="preserve"> PAGEREF _Toc4291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_Toc23027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_Toc6925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_Toc1589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_Toc18176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_Toc9543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_Toc14129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_Toc31784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_Toc12850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2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_Toc27932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_Toc26576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_Toc10273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_Toc28196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9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_Toc28539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5" w:history="1">
        <w:r>
          <w:rPr>
            <w:rFonts w:ascii="仿宋" w:eastAsia="仿宋" w:hAnsi="仿宋" w:cs="仿宋" w:hint="eastAsia"/>
            <w:lang w:eastAsia="zh-CN"/>
          </w:rPr>
          <w:t>(一)、新型电子时间继电器项目进度安排</w:t>
        </w:r>
        <w:r>
          <w:tab/>
        </w:r>
        <w:r>
          <w:fldChar w:fldCharType="begin"/>
        </w:r>
        <w:r>
          <w:instrText xml:space="preserve"> PAGEREF _Toc25025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(二)、新型电子时间继电器项目实施保障措施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1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_Toc9751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_Toc18586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_Toc13168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_Toc28551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_Toc22993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_Toc6287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_Toc3316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_Toc24989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_Toc17161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_Toc25024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_Toc22806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7" w:history="1">
        <w:r>
          <w:rPr>
            <w:rFonts w:ascii="仿宋" w:eastAsia="仿宋" w:hAnsi="仿宋" w:cs="仿宋" w:hint="eastAsia"/>
            <w:lang w:eastAsia="zh-CN"/>
          </w:rPr>
          <w:t>(一)、新型电子时间继电器项目背景分析</w:t>
        </w:r>
        <w:r>
          <w:tab/>
        </w:r>
        <w:r>
          <w:fldChar w:fldCharType="begin"/>
        </w:r>
        <w:r>
          <w:instrText xml:space="preserve"> PAGEREF _Toc25427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7" w:history="1">
        <w:r>
          <w:rPr>
            <w:rFonts w:ascii="仿宋" w:eastAsia="仿宋" w:hAnsi="仿宋" w:cs="仿宋" w:hint="eastAsia"/>
            <w:lang w:eastAsia="zh-CN"/>
          </w:rPr>
          <w:t>(二)、新型电子时间继电器项目建设必要性分析</w:t>
        </w:r>
        <w:r>
          <w:tab/>
        </w:r>
        <w:r>
          <w:fldChar w:fldCharType="begin"/>
        </w:r>
        <w:r>
          <w:instrText xml:space="preserve"> PAGEREF _Toc29647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_Toc29939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_Toc22827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51" w:history="1">
        <w:r>
          <w:rPr>
            <w:rFonts w:ascii="仿宋" w:eastAsia="仿宋" w:hAnsi="仿宋" w:cs="仿宋" w:hint="eastAsia"/>
            <w:lang w:eastAsia="zh-CN"/>
          </w:rPr>
          <w:t>十、新型电子时间继电器项目经济效益</w:t>
        </w:r>
        <w:r>
          <w:tab/>
        </w:r>
        <w:r>
          <w:fldChar w:fldCharType="begin"/>
        </w:r>
        <w:r>
          <w:instrText xml:space="preserve"> PAGEREF _Toc14151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_Toc30154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(三)、新型电子时间继电器项目盈利能力分析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_Toc19267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_Toc24932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_Toc22150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十一、新型电子时间继电器项目总结分析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_Toc27316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" w:history="1">
        <w:r>
          <w:rPr>
            <w:rFonts w:ascii="仿宋" w:eastAsia="仿宋" w:hAnsi="仿宋" w:cs="仿宋" w:hint="eastAsia"/>
            <w:lang w:eastAsia="zh-CN"/>
          </w:rPr>
          <w:t>(一)、社会责任新型电子时间继电器项目</w:t>
        </w:r>
        <w:r>
          <w:tab/>
        </w:r>
        <w:r>
          <w:fldChar w:fldCharType="begin"/>
        </w:r>
        <w:r>
          <w:instrText xml:space="preserve"> PAGEREF _Toc1068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_Toc15900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6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_Toc30046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_Toc7930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_Toc18460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9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_Toc28239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_Toc10604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_Toc4148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1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_Toc30481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_Toc25293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_Toc10443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_Toc15534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_Toc2852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17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20"/>
      <w:r>
        <w:rPr>
          <w:rFonts w:ascii="仿宋" w:eastAsia="仿宋" w:hAnsi="仿宋" w:cs="仿宋" w:hint="eastAsia"/>
          <w:sz w:val="28"/>
          <w:lang w:eastAsia="zh-CN"/>
        </w:rPr>
        <w:t>一、新型电子时间继电器筹建公司基本信息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46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53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407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79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https://d.book118.com/205123010141011111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新型电子时间继电器相关行业公司成立方案及可行性研究报告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新型电子时间继电器相关行业公司成立方案及可行性研究报告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新型电子时间继电器相关行业公司成立方案及可行性研究报告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新型电子时间继电器相关行业公司成立方案及可行性研究报告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新型电子时间继电器相关行业公司成立方案及可行性研究报告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512301014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2024-02-04T23:43:00Z</dcterms:created>
  <dcterms:modified xsi:type="dcterms:W3CDTF">2024-02-04T23:44:04Z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18D61AAAD32F452AB3ECA6C05D746E25_11</vt:lpwstr>
  </property>
  <property fmtid="{D5CDD505-2E9C-101B-9397-08002B2CF9AE}" pid="3" name="KSOProductBuildVer">
    <vt:lpwstr>2052-12.1.0.16250</vt:lpwstr>
  </property>
</Properties>
</file>