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spacing w:line="756" w:lineRule="exact"/>
        <w:ind w:left="199" w:right="410" w:firstLine="0"/>
        <w:jc w:val="center"/>
      </w:pPr>
      <w:r>
        <w:t>赤芍总苷的提取纯化与质量检查设计方案</w:t>
      </w:r>
    </w:p>
    <w:p>
      <w:pPr>
        <w:pStyle w:val="ListParagraph"/>
        <w:numPr>
          <w:ilvl w:val="0"/>
          <w:numId w:val="3"/>
        </w:numPr>
        <w:tabs>
          <w:tab w:val="left" w:pos="665"/>
        </w:tabs>
        <w:spacing w:before="162" w:after="0" w:line="240" w:lineRule="auto"/>
        <w:ind w:left="664" w:right="10647" w:hanging="665"/>
        <w:jc w:val="left"/>
        <w:rPr>
          <w:b/>
          <w:sz w:val="42"/>
        </w:rPr>
      </w:pPr>
      <w:r>
        <w:rPr>
          <w:b/>
          <w:sz w:val="42"/>
        </w:rPr>
        <w:t>文献背景</w:t>
      </w:r>
    </w:p>
    <w:p>
      <w:pPr>
        <w:pStyle w:val="BodyText"/>
        <w:spacing w:before="12"/>
        <w:rPr>
          <w:b/>
          <w:sz w:val="12"/>
        </w:rPr>
      </w:pPr>
    </w:p>
    <w:p>
      <w:pPr>
        <w:pStyle w:val="BodyText"/>
        <w:spacing w:line="331" w:lineRule="auto"/>
        <w:ind w:left="300" w:right="357" w:firstLine="719"/>
        <w:jc w:val="both"/>
      </w:pPr>
      <w:r>
        <w:rPr>
          <w:spacing w:val="42"/>
          <w:position w:val="-1"/>
        </w:rPr>
        <w:t xml:space="preserve">赤芍为毛茛科植物芍药 </w:t>
      </w:r>
      <w:r>
        <w:rPr>
          <w:sz w:val="38"/>
        </w:rPr>
        <w:t>Paeonia</w:t>
      </w:r>
      <w:r>
        <w:rPr>
          <w:spacing w:val="28"/>
          <w:sz w:val="38"/>
        </w:rPr>
        <w:t xml:space="preserve"> </w:t>
      </w:r>
      <w:r>
        <w:rPr>
          <w:sz w:val="38"/>
        </w:rPr>
        <w:t>lactiflora</w:t>
      </w:r>
      <w:r>
        <w:rPr>
          <w:spacing w:val="34"/>
          <w:sz w:val="38"/>
        </w:rPr>
        <w:t xml:space="preserve"> </w:t>
      </w:r>
      <w:r>
        <w:rPr>
          <w:position w:val="-1"/>
        </w:rPr>
        <w:t>Pall</w:t>
      </w:r>
      <w:r>
        <w:rPr>
          <w:spacing w:val="34"/>
          <w:position w:val="-1"/>
        </w:rPr>
        <w:t xml:space="preserve">. 或川赤芍 </w:t>
      </w:r>
      <w:r>
        <w:rPr>
          <w:sz w:val="38"/>
        </w:rPr>
        <w:t>Paeonia</w:t>
      </w:r>
      <w:r>
        <w:rPr>
          <w:spacing w:val="-110"/>
          <w:sz w:val="38"/>
        </w:rPr>
        <w:t xml:space="preserve"> </w:t>
      </w:r>
      <w:r>
        <w:rPr>
          <w:w w:val="95"/>
          <w:position w:val="2"/>
          <w:sz w:val="38"/>
        </w:rPr>
        <w:t>veitchii</w:t>
      </w:r>
      <w:r>
        <w:rPr>
          <w:spacing w:val="11"/>
          <w:w w:val="95"/>
          <w:position w:val="2"/>
          <w:sz w:val="38"/>
        </w:rPr>
        <w:t xml:space="preserve"> </w:t>
      </w:r>
      <w:r>
        <w:rPr>
          <w:w w:val="95"/>
        </w:rPr>
        <w:t>Lynch</w:t>
      </w:r>
      <w:r>
        <w:rPr>
          <w:spacing w:val="124"/>
        </w:rPr>
        <w:t xml:space="preserve">  </w:t>
      </w:r>
      <w:r>
        <w:rPr>
          <w:w w:val="95"/>
        </w:rPr>
        <w:t>的枯燥根，具有清热凉血、散瘀止痛的成效，其主要有效成分为</w:t>
      </w:r>
      <w:r>
        <w:rPr>
          <w:spacing w:val="-20"/>
        </w:rPr>
        <w:t>芍药苷、芍药内酯苷、氧化芍药苷、苯甲酰芍药苷、芍药花苷等单萜苷类化合物，</w:t>
      </w:r>
      <w:r>
        <w:rPr>
          <w:spacing w:val="-105"/>
        </w:rPr>
        <w:t xml:space="preserve"> </w:t>
      </w:r>
      <w:r>
        <w:t>总称赤芍总苷，可改善机体微循环，抑制血小板分散，抗血栓形成，具有广泛的药理活性</w:t>
      </w:r>
      <w:r>
        <w:rPr>
          <w:vertAlign w:val="subscript"/>
        </w:rPr>
        <w:t>[1-3]，是一种可用于保健食品的中药。</w:t>
      </w:r>
    </w:p>
    <w:p>
      <w:pPr>
        <w:pStyle w:val="ListParagraph"/>
        <w:numPr>
          <w:ilvl w:val="1"/>
          <w:numId w:val="3"/>
        </w:numPr>
        <w:tabs>
          <w:tab w:val="left" w:pos="931"/>
        </w:tabs>
        <w:spacing w:before="28" w:after="0" w:line="240" w:lineRule="auto"/>
        <w:ind w:left="930" w:right="0" w:hanging="631"/>
        <w:jc w:val="both"/>
        <w:rPr>
          <w:sz w:val="36"/>
        </w:rPr>
      </w:pPr>
      <w:r>
        <w:rPr>
          <w:sz w:val="36"/>
        </w:rPr>
        <w:t>赤芍总苷背景意义</w:t>
      </w:r>
    </w:p>
    <w:p>
      <w:pPr>
        <w:pStyle w:val="BodyText"/>
        <w:spacing w:before="273" w:line="328" w:lineRule="auto"/>
        <w:ind w:left="300" w:right="495" w:firstLine="719"/>
        <w:jc w:val="both"/>
      </w:pPr>
      <w:r>
        <w:rPr>
          <w:spacing w:val="-13"/>
        </w:rPr>
        <w:t>在药理学上，赤芍总苷对血液具有抗凝血、抗血栓以及抗内毒素和改善微循</w:t>
      </w:r>
      <w:r>
        <w:rPr>
          <w:spacing w:val="-1"/>
        </w:rPr>
        <w:t>环的作用。并且赤芍总苷对缺血性损伤如心肌缺血同样具有保护作用</w:t>
      </w:r>
      <w:r>
        <w:rPr>
          <w:spacing w:val="-1"/>
          <w:vertAlign w:val="subscript"/>
        </w:rPr>
        <w:t>[4]</w:t>
      </w:r>
      <w:r>
        <w:rPr>
          <w:spacing w:val="-104"/>
          <w:vertAlign w:val="subscript"/>
        </w:rPr>
        <w:t xml:space="preserve"> </w:t>
      </w:r>
      <w:r>
        <w:rPr>
          <w:spacing w:val="-6"/>
          <w:w w:val="105"/>
          <w:position w:val="-23"/>
          <w:vertAlign w:val="baseline"/>
        </w:rPr>
        <w:drawing>
          <wp:inline distT="0" distB="0" distL="0" distR="0">
            <wp:extent cx="25400" cy="3937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vertAlign w:val="baseline"/>
        </w:rPr>
        <w:t>，正是</w:t>
      </w:r>
      <w:r>
        <w:rPr>
          <w:spacing w:val="-54"/>
          <w:vertAlign w:val="baseline"/>
        </w:rPr>
        <w:t>这</w:t>
      </w:r>
      <w:r>
        <w:rPr>
          <w:spacing w:val="-11"/>
          <w:vertAlign w:val="baseline"/>
        </w:rPr>
        <w:t>样的良好使用疗效，我们需要对赤芍总苷进展更多的争论，来保证临床的使用疗</w:t>
      </w:r>
      <w:r>
        <w:rPr>
          <w:vertAlign w:val="baseline"/>
        </w:rPr>
        <w:t>效。</w:t>
      </w:r>
    </w:p>
    <w:p>
      <w:pPr>
        <w:pStyle w:val="ListParagraph"/>
        <w:numPr>
          <w:ilvl w:val="1"/>
          <w:numId w:val="3"/>
        </w:numPr>
        <w:tabs>
          <w:tab w:val="left" w:pos="902"/>
        </w:tabs>
        <w:spacing w:before="53" w:after="0" w:line="240" w:lineRule="auto"/>
        <w:ind w:left="901" w:right="0" w:hanging="602"/>
        <w:jc w:val="both"/>
        <w:rPr>
          <w:sz w:val="36"/>
        </w:rPr>
      </w:pPr>
      <w:r>
        <w:rPr>
          <w:sz w:val="36"/>
        </w:rPr>
        <w:t>提取争论现状</w:t>
      </w:r>
    </w:p>
    <w:p>
      <w:pPr>
        <w:pStyle w:val="BodyText"/>
        <w:spacing w:before="272" w:line="326" w:lineRule="auto"/>
        <w:ind w:left="300" w:right="495" w:firstLine="719"/>
        <w:jc w:val="both"/>
      </w:pPr>
      <w:r>
        <w:rPr>
          <w:spacing w:val="-1"/>
        </w:rPr>
        <w:t>目前报道的赤芍总苷提取工艺文献中，多承受正交试验设计法</w:t>
      </w:r>
      <w:r>
        <w:rPr>
          <w:spacing w:val="-1"/>
          <w:vertAlign w:val="subscript"/>
        </w:rPr>
        <w:t>[5]</w:t>
      </w:r>
      <w:r>
        <w:rPr>
          <w:spacing w:val="-106"/>
          <w:vertAlign w:val="subscript"/>
        </w:rPr>
        <w:t xml:space="preserve"> </w:t>
      </w:r>
      <w:r>
        <w:rPr>
          <w:spacing w:val="-5"/>
          <w:w w:val="105"/>
          <w:position w:val="-23"/>
          <w:vertAlign w:val="baseline"/>
        </w:rPr>
        <w:drawing>
          <wp:inline distT="0" distB="0" distL="0" distR="0">
            <wp:extent cx="25400" cy="393700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vertAlign w:val="baseline"/>
        </w:rPr>
        <w:t>。即分别</w:t>
      </w:r>
      <w:r>
        <w:rPr>
          <w:spacing w:val="-54"/>
          <w:vertAlign w:val="baseline"/>
        </w:rPr>
        <w:t>称</w:t>
      </w:r>
      <w:r>
        <w:rPr>
          <w:vertAlign w:val="baseline"/>
        </w:rPr>
        <w:t>取赤芍药材假设干〔</w:t>
      </w:r>
      <w:r>
        <w:rPr>
          <w:spacing w:val="-7"/>
          <w:vertAlign w:val="baseline"/>
        </w:rPr>
        <w:t xml:space="preserve">通常 </w:t>
      </w:r>
      <w:r>
        <w:rPr>
          <w:vertAlign w:val="baseline"/>
        </w:rPr>
        <w:t>800g〕，以不同的提取液〔水、乙醇〕分别按正交试验设计表试验，滤过，合并滤液，量取体积，即得正交试验各试验的提取液。</w:t>
      </w:r>
    </w:p>
    <w:p>
      <w:pPr>
        <w:pStyle w:val="ListParagraph"/>
        <w:numPr>
          <w:ilvl w:val="1"/>
          <w:numId w:val="3"/>
        </w:numPr>
        <w:tabs>
          <w:tab w:val="left" w:pos="902"/>
        </w:tabs>
        <w:spacing w:before="51" w:after="0" w:line="240" w:lineRule="auto"/>
        <w:ind w:left="901" w:right="0" w:hanging="602"/>
        <w:jc w:val="both"/>
        <w:rPr>
          <w:sz w:val="36"/>
        </w:rPr>
      </w:pPr>
      <w:r>
        <w:rPr>
          <w:sz w:val="36"/>
        </w:rPr>
        <w:t>纯化争论现状</w:t>
      </w:r>
    </w:p>
    <w:p>
      <w:pPr>
        <w:pStyle w:val="BodyText"/>
        <w:spacing w:before="272" w:line="338" w:lineRule="auto"/>
        <w:ind w:left="300" w:right="458" w:firstLine="719"/>
        <w:jc w:val="both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2133600</wp:posOffset>
            </wp:positionH>
            <wp:positionV relativeFrom="paragraph">
              <wp:posOffset>826729</wp:posOffset>
            </wp:positionV>
            <wp:extent cx="12700" cy="393700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9"/>
        </w:rPr>
        <w:t>目前报道的赤芍总苷纯化工艺文献中，多承受正丁醇萃取法和大孔树脂吸附</w:t>
      </w:r>
      <w:r>
        <w:t>法</w:t>
      </w:r>
      <w:r>
        <w:rPr>
          <w:vertAlign w:val="subscript"/>
        </w:rPr>
        <w:t>[6]。马上提取过程中，包括糖类、脂类等很多杂质在内的浸膏提取液，补充蒸</w:t>
      </w:r>
      <w:r>
        <w:rPr>
          <w:spacing w:val="-3"/>
          <w:vertAlign w:val="baseline"/>
        </w:rPr>
        <w:t xml:space="preserve">馏水至药材的 </w:t>
      </w:r>
      <w:r>
        <w:rPr>
          <w:vertAlign w:val="baseline"/>
        </w:rPr>
        <w:t>2</w:t>
      </w:r>
      <w:r>
        <w:rPr>
          <w:spacing w:val="-4"/>
          <w:vertAlign w:val="baseline"/>
        </w:rPr>
        <w:t xml:space="preserve"> 倍量，作为待纯化样品溶液。</w:t>
      </w:r>
    </w:p>
    <w:p>
      <w:pPr>
        <w:pStyle w:val="BodyText"/>
        <w:spacing w:before="2" w:line="338" w:lineRule="auto"/>
        <w:ind w:left="300" w:right="492" w:firstLine="719"/>
        <w:jc w:val="both"/>
      </w:pPr>
      <w:r>
        <w:rPr>
          <w:spacing w:val="-6"/>
        </w:rPr>
        <w:t xml:space="preserve">纯化方法 </w:t>
      </w:r>
      <w:r>
        <w:rPr>
          <w:spacing w:val="-1"/>
        </w:rPr>
        <w:t>1〔正丁醇萃取法〕：取上述待纯化样品溶液200ml，取等量石油</w:t>
      </w:r>
      <w:r>
        <w:rPr>
          <w:spacing w:val="5"/>
        </w:rPr>
        <w:t xml:space="preserve">醚萃取 </w:t>
      </w:r>
      <w:r>
        <w:t>3 次，除去石油醚层，然后用水饱和后的正丁醇萃取 3</w:t>
      </w:r>
      <w:r>
        <w:rPr>
          <w:spacing w:val="1"/>
        </w:rPr>
        <w:t xml:space="preserve"> 次，收集正丁醇</w:t>
      </w:r>
    </w:p>
    <w:p>
      <w:pPr>
        <w:spacing w:after="0" w:line="338" w:lineRule="auto"/>
        <w:jc w:val="both"/>
        <w:sectPr>
          <w:headerReference w:type="default" r:id="rId6"/>
          <w:footerReference w:type="default" r:id="rId7"/>
          <w:type w:val="continuous"/>
          <w:pgSz w:w="17860" w:h="25260"/>
          <w:pgMar w:top="1800" w:right="2160" w:bottom="2020" w:left="2400" w:header="1116" w:footer="1831"/>
          <w:cols w:space="708"/>
        </w:sectPr>
      </w:pPr>
    </w:p>
    <w:p>
      <w:pPr>
        <w:pStyle w:val="BodyText"/>
        <w:spacing w:before="100" w:line="338" w:lineRule="auto"/>
        <w:ind w:left="300" w:right="541"/>
        <w:jc w:val="both"/>
      </w:pPr>
      <w:r>
        <w:rPr>
          <w:spacing w:val="-4"/>
        </w:rPr>
        <w:t xml:space="preserve">层，再用 </w:t>
      </w:r>
      <w:r>
        <w:t>200ml</w:t>
      </w:r>
      <w:r>
        <w:rPr>
          <w:spacing w:val="-6"/>
        </w:rPr>
        <w:t xml:space="preserve"> 蒸馏水洗 </w:t>
      </w:r>
      <w:r>
        <w:t>1</w:t>
      </w:r>
      <w:r>
        <w:rPr>
          <w:spacing w:val="-4"/>
        </w:rPr>
        <w:t xml:space="preserve"> 次，弃去水层，减压回收正丁醇，所得浸膏于真空</w:t>
      </w:r>
      <w:r>
        <w:t>枯燥器中枯燥。</w:t>
      </w:r>
    </w:p>
    <w:p>
      <w:pPr>
        <w:pStyle w:val="BodyText"/>
        <w:spacing w:before="1" w:line="338" w:lineRule="auto"/>
        <w:ind w:left="300" w:right="380" w:firstLine="719"/>
        <w:jc w:val="both"/>
      </w:pPr>
      <w:r>
        <w:rPr>
          <w:spacing w:val="-3"/>
        </w:rPr>
        <w:t xml:space="preserve">纯化方法 </w:t>
      </w:r>
      <w:r>
        <w:t>2〔大孔树脂吸附法〕：D101</w:t>
      </w:r>
      <w:r>
        <w:rPr>
          <w:spacing w:val="-5"/>
        </w:rPr>
        <w:t xml:space="preserve"> 大孔吸附树脂 </w:t>
      </w:r>
      <w:r>
        <w:t>100g</w:t>
      </w:r>
      <w:r>
        <w:rPr>
          <w:spacing w:val="-5"/>
        </w:rPr>
        <w:t xml:space="preserve">，经 </w:t>
      </w:r>
      <w:r>
        <w:t>95%乙醇</w:t>
      </w:r>
      <w:r>
        <w:rPr>
          <w:spacing w:val="-9"/>
        </w:rPr>
        <w:t xml:space="preserve">浸泡 </w:t>
      </w:r>
      <w:r>
        <w:rPr>
          <w:spacing w:val="-1"/>
        </w:rPr>
        <w:t>12h，充分溶胀后装柱，蒸馏水洗至无醇味，备用。上述待纯化样品溶液取</w:t>
      </w:r>
      <w:r>
        <w:t>200ml，上树脂柱，3</w:t>
      </w:r>
      <w:r>
        <w:rPr>
          <w:spacing w:val="1"/>
        </w:rPr>
        <w:t xml:space="preserve"> 倍量蒸馏水洗，再用 </w:t>
      </w:r>
      <w:r>
        <w:t>3</w:t>
      </w:r>
      <w:r>
        <w:rPr>
          <w:spacing w:val="1"/>
        </w:rPr>
        <w:t xml:space="preserve"> 倍量的乙醇洗脱，收集 </w:t>
      </w:r>
      <w:r>
        <w:t>20%洗脱组分，减压回收乙醇，剩余浸膏于真空枯燥器中枯燥。</w:t>
      </w:r>
    </w:p>
    <w:p>
      <w:pPr>
        <w:pStyle w:val="ListParagraph"/>
        <w:numPr>
          <w:ilvl w:val="1"/>
          <w:numId w:val="3"/>
        </w:numPr>
        <w:tabs>
          <w:tab w:val="left" w:pos="902"/>
        </w:tabs>
        <w:spacing w:before="2" w:after="0" w:line="240" w:lineRule="auto"/>
        <w:ind w:left="901" w:right="0" w:hanging="602"/>
        <w:jc w:val="both"/>
        <w:rPr>
          <w:sz w:val="36"/>
        </w:rPr>
      </w:pPr>
      <w:r>
        <w:rPr>
          <w:sz w:val="36"/>
        </w:rPr>
        <w:t>质量掌握</w:t>
      </w:r>
    </w:p>
    <w:p>
      <w:pPr>
        <w:pStyle w:val="BodyText"/>
        <w:spacing w:before="272" w:line="338" w:lineRule="auto"/>
        <w:ind w:left="300" w:right="536" w:firstLine="539"/>
        <w:jc w:val="both"/>
      </w:pPr>
      <w:r>
        <w:t>赤芍中赤芍总苷质量掌握包括性状鉴别〔颜色、气味〕、薄层鉴别〔蓝紫色斑点〕、以及对其进展高效液相色谱的含量测定〔</w:t>
      </w:r>
      <w:r>
        <w:rPr>
          <w:spacing w:val="-3"/>
        </w:rPr>
        <w:t xml:space="preserve">检测波长为 </w:t>
      </w:r>
      <w:r>
        <w:t>230nm，理论板</w:t>
      </w:r>
      <w:r>
        <w:rPr>
          <w:spacing w:val="-2"/>
        </w:rPr>
        <w:t xml:space="preserve">数按芍药苷峰计算应不低于 </w:t>
      </w:r>
      <w:r>
        <w:t>3000〕以及水分、炽灼残渣，重金属等检测。</w:t>
      </w:r>
    </w:p>
    <w:p>
      <w:pPr>
        <w:pStyle w:val="Heading1"/>
        <w:numPr>
          <w:ilvl w:val="0"/>
          <w:numId w:val="3"/>
        </w:numPr>
        <w:tabs>
          <w:tab w:val="left" w:pos="773"/>
        </w:tabs>
        <w:spacing w:before="0" w:after="0" w:line="656" w:lineRule="exact"/>
        <w:ind w:left="772" w:right="0" w:hanging="473"/>
        <w:jc w:val="both"/>
      </w:pPr>
      <w:r>
        <w:t>赤芍饮片的质量检查</w:t>
      </w:r>
    </w:p>
    <w:p>
      <w:pPr>
        <w:pStyle w:val="ListParagraph"/>
        <w:numPr>
          <w:ilvl w:val="1"/>
          <w:numId w:val="3"/>
        </w:numPr>
        <w:tabs>
          <w:tab w:val="left" w:pos="960"/>
        </w:tabs>
        <w:spacing w:before="281" w:after="0" w:line="338" w:lineRule="auto"/>
        <w:ind w:left="300" w:right="396" w:firstLine="0"/>
        <w:jc w:val="both"/>
        <w:rPr>
          <w:sz w:val="36"/>
        </w:rPr>
      </w:pPr>
      <w:r>
        <w:rPr>
          <w:b/>
          <w:spacing w:val="18"/>
          <w:sz w:val="36"/>
        </w:rPr>
        <w:t xml:space="preserve">性状: </w:t>
      </w:r>
      <w:r>
        <w:rPr>
          <w:sz w:val="36"/>
        </w:rPr>
        <w:t>本品应呈圆柱形，稍弯。外表棕褐色，粗糙，有纵沟和皱纹，并有须</w:t>
      </w:r>
      <w:r>
        <w:rPr>
          <w:spacing w:val="-1"/>
          <w:sz w:val="36"/>
        </w:rPr>
        <w:t>根痕和横长的皮乳样突起，有的外皮易脱落。质硬而脆，易折断，断面粉白色或</w:t>
      </w:r>
      <w:r>
        <w:rPr>
          <w:sz w:val="36"/>
        </w:rPr>
        <w:t>粉红色，有的有裂隙。气微香，味微苦、酸涩。</w:t>
      </w:r>
    </w:p>
    <w:p>
      <w:pPr>
        <w:pStyle w:val="ListParagraph"/>
        <w:numPr>
          <w:ilvl w:val="1"/>
          <w:numId w:val="3"/>
        </w:numPr>
        <w:tabs>
          <w:tab w:val="left" w:pos="945"/>
        </w:tabs>
        <w:spacing w:before="2" w:after="0" w:line="338" w:lineRule="auto"/>
        <w:ind w:left="300" w:right="396" w:firstLine="0"/>
        <w:jc w:val="both"/>
        <w:rPr>
          <w:sz w:val="36"/>
        </w:rPr>
      </w:pPr>
      <w:r>
        <w:rPr>
          <w:b/>
          <w:spacing w:val="18"/>
          <w:sz w:val="36"/>
        </w:rPr>
        <w:t xml:space="preserve">鉴别: </w:t>
      </w:r>
      <w:r>
        <w:rPr>
          <w:spacing w:val="-3"/>
          <w:sz w:val="36"/>
        </w:rPr>
        <w:t xml:space="preserve">取本品粉末 </w:t>
      </w:r>
      <w:r>
        <w:rPr>
          <w:sz w:val="36"/>
        </w:rPr>
        <w:t>0.5g</w:t>
      </w:r>
      <w:r>
        <w:rPr>
          <w:spacing w:val="-3"/>
          <w:sz w:val="36"/>
        </w:rPr>
        <w:t xml:space="preserve">，加乙醇 </w:t>
      </w:r>
      <w:r>
        <w:rPr>
          <w:sz w:val="36"/>
        </w:rPr>
        <w:t>10ml</w:t>
      </w:r>
      <w:r>
        <w:rPr>
          <w:spacing w:val="-5"/>
          <w:sz w:val="36"/>
        </w:rPr>
        <w:t xml:space="preserve">，振摇 </w:t>
      </w:r>
      <w:r>
        <w:rPr>
          <w:sz w:val="36"/>
        </w:rPr>
        <w:t>5</w:t>
      </w:r>
      <w:r>
        <w:rPr>
          <w:spacing w:val="-4"/>
          <w:sz w:val="36"/>
        </w:rPr>
        <w:t xml:space="preserve"> 分钟，滤过，滤液蒸干，残渣加乙醇 </w:t>
      </w:r>
      <w:r>
        <w:rPr>
          <w:sz w:val="36"/>
        </w:rPr>
        <w:t>2ml</w:t>
      </w:r>
      <w:r>
        <w:rPr>
          <w:spacing w:val="-19"/>
          <w:sz w:val="36"/>
        </w:rPr>
        <w:t xml:space="preserve"> 使溶解，作为供试品溶液。另取芍药苷比照品，加乙醇制成每 </w:t>
      </w:r>
      <w:r>
        <w:rPr>
          <w:sz w:val="36"/>
        </w:rPr>
        <w:t>1ml</w:t>
      </w:r>
      <w:r>
        <w:rPr>
          <w:spacing w:val="1"/>
          <w:sz w:val="36"/>
        </w:rPr>
        <w:t xml:space="preserve"> </w:t>
      </w:r>
      <w:r>
        <w:rPr>
          <w:spacing w:val="19"/>
          <w:sz w:val="36"/>
        </w:rPr>
        <w:t xml:space="preserve">含 </w:t>
      </w:r>
      <w:r>
        <w:rPr>
          <w:sz w:val="36"/>
        </w:rPr>
        <w:t>2mg 的溶液，作为比照品溶液。照薄层色谱法〔附录ⅥB〕试验，吸取上述</w:t>
      </w:r>
      <w:r>
        <w:rPr>
          <w:spacing w:val="3"/>
          <w:sz w:val="36"/>
        </w:rPr>
        <w:t xml:space="preserve">两种溶液各 </w:t>
      </w:r>
      <w:r>
        <w:rPr>
          <w:sz w:val="36"/>
        </w:rPr>
        <w:t>4μl</w:t>
      </w:r>
      <w:r>
        <w:rPr>
          <w:spacing w:val="2"/>
          <w:sz w:val="36"/>
        </w:rPr>
        <w:t xml:space="preserve">，分别点于同一硅胶 </w:t>
      </w:r>
      <w:r>
        <w:rPr>
          <w:sz w:val="36"/>
        </w:rPr>
        <w:t>G 薄层板上，以三氯甲烷-乙酸乙酯-甲醇-</w:t>
      </w:r>
      <w:r>
        <w:rPr>
          <w:spacing w:val="1"/>
          <w:sz w:val="36"/>
        </w:rPr>
        <w:t xml:space="preserve"> </w:t>
      </w:r>
      <w:r>
        <w:rPr>
          <w:sz w:val="36"/>
        </w:rPr>
        <w:t>甲酸〔40：5：10：0.2〕为开放剂，开放，取出，晾干，喷以5%香草醛硫酸溶</w:t>
      </w:r>
      <w:r>
        <w:rPr>
          <w:spacing w:val="-1"/>
          <w:sz w:val="36"/>
        </w:rPr>
        <w:t>液，加热至斑点显色清楚。供试品色谱中，在与比照品色谱相应的位置上，显一样</w:t>
      </w:r>
      <w:r>
        <w:rPr>
          <w:sz w:val="36"/>
        </w:rPr>
        <w:t>的蓝紫色斑点。</w:t>
      </w:r>
    </w:p>
    <w:p>
      <w:pPr>
        <w:pStyle w:val="ListParagraph"/>
        <w:numPr>
          <w:ilvl w:val="1"/>
          <w:numId w:val="3"/>
        </w:numPr>
        <w:tabs>
          <w:tab w:val="left" w:pos="942"/>
        </w:tabs>
        <w:spacing w:before="3" w:after="0" w:line="240" w:lineRule="auto"/>
        <w:ind w:left="941" w:right="0" w:hanging="642"/>
        <w:jc w:val="both"/>
        <w:rPr>
          <w:sz w:val="36"/>
        </w:rPr>
      </w:pPr>
      <w:r>
        <w:rPr>
          <w:b/>
          <w:sz w:val="36"/>
        </w:rPr>
        <w:t>含量测定：</w:t>
      </w:r>
      <w:r>
        <w:rPr>
          <w:sz w:val="36"/>
        </w:rPr>
        <w:t>照高效液相色谱法〔</w:t>
      </w:r>
      <w:r>
        <w:rPr>
          <w:spacing w:val="-8"/>
          <w:sz w:val="36"/>
        </w:rPr>
        <w:t xml:space="preserve">通则 </w:t>
      </w:r>
      <w:r>
        <w:rPr>
          <w:sz w:val="36"/>
        </w:rPr>
        <w:t>0512〕测定。</w:t>
      </w:r>
    </w:p>
    <w:p>
      <w:pPr>
        <w:spacing w:after="0" w:line="240" w:lineRule="auto"/>
        <w:jc w:val="both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https://d.book118.com/205130221014011034</w:t>
        </w:r>
      </w:hyperlink>
    </w:p>
    <w:p>
      <w:pPr>
        <w:spacing w:after="0" w:line="240" w:lineRule="auto"/>
        <w:jc w:val="both"/>
        <w:rPr>
          <w:sz w:val="36"/>
        </w:rPr>
      </w:pPr>
    </w:p>
    <w:sectPr>
      <w:headerReference w:type="default" r:id="rId9"/>
      <w:footerReference w:type="default" r:id="rId10"/>
      <w:pgSz w:w="17860" w:h="25260"/>
      <w:pgMar w:top="1800" w:right="2160" w:bottom="2020" w:left="2400" w:header="1116" w:footer="1831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6pt;height:15.5pt;margin-top:1160.35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6pt;height:15.5pt;margin-top:1160.35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83pt;height:15.5pt;margin-top:54.82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83pt;height:15.5pt;margin-top:54.82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04B7D"/>
    <w:multiLevelType w:val="hybridMultilevel"/>
    <w:tmpl w:val="00000000"/>
    <w:lvl w:ilvl="0">
      <w:start w:val="1"/>
      <w:numFmt w:val="decimal"/>
      <w:lvlText w:val="[%1]"/>
      <w:lvlJc w:val="left"/>
      <w:pPr>
        <w:ind w:left="300" w:hanging="637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599" w:hanging="6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9" w:hanging="6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99" w:hanging="6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99" w:hanging="6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99" w:hanging="6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99" w:hanging="6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99" w:hanging="6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99" w:hanging="637"/>
      </w:pPr>
      <w:rPr>
        <w:rFonts w:hint="default"/>
      </w:rPr>
    </w:lvl>
  </w:abstractNum>
  <w:abstractNum w:abstractNumId="1">
    <w:nsid w:val="48051FE0"/>
    <w:multiLevelType w:val="hybridMultilevel"/>
    <w:tmpl w:val="00000000"/>
    <w:lvl w:ilvl="0">
      <w:start w:val="2"/>
      <w:numFmt w:val="decimal"/>
      <w:lvlText w:val="%1"/>
      <w:lvlJc w:val="left"/>
      <w:pPr>
        <w:ind w:left="1290" w:hanging="99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90" w:hanging="990"/>
        <w:jc w:val="left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90" w:hanging="99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4899" w:hanging="9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9" w:hanging="9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99" w:hanging="9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99" w:hanging="9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9" w:hanging="9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99" w:hanging="990"/>
      </w:pPr>
      <w:rPr>
        <w:rFonts w:hint="default"/>
      </w:rPr>
    </w:lvl>
  </w:abstractNum>
  <w:abstractNum w:abstractNumId="2">
    <w:nsid w:val="585A9F2D"/>
    <w:multiLevelType w:val="hybridMultilevel"/>
    <w:tmpl w:val="00000000"/>
    <w:lvl w:ilvl="0">
      <w:start w:val="1"/>
      <w:numFmt w:val="decimal"/>
      <w:lvlText w:val="%1"/>
      <w:lvlJc w:val="left"/>
      <w:pPr>
        <w:ind w:left="664" w:hanging="364"/>
        <w:jc w:val="left"/>
      </w:pPr>
      <w:rPr>
        <w:rFonts w:ascii="微软雅黑" w:eastAsia="微软雅黑" w:hAnsi="微软雅黑" w:cs="微软雅黑" w:hint="default"/>
        <w:b/>
        <w:bCs/>
        <w:w w:val="100"/>
        <w:sz w:val="42"/>
        <w:szCs w:val="42"/>
      </w:rPr>
    </w:lvl>
    <w:lvl w:ilvl="1">
      <w:start w:val="1"/>
      <w:numFmt w:val="decimal"/>
      <w:lvlText w:val="%1.%2"/>
      <w:lvlJc w:val="left"/>
      <w:pPr>
        <w:ind w:left="1031" w:hanging="731"/>
        <w:jc w:val="left"/>
      </w:pPr>
      <w:rPr>
        <w:rFonts w:hint="default"/>
        <w:b/>
        <w:bCs/>
        <w:spacing w:val="-1"/>
        <w:w w:val="100"/>
      </w:rPr>
    </w:lvl>
    <w:lvl w:ilvl="2">
      <w:start w:val="1"/>
      <w:numFmt w:val="decimal"/>
      <w:lvlText w:val="%1.%2.%3"/>
      <w:lvlJc w:val="left"/>
      <w:pPr>
        <w:ind w:left="1290" w:hanging="731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1040" w:hanging="7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20" w:hanging="7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00" w:hanging="7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99" w:hanging="7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099" w:hanging="7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99" w:hanging="731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spacing w:line="766" w:lineRule="exact"/>
      <w:ind w:left="772" w:hanging="473"/>
      <w:outlineLvl w:val="1"/>
    </w:pPr>
    <w:rPr>
      <w:rFonts w:ascii="微软雅黑" w:eastAsia="微软雅黑" w:hAnsi="微软雅黑" w:cs="微软雅黑"/>
      <w:b/>
      <w:bCs/>
      <w:sz w:val="42"/>
      <w:szCs w:val="42"/>
    </w:rPr>
  </w:style>
  <w:style w:type="paragraph" w:customStyle="1" w:styleId="Heading2">
    <w:name w:val="Heading 2"/>
    <w:basedOn w:val="Normal"/>
    <w:uiPriority w:val="1"/>
    <w:qFormat/>
    <w:pPr>
      <w:ind w:left="1031" w:hanging="732"/>
      <w:outlineLvl w:val="2"/>
    </w:pPr>
    <w:rPr>
      <w:rFonts w:ascii="微软雅黑" w:eastAsia="微软雅黑" w:hAnsi="微软雅黑" w:cs="微软雅黑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031" w:hanging="991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yperlink" Target="https://d.book118.com/205130221014011034" TargetMode="Externa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2023-10-08T12:54:17Z</dcterms:created>
  <dcterms:modified xsi:type="dcterms:W3CDTF">2023-10-08T12:54:17Z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LastSaved">
    <vt:filetime>2023-10-08T00:00:00Z</vt:filetime>
  </property>
</Properties>
</file>