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677A7" w14:paraId="1721467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677A7" w14:paraId="1528D1B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677A7" w14:paraId="1DB78DA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677A7" w:rsidRPr="00F677A7" w14:paraId="70B76E0B" w14:textId="1C2D356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677A7">
        <w:rPr>
          <w:rFonts w:ascii="宋体" w:eastAsia="宋体" w:hAnsi="宋体" w:hint="eastAsia"/>
          <w:b/>
          <w:sz w:val="60"/>
        </w:rPr>
        <w:t>机电设备项目可行性研究分析报告</w:t>
      </w:r>
    </w:p>
    <w:p w:rsidR="00F677A7" w:rsidP="00F677A7" w14:paraId="44C4287B" w14:textId="32C2A81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677A7">
        <w:rPr>
          <w:rFonts w:ascii="仿宋" w:eastAsia="仿宋" w:hAnsi="仿宋" w:hint="eastAsia"/>
          <w:b/>
          <w:sz w:val="40"/>
        </w:rPr>
        <w:t>目录</w:t>
      </w:r>
    </w:p>
    <w:p w:rsidR="00F677A7" w14:paraId="36FE0F8D" w14:textId="65146BE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77A7" w14:paraId="4BA771F5" w14:textId="3A8AAD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77A7" w14:paraId="71CBA6C2" w14:textId="3DEC10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77A7" w14:paraId="2CC949C1" w14:textId="63C0E4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677A7" w14:paraId="411F2C88" w14:textId="5FBEA3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677A7" w14:paraId="63FC38D1" w14:textId="7B3A583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二、机电设备项目综合评价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677A7" w14:paraId="5E1C9AD7" w14:textId="50610C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(一)、机电设备项目建设期总体设计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677A7" w14:paraId="0A6D200C" w14:textId="4AB1A4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(二)、机电设备项目实施保障措施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677A7" w14:paraId="17731C17" w14:textId="317EFE4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677A7" w14:paraId="36096CE2" w14:textId="68CA54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677A7" w14:paraId="22A2DB5E" w14:textId="2CAB76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(二)、商业模式创新对机电设备项目价值的影响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677A7" w14:paraId="5CC660A4" w14:textId="7B0EB5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_Toc153761749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677A7" w14:paraId="417655F6" w14:textId="3B705BC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677A7" w14:paraId="73CC84CC" w14:textId="65C24C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677A7" w14:paraId="080F7C6D" w14:textId="304B4E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677A7" w14:paraId="55250DE1" w14:textId="28E76E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677A7" w14:paraId="099257FE" w14:textId="0C600D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677A7" w14:paraId="4E466A4A" w14:textId="4C9A54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(一)、机电设备项目产品的市场定位和目标客户分析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677A7" w14:paraId="7E686981" w14:textId="20E936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677A7" w14:paraId="06A464CA" w14:textId="6ACDB4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677A7" w14:paraId="6BBB54A6" w14:textId="0D444193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六、企业文化和员工培训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677A7" w14:paraId="0CAB5826" w14:textId="32FCBD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(一)、企业文化的建设和传承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_Toc153761759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677A7" w14:paraId="24615664" w14:textId="63DE31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(二)、员工培训的方案和实施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677A7" w14:paraId="453BF0BA" w14:textId="744EC9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(三)、企业文化和员工培训的互动和融合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677A7" w14:paraId="278EE477" w14:textId="2CF1D5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七、团队协作和沟通管理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677A7" w14:paraId="2FDF7B5A" w14:textId="5F0BE0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(一)、机电设备项目团队协作和合作方式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677A7" w14:paraId="2B8C0888" w14:textId="20CCBF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(二)、沟通机制和信息共享方式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677A7" w14:paraId="36302545" w14:textId="429AF1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(三)、团队建设和人员激励措施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F677A7" w14:paraId="70129610" w14:textId="3C2CC80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八、社会技术影响评估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677A7" w14:paraId="1413E764" w14:textId="447B87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(一)、机电设备在社会技术系统中的角色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677A7" w14:paraId="5AA0994E" w14:textId="10C7B7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(二)、技术对机电设备使用和市场的影响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677A7" w14:paraId="5E262518" w14:textId="036202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(三)、社会技术趋势对可行性的影响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_Toc153761769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677A7" w14:paraId="7869E8CD" w14:textId="2F8DE0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九、人力资源管理和开发计划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677A7" w14:paraId="1214ED92" w14:textId="391F64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(一)、人力资源管理的目标和原则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_Toc153761771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677A7" w14:paraId="47EABF7F" w14:textId="17B52A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(二)、人力资源开发的方案和实施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_Toc153761772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677A7" w14:paraId="13C15397" w14:textId="4D9527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(三)、人力资源考核和激励机制的建立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_Toc153761773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F677A7" w14:paraId="7AB08345" w14:textId="0EFF53B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十、机电设备项目合作协议和合同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F677A7" w14:paraId="60A8EFD7" w14:textId="77BA74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(一)、机电设备项目合作协议的主要内容和条款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F677A7" w14:paraId="4C05FC06" w14:textId="234167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(二)、机电设备项目合同的主要内容和条款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677A7" w14:paraId="1CA241C2" w14:textId="1D7E14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(三)、合作方之间的关系和权益保障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_Toc153761777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677A7" w14:paraId="17C15F35" w14:textId="2C8CB74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677A7" w14:paraId="706E42C7" w14:textId="548574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_Toc153761779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677A7" w14:paraId="5104B3EB" w14:textId="7E299B47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_Toc153761780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677A7" w14:paraId="3C77204E" w14:textId="43831D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677A7" w14:paraId="411F1352" w14:textId="484C5B3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十二、执行计划和风险监控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_Toc153761782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677A7" w14:paraId="60351976" w14:textId="66F007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(一)、机电设备项目执行策略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_Toc153761783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677A7" w14:paraId="701EBA8D" w14:textId="61B858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(二)、风险监控和管理计划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F677A7" w14:paraId="65E7A8A2" w14:textId="1CC4CB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(三)、变更管理和应急响应策略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677A7" w14:paraId="033D40F9" w14:textId="74074F5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十三、公司章程和规章制度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_Toc153761786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677A7" w14:paraId="5FF23612" w14:textId="63698A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(一)、公司章程的主要内容和规定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677A7" w14:paraId="6A11316C" w14:textId="499958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(二)、公司内部规章制度的主要内容和规定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_Toc153761788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F677A7" w14:paraId="30A1E7C2" w14:textId="131E40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(三)、公司治理结构的优化和完善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_Toc153761789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677A7" w14:paraId="4E44CA0D" w14:textId="5262CD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十四、企业文化和员工培训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_Toc153761790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F677A7" w14:paraId="400846FD" w14:textId="2FCED5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(一)、企业文化的建设和传承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_Toc153761791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F677A7" w14:paraId="189831D4" w14:textId="06F2F2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(二)、员工培训的方案和实施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_Toc153761792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F677A7" w14:paraId="21BC444B" w14:textId="2CE36F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(三)、企业文化和员工培训的互动和融合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_Toc153761793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F677A7" w14:paraId="4E94C684" w14:textId="15261F0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十五、信息披露和透明度管理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_Toc153761794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F677A7" w14:paraId="3C90848E" w14:textId="1D3BDB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(一)、信息披露的内容和方式选择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_Toc153761795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F677A7" w14:paraId="0F3A03D2" w14:textId="05B20E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(二)、透明度管理的目标和实施措施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_Toc153761796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F677A7" w14:paraId="3FB146A9" w14:textId="06ACEB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(三)、信息反馈和意见征集的机制建设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_Toc153761797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F677A7" w:rsidP="00F677A7" w14:paraId="0A36B6E1" w14:textId="0EF0A427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F677A7" w:rsidP="00F677A7" w14:paraId="7F15C3ED" w14:textId="7343C703">
      <w:pPr>
        <w:pStyle w:val="Heading1"/>
        <w:jc w:val="center"/>
        <w:rPr>
          <w:rFonts w:hint="eastAsia"/>
        </w:rPr>
      </w:pPr>
      <w:bookmarkStart w:id="0" w:name="_Toc153761738"/>
      <w:r w:rsidRPr="00F677A7">
        <w:rPr>
          <w:rFonts w:hint="eastAsia"/>
        </w:rPr>
        <w:t>序言</w:t>
      </w:r>
      <w:bookmarkEnd w:id="0"/>
    </w:p>
    <w:p w:rsidR="00F677A7" w:rsidP="00F677A7" w14:paraId="542A588F" w14:textId="0D69DBA3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本报告旨在评估并确定一个潜在项目或决策的可行性。这份报告代表了一项系统性的研究工作，目的是为决策者提供有关特定方案的详尽信息，以帮助他们做出明智的决策。在现今日新月异的商业环境中，组织和个人都面临着一系列重要的决策。这些决策可能涉及新产品的推出、市场扩张、投资项目、技术采用，或是政策变革等等。无论决策的性质如何，都需要在投入大量资源之前进行仔细的评估，以确保可行性、可持续性和最佳效益。可行性研究是一种广泛采用的方法，它通过系统性的分析和评估，为决策者提供了关键信息，以便他们能够明智地分析潜在的风险和机会。本报告的目的是为您介绍这种方法，并详细探讨我们所研究的特定问题。本报告仅供学习交流不可做为商业用途</w:t>
      </w:r>
    </w:p>
    <w:p w:rsidR="00F677A7" w:rsidP="00F677A7" w14:paraId="0F385F14" w14:textId="00A439CB">
      <w:pPr>
        <w:pStyle w:val="Heading1"/>
        <w:rPr>
          <w:rFonts w:hint="eastAsia"/>
        </w:rPr>
      </w:pPr>
      <w:bookmarkStart w:id="1" w:name="_Toc153761739"/>
      <w:r w:rsidRPr="00F677A7">
        <w:rPr>
          <w:rFonts w:hint="eastAsia"/>
        </w:rPr>
        <w:t>一、未来市场预测和产品升级</w:t>
      </w:r>
      <w:bookmarkEnd w:id="1"/>
    </w:p>
    <w:p w:rsidR="00F677A7" w:rsidP="00F677A7" w14:paraId="240C5B27" w14:textId="0911AEBA">
      <w:pPr>
        <w:pStyle w:val="Heading2"/>
      </w:pPr>
      <w:bookmarkStart w:id="2" w:name="_Toc153761740"/>
      <w:r w:rsidRPr="00F677A7">
        <w:t>(一)、未来市场发展趋势和预测</w:t>
      </w:r>
      <w:bookmarkEnd w:id="2"/>
    </w:p>
    <w:p w:rsidR="00F677A7" w:rsidRPr="00F677A7" w:rsidP="00F677A7" w14:paraId="7C6D56AE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市场规模和增长率预测：通过对市场规模和增长率进行预测，可以了解未来市场的发展趋势。具体的预测方法包括市场调研、历史数据分析、专家访谈等。通过对市场规模和增长率的预测，可以为企业的市场营销策略和产品研发提供参考。</w:t>
      </w:r>
    </w:p>
    <w:p w:rsidR="00F677A7" w:rsidRPr="00F677A7" w:rsidP="00F677A7" w14:paraId="3C38AFE2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技术和产品发展趋势预测：通过对技术和产品发展趋势进行预测，可以了解未来市场的需求和趋势。具体的预测方法包括专家访谈、市</w:t>
      </w:r>
      <w:r w:rsidRPr="00F677A7">
        <w:rPr>
          <w:rFonts w:ascii="仿宋" w:eastAsia="仿宋" w:hAnsi="仿宋" w:hint="eastAsia"/>
          <w:sz w:val="28"/>
        </w:rPr>
        <w:t>场调研、竞争对手分析等。通过对技术和产品发展趋势的预测，可以为企业的产品研发和市场营销提供参考。</w:t>
      </w:r>
    </w:p>
    <w:p w:rsidR="00F677A7" w:rsidRPr="00F677A7" w:rsidP="00F677A7" w14:paraId="3493F3D2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市场竞争格局预测：通过对市场竞争格局进行预测，可以了解未来市场的竞争情况。具体的预测方法包括竞争对手分析、市场调研、行业报告分析等。通过对市场竞争格局的预测，可以为企业的市场营销策略和产品研发提供参考。</w:t>
      </w:r>
    </w:p>
    <w:p w:rsidR="00F677A7" w:rsidP="00F677A7" w14:paraId="7FA4A41E" w14:textId="2AFD88A5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政策和法规变化预测：通过对政策和法规变化进行预测，可以了解未来市场的政策环境和法律风险。具体的预测方法包括政策研究、法律咨询、行业协会分析等。通过对政策和法规变化的预测，可以为企业的市场营销策略和产品研发提供参考。</w:t>
      </w:r>
    </w:p>
    <w:p w:rsidR="00F677A7" w:rsidP="00F677A7" w14:paraId="711B24D6" w14:textId="396114A3">
      <w:pPr>
        <w:pStyle w:val="Heading2"/>
      </w:pPr>
      <w:bookmarkStart w:id="3" w:name="_Toc153761741"/>
      <w:r w:rsidRPr="00F677A7">
        <w:t>(二)、产品升级换代和创新的必要性</w:t>
      </w:r>
      <w:bookmarkEnd w:id="3"/>
    </w:p>
    <w:p w:rsidR="00F677A7" w:rsidRPr="00F677A7" w:rsidP="00F677A7" w14:paraId="3C5F6EA8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满足市场需求：随着市场竞争的加剧和消费者需求的不断变化，产品升级换代和创新是企业保持市场竞争力的必要手段。通过不断推出新产品和升级旧产品，可以满足市场需求，提高产品的竞争力和市场占有率。</w:t>
      </w:r>
    </w:p>
    <w:p w:rsidR="00F677A7" w:rsidRPr="00F677A7" w:rsidP="00F677A7" w14:paraId="6DBCE036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提高产品质量和性能：通过产品升级换代和创新，可以提高产品的质量和性能。具体的升级和创新包括改进产品的设计、提高产品的可靠性和稳定性、增加产品的功能等。通过提高产品的质量和性能，可以提高产品的市场竞争力和用户满意度。</w:t>
      </w:r>
    </w:p>
    <w:p w:rsidR="00F677A7" w:rsidRPr="00F677A7" w:rsidP="00F677A7" w14:paraId="50DBF99C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降低生产成本和提高效率：通过产品升级换代和创新，可以降低生产成本和提高生产效率。具体的升级和创新包括改进生产工艺、采</w:t>
      </w:r>
      <w:r w:rsidRPr="00F677A7">
        <w:rPr>
          <w:rFonts w:ascii="仿宋" w:eastAsia="仿宋" w:hAnsi="仿宋" w:hint="eastAsia"/>
          <w:sz w:val="28"/>
        </w:rPr>
        <w:t>用新材料、提高生产自动化程度等。通过降低生产成本和提高生产效率，可以提高企业的盈利能力和市场竞争力。</w:t>
      </w:r>
    </w:p>
    <w:p w:rsidR="00F677A7" w:rsidP="00F677A7" w14:paraId="24237524" w14:textId="2203C8B0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增强品牌形象和企业声誉：通过产品升级换代和创新，可以增强企业的品牌形象和企业声誉。具体的升级和创新包括提高产品的艺术价值、融入文化内涵、注重环保和社会责任等。通过增强品牌形象和企业声誉，可以提高企业的知名度和用户忠诚度。</w:t>
      </w:r>
    </w:p>
    <w:p w:rsidR="00F677A7" w:rsidP="00F677A7" w14:paraId="01750CFF" w14:textId="0280454B">
      <w:pPr>
        <w:pStyle w:val="Heading2"/>
      </w:pPr>
      <w:bookmarkStart w:id="4" w:name="_Toc153761742"/>
      <w:r w:rsidRPr="00F677A7">
        <w:t>(三)、产品升级换代和创新的实施方案</w:t>
      </w:r>
      <w:bookmarkEnd w:id="4"/>
    </w:p>
    <w:p w:rsidR="00F677A7" w:rsidRPr="00F677A7" w:rsidP="00F677A7" w14:paraId="45BC649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建立创新团队：为了推动产品升级换代和创新，需要建立一个专门的创新团队。该团队应包括跨部门的成员，如研发人员、设计师、市场营销专家等，以确保多方面的专业知识和视角。团队成员应具备创新思维和实践经验，并有能力协同合作。</w:t>
      </w:r>
    </w:p>
    <w:p w:rsidR="00F677A7" w:rsidRPr="00F677A7" w:rsidP="00F677A7" w14:paraId="0D46E042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进行市场调研：在产品升级换代和创新之前，需要进行充分的市场调研。通过市场调研，可以了解目标市场的需求和趋势，发现潜在的机会和挑战。市场调研可以采用定性和定量的方法，如用户调研、竞争对手分析、趋势预测等。</w:t>
      </w:r>
    </w:p>
    <w:p w:rsidR="00F677A7" w:rsidRPr="00F677A7" w:rsidP="00F677A7" w14:paraId="301D99A4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制定创新策略：基于市场调研的结果，制定产品升级换代和创新的策略。创新策略应明确产品的定位、目标市场、竞争优势等。同时，创新策略还应考虑技术可行性、市场可行性和商业可行性，以确保创新的成功和商业化。</w:t>
      </w:r>
    </w:p>
    <w:p w:rsidR="00F677A7" w:rsidRPr="00F677A7" w:rsidP="00F677A7" w14:paraId="74150489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推行创新流程和方法：建立创新流程和方法，以引导产品升级换代和创新的实施。创新流程可以包括创意生成、概念验证、原型开发、</w:t>
      </w:r>
      <w:r w:rsidRPr="00F677A7">
        <w:rPr>
          <w:rFonts w:ascii="仿宋" w:eastAsia="仿宋" w:hAnsi="仿宋" w:hint="eastAsia"/>
          <w:sz w:val="28"/>
        </w:rPr>
        <w:t>测试和推广等阶段。创新方法可以采用设计思维、敏捷开发、原型迭代等方法，以促进创新的快速迭代和学习。</w:t>
      </w:r>
    </w:p>
    <w:p w:rsidR="00F677A7" w:rsidP="00F677A7" w14:paraId="23EB8159" w14:textId="655BE484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提供资源支持：为产品升级换代和创新提供必要的资源支持。资源支持可以包括资金投入、技术支持、人力资源等。同时，还应建立激励机制，激励团队成员积极参与创新活动，并给予他们适当的奖励和认可。</w:t>
      </w:r>
    </w:p>
    <w:p w:rsidR="00F677A7" w:rsidP="00F677A7" w14:paraId="5BC98057" w14:textId="5C4D73C7">
      <w:pPr>
        <w:pStyle w:val="Heading1"/>
        <w:rPr>
          <w:rFonts w:hint="eastAsia"/>
        </w:rPr>
      </w:pPr>
      <w:bookmarkStart w:id="5" w:name="_Toc153761743"/>
      <w:r w:rsidRPr="00F677A7">
        <w:rPr>
          <w:rFonts w:hint="eastAsia"/>
        </w:rPr>
        <w:t>二、机电设备项目综合评价</w:t>
      </w:r>
      <w:bookmarkEnd w:id="5"/>
    </w:p>
    <w:p w:rsidR="00F677A7" w:rsidRPr="00F677A7" w:rsidP="00F677A7" w14:paraId="5699B726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经过深入细致的市场调研和政策咨询，</w:t>
      </w:r>
      <w:r w:rsidRPr="00F677A7">
        <w:rPr>
          <w:rFonts w:ascii="仿宋" w:eastAsia="仿宋" w:hAnsi="仿宋"/>
          <w:sz w:val="28"/>
        </w:rPr>
        <w:t>XXXX有限公司充分了解了当前的市场情况以及政策环境。这些调查结果坚定地确认，机电设备项目不仅与国家产业政策相契合，与地方产品规划相互呼应，而且也与公司长远的经营发展目标相一致。基于这些认知，机电设备项目被视为公司未来潜在的主要盈利来源，因为它蕴含着广阔的市场前景和发展潜力。</w:t>
      </w:r>
    </w:p>
    <w:p w:rsidR="00F677A7" w:rsidRPr="00F677A7" w:rsidP="00F677A7" w14:paraId="7985B2FA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机电设备项目的生产所需原料易于获取，技术方案成熟可靠，市场需求广泛，这为产品的销售和价格稳定提供了坚实的保障。此外，机电设备项目不仅将为公司带来丰厚的经济效益，还将为社会创造显著的价值，为地方经济的进一步发展和人民生活水平的提升作出积极的贡献。</w:t>
      </w:r>
    </w:p>
    <w:p w:rsidR="00F677A7" w:rsidRPr="00F677A7" w:rsidP="00F677A7" w14:paraId="25C790A4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市场调研和分析显示，本机电设备项目在市场上有明确的定位和目标客户群体，有能力满足消费者的需求和期望。环保分析显示，机电设备项目的生产过程符合环保要求，不会对环境造成不良影响。投</w:t>
      </w:r>
      <w:r w:rsidRPr="00F677A7">
        <w:rPr>
          <w:rFonts w:ascii="仿宋" w:eastAsia="仿宋" w:hAnsi="仿宋" w:hint="eastAsia"/>
          <w:sz w:val="28"/>
        </w:rPr>
        <w:t>资分析表明，机电设备项目的投资回报率较高，投资回收期相对较短，显示出较高的投资价值。</w:t>
      </w:r>
    </w:p>
    <w:p w:rsidR="00F677A7" w:rsidRPr="00F677A7" w:rsidP="00F677A7" w14:paraId="4CE04DF4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机电设备项目所需的公用工程和配套设施，如水、电、气等，已得到充分配置，确保了机电设备项目生产的需要。工艺技术和主要设备的选型方案分析表明，机电设备项目采用的技术和设备成熟可靠，能够保障高效生产和优质产品的制造。</w:t>
      </w:r>
    </w:p>
    <w:p w:rsidR="00F677A7" w:rsidP="00F677A7" w14:paraId="4506F78C" w14:textId="541B644E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总体而言，机电设备项目具备明显的市场竞争优势，同时也能够带来良好的经济效益和社会效益。这使得它成为一个值得投资和积极发展的机电设备项目机会。</w:t>
      </w:r>
    </w:p>
    <w:p w:rsidR="00F677A7" w:rsidP="00F677A7" w14:paraId="7493043E" w14:textId="4716B73C">
      <w:pPr>
        <w:pStyle w:val="Heading2"/>
      </w:pPr>
      <w:bookmarkStart w:id="6" w:name="_Toc153761744"/>
      <w:r w:rsidRPr="00F677A7">
        <w:t>(一)、机电设备项目建设期总体设计</w:t>
      </w:r>
      <w:bookmarkEnd w:id="6"/>
    </w:p>
    <w:p w:rsidR="00F677A7" w:rsidP="00F677A7" w14:paraId="4CC721B7" w14:textId="615B09DA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本期工程机电设备项目的建设期限规划为</w:t>
      </w:r>
      <w:r w:rsidRPr="00F677A7">
        <w:rPr>
          <w:rFonts w:ascii="仿宋" w:eastAsia="仿宋" w:hAnsi="仿宋"/>
          <w:sz w:val="28"/>
        </w:rPr>
        <w:t>XXX个月。从机电设备项目可行性研究报告的编制到工程竣工验收、投产运营共需XXX个月的时间。在土建施工和设备安装过程中，需要同时制定施工计划、招聘和培训人员。待工程完工后，便可进行投产运营。</w:t>
      </w:r>
    </w:p>
    <w:p w:rsidR="00F677A7" w:rsidP="00F677A7" w14:paraId="1AEFFBDF" w14:textId="039E6CA9">
      <w:pPr>
        <w:pStyle w:val="Heading2"/>
      </w:pPr>
      <w:bookmarkStart w:id="7" w:name="_Toc153761745"/>
      <w:r w:rsidRPr="00F677A7">
        <w:t>(二)、机电设备项目实施保障措施</w:t>
      </w:r>
      <w:bookmarkEnd w:id="7"/>
    </w:p>
    <w:p w:rsidR="00F677A7" w:rsidRPr="00F677A7" w:rsidP="00F677A7" w14:paraId="743AAE85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机电设备项目实施的保障措施如下：</w:t>
      </w:r>
    </w:p>
    <w:p w:rsidR="00F677A7" w:rsidRPr="00F677A7" w:rsidP="00F677A7" w14:paraId="3D2F43FB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F677A7">
        <w:rPr>
          <w:rFonts w:ascii="仿宋" w:eastAsia="仿宋" w:hAnsi="仿宋"/>
          <w:sz w:val="28"/>
        </w:rPr>
        <w:t>1.</w:t>
      </w: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/>
          <w:sz w:val="28"/>
        </w:rPr>
        <w:t xml:space="preserve"> 组织与管理保障：我们将建立一个完备的组织管理体系，制定详细的机电设备项目实施计划和时间安排，并明晰每位团队成员的职责和任务。此外，定期召开机电设备项目进展会议，以确保对机电设备项目进展情况有持续的了解，并及时解决所遇到的问题。</w:t>
      </w:r>
    </w:p>
    <w:p w:rsidR="00F677A7" w:rsidRPr="00F677A7" w:rsidP="00F677A7" w14:paraId="64213F0D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/>
          <w:sz w:val="28"/>
        </w:rPr>
        <w:t>2. 技术支持保障：为确保机电设备项目的技术落地和稳定运行，我们将提供专业的技术支持。这包括相关技术领域的专家指导和解决方案，以应对可能出现的挑战。</w:t>
      </w:r>
    </w:p>
    <w:p w:rsidR="00F677A7" w:rsidRPr="00F677A7" w:rsidP="00F677A7" w14:paraId="187D5601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/>
          <w:sz w:val="28"/>
        </w:rPr>
        <w:t>3. 人力资源保障：我们将充分调配人力资源，以确保机电设备项目团队成员具备必要的技能和经验。</w:t>
      </w:r>
      <w:r w:rsidRPr="00F677A7">
        <w:rPr>
          <w:rFonts w:ascii="仿宋" w:eastAsia="仿宋" w:hAnsi="仿宋" w:hint="eastAsia"/>
          <w:sz w:val="28"/>
        </w:rPr>
        <w:t>通过定期培训和技能提升，我们将持续提高团队的综合素质。</w:t>
      </w:r>
    </w:p>
    <w:p w:rsidR="00F677A7" w:rsidRPr="00F677A7" w:rsidP="00F677A7" w14:paraId="47EB1720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/>
          <w:sz w:val="28"/>
        </w:rPr>
        <w:t>4. 资金保障：为确保机电设备项目不受资金问题影响，我们将提供充足的资金支持，以保障机电设备项目开支的及时支付。</w:t>
      </w:r>
    </w:p>
    <w:p w:rsidR="00F677A7" w:rsidP="00F677A7" w14:paraId="0003BF8A" w14:textId="20E3031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/>
          <w:sz w:val="28"/>
        </w:rPr>
        <w:t>5. 风险管理保障：我们将制定全面的风险管理计划，预测并应对机电设备项目实施过程中可能出现的各类风险。通过这些措施，我们将确保机电设备项目能够稳健推进并取得成功。</w:t>
      </w:r>
    </w:p>
    <w:p w:rsidR="00F677A7" w:rsidP="00F677A7" w14:paraId="7ED13F7A" w14:textId="3C7D2D06">
      <w:pPr>
        <w:pStyle w:val="Heading1"/>
        <w:rPr>
          <w:rFonts w:hint="eastAsia"/>
        </w:rPr>
      </w:pPr>
      <w:bookmarkStart w:id="8" w:name="_Toc153761746"/>
      <w:r w:rsidRPr="00F677A7">
        <w:rPr>
          <w:rFonts w:hint="eastAsia"/>
        </w:rPr>
        <w:t>三、创新商业模式和价值创造</w:t>
      </w:r>
      <w:bookmarkEnd w:id="8"/>
    </w:p>
    <w:p w:rsidR="00F677A7" w:rsidP="00F677A7" w14:paraId="71BACCC4" w14:textId="264E732A">
      <w:pPr>
        <w:pStyle w:val="Heading2"/>
      </w:pPr>
      <w:bookmarkStart w:id="9" w:name="_Toc153761747"/>
      <w:r w:rsidRPr="00F677A7">
        <w:t>(一)、创新商业模式的介绍和实例分析</w:t>
      </w:r>
      <w:bookmarkEnd w:id="9"/>
    </w:p>
    <w:p w:rsidR="00F677A7" w:rsidRPr="00F677A7" w:rsidP="00F677A7" w14:paraId="2A04ABF3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F677A7">
        <w:rPr>
          <w:rFonts w:ascii="仿宋" w:eastAsia="仿宋" w:hAnsi="仿宋" w:hint="eastAsia"/>
          <w:sz w:val="28"/>
        </w:rPr>
        <w:t>创新商业模式的介绍：创新商业模式是指在现有市场和资源的基础上，通过创新和变革，开创新的商业模式，实现商业目标和可持续发展。创新商业模式包括产品或服务的创新、市场营销的创新、收入模式的创新、供应链的创新等方面。创新商业模式能够带来新的商业机会、增加企业的竞争力、提高客户价值、降低成本和风险等多重效益。</w:t>
      </w:r>
    </w:p>
    <w:p w:rsidR="00F677A7" w:rsidP="00F677A7" w14:paraId="12E8996E" w14:textId="4EF534BD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实例分析：以共享经济模式为例，共享经济是一种基于互联网和</w:t>
      </w:r>
      <w:r w:rsidRPr="00F677A7">
        <w:rPr>
          <w:rFonts w:ascii="仿宋" w:eastAsia="仿宋" w:hAnsi="仿宋" w:hint="eastAsia"/>
          <w:sz w:val="28"/>
        </w:rPr>
        <w:t>移动互联网的创新商业模式，通过共享资源、共享服务和共享平台，实现资源的最大化利用和效率提升。共享经济模式的实现，需要解决资源共享、信任机制、平台建设等多个问题。例如，共享单车企业可以通过建立智能锁和移动支付系统，实现自助租借和归还，降低管理成本和提高用户体验；共享住宿企业可以通过建立信任评价机制和保险机制，提高用户信任度和安全性；共享办公企业可以通过提供灵活的租赁方式和共享办公设施，降低企业成本和提高工作效率。</w:t>
      </w:r>
    </w:p>
    <w:p w:rsidR="00F677A7" w:rsidP="00F677A7" w14:paraId="68D2D145" w14:textId="7AB337AD">
      <w:pPr>
        <w:pStyle w:val="Heading2"/>
      </w:pPr>
      <w:bookmarkStart w:id="10" w:name="_Toc153761748"/>
      <w:r w:rsidRPr="00F677A7">
        <w:t>(二)、商业模式创新对机电设备项目价值的影响</w:t>
      </w:r>
      <w:bookmarkEnd w:id="10"/>
    </w:p>
    <w:p w:rsidR="00F677A7" w:rsidRPr="00F677A7" w:rsidP="00F677A7" w14:paraId="0ADD4CC0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价值提升：商业模式创新可以带来新的商业机会和增值服务，提高产品或服务的附加值和差异化竞争力，从而提升机电设备项目的市场价值和商业价值。例如，通过采用订阅制或付费会员制等收入模式创新，可以增加机电设备项目的收入来源和稳定性；通过采用共享经济模式或区块链技术等供应链创新，可以降低成本和风险，提高效率和可靠性。</w:t>
      </w:r>
    </w:p>
    <w:p w:rsidR="00F677A7" w:rsidRPr="00F677A7" w:rsidP="00F677A7" w14:paraId="26945229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竞争优势：商业模式创新可以带来新的商业模式和商业生态，打破传统的竞争格局，创造新的竞争优势。例如，通过采用平台经济模式或社交化营销模式等市场营销创新，可以拓展机电设备项目的市场份额和用户群体；通过采用云计算或物联网技术等技术创新，可以提高机电设备项目的技术水平和创新能力。</w:t>
      </w:r>
    </w:p>
    <w:p w:rsidR="00F677A7" w:rsidP="00F677A7" w14:paraId="70419A91" w14:textId="2320AD2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</w:p>
    <w:p w:rsidR="00F677A7" w:rsidP="00F677A7" w14:textId="2320AD29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可持续发展：商业模式创新可以带来新的商业模式和商业生态，促进机电设备项目的可持续发展。例如，通过采用循环经济模式或绿</w:t>
      </w:r>
      <w:r w:rsidRPr="00F677A7">
        <w:rPr>
          <w:rFonts w:ascii="仿宋" w:eastAsia="仿宋" w:hAnsi="仿宋" w:hint="eastAsia"/>
          <w:sz w:val="28"/>
        </w:rPr>
        <w:t>色供应链模式等可持续发展创新，可以降低机电设备项目的环境影响和社会风险，提高机电设备项目的社会责任和企业形象。</w:t>
      </w:r>
    </w:p>
    <w:p w:rsidR="00F677A7" w:rsidP="00F677A7" w14:paraId="09D0BCB9" w14:textId="27E4BCA8">
      <w:pPr>
        <w:pStyle w:val="Heading2"/>
      </w:pPr>
      <w:bookmarkStart w:id="11" w:name="_Toc153761749"/>
      <w:r w:rsidRPr="00F677A7">
        <w:t>(三)、商业模式持续创新和迭代发展的策略</w:t>
      </w:r>
      <w:bookmarkEnd w:id="11"/>
    </w:p>
    <w:p w:rsidR="00F677A7" w:rsidRPr="00F677A7" w:rsidP="00F677A7" w14:paraId="36D94D0F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持续创新：商业模式持续创新是指不断地寻找新的商业机会和创新点，通过创新和变革，实现商业目标和可持续发展。持续创新需要建立创新机制和创新文化，鼓励团队成员提出新的创意和建议，同时需要建立创新评估和实施机制，对创新点进行评估和筛选，制定创新计划和实施方案。</w:t>
      </w:r>
    </w:p>
    <w:p w:rsidR="00F677A7" w:rsidRPr="00F677A7" w:rsidP="00F677A7" w14:paraId="50070F86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迭代发展：商业模式迭代发展是指不断地对商业模式进行调整和优化，通过实践和反馈，不断地改进和完善商业模式，实现商业目标和可持续发展。迭代发展需要建立反馈机制和数据分析机制，及时了解用户反馈和市场信息，对商业模式进行调整和优化，同时需要建立迭代管理和实施机制，对商业模式的改进进行跟踪和管理。</w:t>
      </w:r>
    </w:p>
    <w:p w:rsidR="00F677A7" w:rsidRPr="00F677A7" w:rsidP="00F677A7" w14:paraId="7979DF8D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策略建议：为了实现商业模式的持续创新和迭代发展，我们需要建立以下策略建议：</w:t>
      </w:r>
    </w:p>
    <w:p w:rsidR="00F677A7" w:rsidRPr="00F677A7" w:rsidP="00F677A7" w14:paraId="1ECE8BAA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建立创新和迭代的文化和机制，鼓励团队成员提出新的创意和建议，同时建立创新评估和实施机制，对创新点进行评估和筛选，制定创新计划和实施方案。</w:t>
      </w:r>
    </w:p>
    <w:p w:rsidR="00F677A7" w:rsidRPr="00F677A7" w:rsidP="00F677A7" w14:paraId="2BD993F5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建立反馈和数据分析机制，及时了解用户反馈和市场信息，对商业模式进行调整和优化，同时建立迭代管理和实施机制，对商业模式的改进进行跟踪和管理。</w:t>
      </w:r>
    </w:p>
    <w:p w:rsidR="00F677A7" w:rsidRPr="00F677A7" w:rsidP="00F677A7" w14:paraId="29C0384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注重社会责任和可持续发展，将商业模式的持续创新和迭代发展与社会责任和可持续发展相结合，实现商业目标和社会效益的双赢。</w:t>
      </w:r>
    </w:p>
    <w:p w:rsidR="00F677A7" w:rsidP="00F677A7" w14:paraId="0EE7AD7C" w14:textId="4EF11FDE">
      <w:pPr>
        <w:ind w:firstLine="560" w:firstLineChars="200"/>
        <w:rPr>
          <w:rFonts w:ascii="仿宋" w:eastAsia="仿宋" w:hAnsi="仿宋" w:hint="eastAsia"/>
          <w:sz w:val="28"/>
        </w:rPr>
      </w:pPr>
      <w:r w:rsidRPr="00F677A7">
        <w:rPr>
          <w:rFonts w:ascii="仿宋" w:eastAsia="仿宋" w:hAnsi="仿宋" w:hint="eastAsia"/>
          <w:sz w:val="28"/>
        </w:rPr>
        <w:t>建立有效的沟通机制和团队协作机制，明确团队成员的角色和职责，注重团队文化的建立和维护，确保商业模式的持续创新和迭代发展的顺利实施。</w:t>
      </w:r>
    </w:p>
    <w:p w:rsidR="00F677A7" w:rsidP="00F677A7" w14:paraId="764BEA44" w14:textId="5967221F">
      <w:pPr>
        <w:pStyle w:val="Heading1"/>
        <w:rPr>
          <w:rFonts w:hint="eastAsia"/>
        </w:rPr>
      </w:pPr>
      <w:bookmarkStart w:id="12" w:name="_Toc153761750"/>
      <w:r w:rsidRPr="00F677A7">
        <w:rPr>
          <w:rFonts w:hint="eastAsia"/>
        </w:rPr>
        <w:t>四、客户服务和消费者权益保护</w:t>
      </w:r>
      <w:bookmarkEnd w:id="12"/>
    </w:p>
    <w:p w:rsidR="00F677A7" w:rsidP="00F677A7" w14:paraId="3DEF0565" w14:textId="15AEB69B">
      <w:pPr>
        <w:pStyle w:val="Heading2"/>
      </w:pPr>
      <w:bookmarkStart w:id="13" w:name="_Toc153761751"/>
      <w:r w:rsidRPr="00F677A7">
        <w:t>(一)、客户服务的标准和流程</w:t>
      </w:r>
      <w:bookmarkEnd w:id="13"/>
    </w:p>
    <w:p w:rsidR="00F677A7" w:rsidRPr="00F677A7" w:rsidP="00F677A7" w14:paraId="7F542289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客户服务标准的制定：</w:t>
      </w:r>
    </w:p>
    <w:p w:rsidR="00F677A7" w:rsidRPr="00F677A7" w:rsidP="00F677A7" w14:paraId="5BA4F8B0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服务定位：明确机电设备项目产品的服务定位和目标客户群体，确定服务的核心价值和差异化特点。</w:t>
      </w:r>
    </w:p>
    <w:p w:rsidR="00F677A7" w:rsidRPr="00F677A7" w:rsidP="00F677A7" w14:paraId="4C80444B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服务质量标准：制定客户服务的质量标准，包括响应时间、问题解决率、客户满意度等指标，以确保服务质量的稳定和提升。</w:t>
      </w:r>
    </w:p>
    <w:p w:rsidR="00F677A7" w:rsidRPr="00F677A7" w:rsidP="00F677A7" w14:paraId="63BFF5F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沟通和礼仪准则：制定客户沟通和互动的准则，包括礼貌待客、积极倾听、专业回应等，以提升客户体验和建立良好的客户关系。</w:t>
      </w:r>
    </w:p>
    <w:p w:rsidR="00F677A7" w:rsidRPr="00F677A7" w:rsidP="00F677A7" w14:paraId="2C8673E4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售后支持：确定售后支持的范围和方式，包括技术支持、维修保养、产品更新等，以满足客户的售后需求。</w:t>
      </w:r>
    </w:p>
    <w:p w:rsidR="00F677A7" w:rsidRPr="00F677A7" w:rsidP="00F677A7" w14:paraId="56E27659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客户服务流程的建立：</w:t>
      </w:r>
    </w:p>
    <w:p w:rsidR="00F677A7" w:rsidRPr="00F677A7" w:rsidP="00F677A7" w14:paraId="1A238E2F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</w:p>
    <w:p w:rsidR="00F677A7" w:rsidRPr="00F677A7" w:rsidP="00F677A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客户接触点识别：识别机电设备项目产品与客户接触的各个环节和渠道，包括电话、邮件、在线聊天、社交媒体等，以确保全面的客户服务覆盖。</w:t>
      </w:r>
    </w:p>
    <w:p w:rsidR="00F677A7" w:rsidRPr="00F677A7" w:rsidP="00F677A7" w14:paraId="1E441B19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服务请求管理：建立客户服务请求的管理流程，包括服务请求的接收、记录、分配和跟踪，以确保及时响应和问题解决。</w:t>
      </w:r>
    </w:p>
    <w:p w:rsidR="00F677A7" w:rsidRPr="00F677A7" w:rsidP="00F677A7" w14:paraId="1C6E809F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技术支持和培训：建立技术支持和培训的流程，包括技术人员的安排和培训计划，以提供专业的技术支持和培训服务。</w:t>
      </w:r>
    </w:p>
    <w:p w:rsidR="00F677A7" w:rsidRPr="00F677A7" w:rsidP="00F677A7" w14:paraId="00E35500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投诉处理和反馈机制：建立客户投诉处理和反馈机制，包括投诉接收、调查、解决和反馈，以及持续改进的措施，以提高客户满意度和忠诚度。</w:t>
      </w:r>
    </w:p>
    <w:p w:rsidR="00F677A7" w:rsidRPr="00F677A7" w:rsidP="00F677A7" w14:paraId="6DD7308B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数据分析和改进：建立客户服务数据的收集和分析机制，评估客户服务的绩效和问题点，及时调整和改进客户服务流程和标准。</w:t>
      </w:r>
    </w:p>
    <w:p w:rsidR="00F677A7" w:rsidRPr="00F677A7" w:rsidP="00F677A7" w14:paraId="4A54D13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培训和人员管理：</w:t>
      </w:r>
    </w:p>
    <w:p w:rsidR="00F677A7" w:rsidRPr="00F677A7" w:rsidP="00F677A7" w14:paraId="55F7EAB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培训计划：制定客户服务人员的培训计划，包括产品知识、沟通技巧、问题解决能力等方面的培训，以提升客户服务的专业水平。</w:t>
      </w:r>
    </w:p>
    <w:p w:rsidR="00F677A7" w:rsidRPr="00F677A7" w:rsidP="00F677A7" w14:paraId="3DD83136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人员配置：合理配置客户服务人员的数量和结构，确保客户服务团队的有效运作和资源利用。</w:t>
      </w:r>
    </w:p>
    <w:p w:rsidR="00F677A7" w:rsidRPr="00F677A7" w:rsidP="00F677A7" w14:paraId="6BBAFEBB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绩效评估和激励：建立客户服务人员的绩效评估机制，设定相关指标和激励措施，激发客户服务团队的积极性和动力。</w:t>
      </w:r>
    </w:p>
    <w:p w:rsidR="00F677A7" w:rsidRPr="00F677A7" w:rsidP="00F677A7" w14:paraId="30F3796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技术支持和工具：</w:t>
      </w:r>
    </w:p>
    <w:p w:rsidR="00F677A7" w:rsidRPr="00F677A7" w:rsidP="00F677A7" w14:paraId="15592127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技术支持系统：建立技术支持系统，包括知识库、故障排除工具、远程支持等，以提供高效的技术支持服务。</w:t>
      </w:r>
    </w:p>
    <w:p w:rsidR="00F677A7" w:rsidP="00F677A7" w14:paraId="1A1EC21D" w14:textId="60469157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 w:rsidRPr="00F677A7">
        <w:rPr>
          <w:rFonts w:ascii="仿宋" w:eastAsia="仿宋" w:hAnsi="仿宋"/>
          <w:sz w:val="28"/>
        </w:rPr>
        <w:t>CRM系统：使用客户关系管理系统，记录客户信息</w:t>
      </w:r>
      <w:r w:rsidRPr="00F677A7">
        <w:rPr>
          <w:rFonts w:ascii="仿宋" w:eastAsia="仿宋" w:hAnsi="仿宋" w:hint="eastAsia"/>
          <w:sz w:val="28"/>
        </w:rPr>
        <w:t>、服务记录和反馈，以实现客户信息的集中管理和个性化服务的提供。</w:t>
      </w:r>
    </w:p>
    <w:p w:rsidR="00F677A7" w:rsidP="00F677A7" w14:paraId="2C9D80B7" w14:textId="315FAF78">
      <w:pPr>
        <w:pStyle w:val="Heading2"/>
      </w:pPr>
      <w:bookmarkStart w:id="14" w:name="_Toc153761752"/>
      <w:r w:rsidRPr="00F677A7">
        <w:t>(二)、消费者权益保护的措施和办法</w:t>
      </w:r>
      <w:bookmarkEnd w:id="14"/>
    </w:p>
    <w:p w:rsidR="00F677A7" w:rsidRPr="00F677A7" w:rsidP="00F677A7" w14:paraId="4493F066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法律法规遵守：</w:t>
      </w:r>
    </w:p>
    <w:p w:rsidR="00F677A7" w:rsidRPr="00F677A7" w:rsidP="00F677A7" w14:paraId="2E5D0D4E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了解相关法律法规：研究机电设备项目产品所涉及的消费者权益保护相关法律法规，如消费者权益保护法、产品质量法等，确保机电设备项目产品的合规性。</w:t>
      </w:r>
    </w:p>
    <w:p w:rsidR="00F677A7" w:rsidRPr="00F677A7" w:rsidP="00F677A7" w14:paraId="78200EB6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严格遵守法律法规：确保机电设备项目产品在生产、销售和售后服务过程中严格遵守相关法律法规，包括产品质量、产品安全、产品标识等方面的要求。</w:t>
      </w:r>
    </w:p>
    <w:p w:rsidR="00F677A7" w:rsidRPr="00F677A7" w:rsidP="00F677A7" w14:paraId="7E7A9AA9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产品质量保证：</w:t>
      </w:r>
    </w:p>
    <w:p w:rsidR="00F677A7" w:rsidRPr="00F677A7" w:rsidP="00F677A7" w14:paraId="6BC690E4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质量控制体系：建立完善的质量控制体系，包括原材料采购、生产工艺、产品检验等环节，确保产品质量符合标准和规定。</w:t>
      </w:r>
    </w:p>
    <w:p w:rsidR="00F677A7" w:rsidRPr="00F677A7" w:rsidP="00F677A7" w14:paraId="6FEA4E3B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售后服务保障：建立健全的售后服务体系，包括产品质量问题的投诉处理、退换货政策、维修保养等，确保消费者在购买后能够得到及时的支持和解决方案。</w:t>
      </w:r>
    </w:p>
    <w:p w:rsidR="00F677A7" w:rsidRPr="00F677A7" w:rsidP="00F677A7" w14:paraId="2989F782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信息透明和宣传：</w:t>
      </w:r>
    </w:p>
    <w:p w:rsidR="00F677A7" w:rsidRPr="00F677A7" w:rsidP="00F677A7" w14:paraId="2F00ECCF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产品信息披露：提供准确、清晰、完整的产品信息，包括产品特性、使用说明、质量标准等，确保消费者能够全面了解产品。</w:t>
      </w:r>
    </w:p>
    <w:p w:rsidR="00F677A7" w:rsidRPr="00F677A7" w:rsidP="00F677A7" w14:paraId="29BA64D3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宣传真实性：确保产品宣传和广告内容真实、准确，不夸大产品的性能和效果，避免误导消费者。</w:t>
      </w:r>
    </w:p>
    <w:p w:rsidR="00F677A7" w:rsidRPr="00F677A7" w:rsidP="00F677A7" w14:paraId="6D4275D0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投诉处理和争议解决：</w:t>
      </w:r>
    </w:p>
    <w:p w:rsidR="00F677A7" w:rsidRPr="00F677A7" w:rsidP="00F677A7" w14:paraId="4DB4747D" w14:textId="77777777">
      <w:pPr>
        <w:ind w:firstLine="560" w:firstLineChars="200"/>
        <w:rPr>
          <w:rFonts w:ascii="仿宋" w:eastAsia="仿宋" w:hAnsi="仿宋"/>
          <w:sz w:val="28"/>
        </w:rPr>
      </w:pPr>
      <w:r w:rsidRPr="00F677A7">
        <w:rPr>
          <w:rFonts w:ascii="仿宋" w:eastAsia="仿宋" w:hAnsi="仿宋" w:hint="eastAsia"/>
          <w:sz w:val="28"/>
        </w:rPr>
        <w:t>投诉渠道设立：建立便捷的投诉渠道，包括客服热线、在线投诉平台等，方便消费者提出投诉和意见反馈。</w:t>
      </w:r>
      <w:r w:rsidRPr="00F677A7">
        <w:rPr>
          <w:rFonts w:ascii="仿宋" w:eastAsia="仿宋" w:hAnsi="仿宋"/>
          <w:sz w:val="28"/>
        </w:rPr>
        <w:br/>
      </w:r>
      <w:r w:rsidRPr="00F677A7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https://d.book118.com/205233200114011042</w:t>
        </w:r>
      </w:hyperlink>
    </w:p>
    <w:p w:rsidR="00F677A7" w:rsidRPr="00F677A7" w:rsidP="00F677A7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type w:val="nextPage"/>
      <w:pgSz w:w="11906" w:h="16838"/>
      <w:pgMar w:top="1440" w:right="1800" w:bottom="1440" w:left="1800" w:header="851" w:footer="992" w:gutter="0"/>
      <w:pgNumType w:start="1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paraId="72B5915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paraId="162C0361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paraId="3A96A3E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677A7" w14:paraId="24F94B4A" w14:textId="7777777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paraId="3D2C1EB6" w14:textId="77777777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P="00DE2532" w14:textId="3B108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677A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paraId="562CD02E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paraId="4D3E9FFF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paraId="06BB7EBB" w14:textId="77777777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:rsidRPr="00F677A7" w:rsidP="00F677A7" w14:textId="68DD9D09">
    <w:pPr>
      <w:pStyle w:val="Header"/>
      <w:rPr>
        <w:rFonts w:ascii="仿宋" w:eastAsia="仿宋" w:hAnsi="仿宋"/>
      </w:rPr>
    </w:pPr>
    <w:r w:rsidRPr="00F677A7">
      <w:rPr>
        <w:rFonts w:ascii="仿宋" w:eastAsia="仿宋" w:hAnsi="仿宋" w:hint="eastAsia"/>
      </w:rPr>
      <w:t>机电设备可行性报告</w:t>
    </w:r>
    <w:r w:rsidRPr="00F677A7">
      <w:rPr>
        <w:rFonts w:ascii="仿宋" w:eastAsia="仿宋" w:hAnsi="仿宋"/>
      </w:rPr>
      <w:t>/专业报告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7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A7"/>
    <w:rsid w:val="00DE2532"/>
    <w:rsid w:val="00E97B22"/>
    <w:rsid w:val="00F677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955062"/>
  <w15:chartTrackingRefBased/>
  <w15:docId w15:val="{1FF89A7A-9115-4BE0-92A4-AF3A92B1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67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677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677A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677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677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677A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67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677A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7A7"/>
  </w:style>
  <w:style w:type="paragraph" w:styleId="TOC1">
    <w:name w:val="toc 1"/>
    <w:basedOn w:val="Normal"/>
    <w:next w:val="Normal"/>
    <w:autoRedefine/>
    <w:uiPriority w:val="39"/>
    <w:unhideWhenUsed/>
    <w:rsid w:val="00F677A7"/>
  </w:style>
  <w:style w:type="paragraph" w:styleId="TOC2">
    <w:name w:val="toc 2"/>
    <w:basedOn w:val="Normal"/>
    <w:next w:val="Normal"/>
    <w:autoRedefine/>
    <w:uiPriority w:val="39"/>
    <w:unhideWhenUsed/>
    <w:rsid w:val="00F677A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header" Target="header29.xml" /><Relationship Id="rId6" Type="http://schemas.openxmlformats.org/officeDocument/2006/relationships/footer" Target="footer1.xml" /><Relationship Id="rId60" Type="http://schemas.openxmlformats.org/officeDocument/2006/relationships/footer" Target="footer28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header" Target="header32.xml" /><Relationship Id="rId66" Type="http://schemas.openxmlformats.org/officeDocument/2006/relationships/footer" Target="footer31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eader" Target="header34.xml" /><Relationship Id="rId71" Type="http://schemas.openxmlformats.org/officeDocument/2006/relationships/header" Target="header35.xml" /><Relationship Id="rId72" Type="http://schemas.openxmlformats.org/officeDocument/2006/relationships/footer" Target="footer34.xml" /><Relationship Id="rId73" Type="http://schemas.openxmlformats.org/officeDocument/2006/relationships/footer" Target="footer35.xml" /><Relationship Id="rId74" Type="http://schemas.openxmlformats.org/officeDocument/2006/relationships/header" Target="header36.xml" /><Relationship Id="rId75" Type="http://schemas.openxmlformats.org/officeDocument/2006/relationships/footer" Target="footer36.xml" /><Relationship Id="rId76" Type="http://schemas.openxmlformats.org/officeDocument/2006/relationships/header" Target="header37.xml" /><Relationship Id="rId77" Type="http://schemas.openxmlformats.org/officeDocument/2006/relationships/header" Target="header38.xml" /><Relationship Id="rId78" Type="http://schemas.openxmlformats.org/officeDocument/2006/relationships/footer" Target="footer37.xml" /><Relationship Id="rId79" Type="http://schemas.openxmlformats.org/officeDocument/2006/relationships/footer" Target="footer38.xml" /><Relationship Id="rId8" Type="http://schemas.openxmlformats.org/officeDocument/2006/relationships/header" Target="header3.xml" /><Relationship Id="rId80" Type="http://schemas.openxmlformats.org/officeDocument/2006/relationships/header" Target="header39.xml" /><Relationship Id="rId81" Type="http://schemas.openxmlformats.org/officeDocument/2006/relationships/footer" Target="footer39.xml" /><Relationship Id="rId82" Type="http://schemas.openxmlformats.org/officeDocument/2006/relationships/header" Target="header40.xml" /><Relationship Id="rId83" Type="http://schemas.openxmlformats.org/officeDocument/2006/relationships/header" Target="header41.xml" /><Relationship Id="rId84" Type="http://schemas.openxmlformats.org/officeDocument/2006/relationships/footer" Target="footer40.xml" /><Relationship Id="rId85" Type="http://schemas.openxmlformats.org/officeDocument/2006/relationships/footer" Target="footer41.xml" /><Relationship Id="rId86" Type="http://schemas.openxmlformats.org/officeDocument/2006/relationships/header" Target="header42.xml" /><Relationship Id="rId87" Type="http://schemas.openxmlformats.org/officeDocument/2006/relationships/footer" Target="footer42.xml" /><Relationship Id="rId88" Type="http://schemas.openxmlformats.org/officeDocument/2006/relationships/hyperlink" Target="https://d.book118.com/205233200114011042" TargetMode="External" /><Relationship Id="rId89" Type="http://schemas.openxmlformats.org/officeDocument/2006/relationships/header" Target="header43.xml" /><Relationship Id="rId9" Type="http://schemas.openxmlformats.org/officeDocument/2006/relationships/footer" Target="footer3.xml" /><Relationship Id="rId90" Type="http://schemas.openxmlformats.org/officeDocument/2006/relationships/header" Target="header44.xml" /><Relationship Id="rId91" Type="http://schemas.openxmlformats.org/officeDocument/2006/relationships/footer" Target="footer43.xml" /><Relationship Id="rId92" Type="http://schemas.openxmlformats.org/officeDocument/2006/relationships/footer" Target="footer44.xml" /><Relationship Id="rId93" Type="http://schemas.openxmlformats.org/officeDocument/2006/relationships/header" Target="header45.xml" /><Relationship Id="rId94" Type="http://schemas.openxmlformats.org/officeDocument/2006/relationships/footer" Target="footer45.xml" /><Relationship Id="rId95" Type="http://schemas.openxmlformats.org/officeDocument/2006/relationships/theme" Target="theme/theme1.xml" /><Relationship Id="rId9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4297</Words>
  <Characters>24499</Characters>
  <Application>Microsoft Office Word</Application>
  <DocSecurity>0</DocSecurity>
  <Lines>204</Lines>
  <Paragraphs>57</Paragraphs>
  <ScaleCrop>false</ScaleCrop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贺家欢乐</dc:creator>
  <cp:lastModifiedBy>贺家欢乐</cp:lastModifiedBy>
  <cp:revision>1</cp:revision>
  <dcterms:created xsi:type="dcterms:W3CDTF">2023-12-17T19:15:00Z</dcterms:created>
  <dcterms:modified xsi:type="dcterms:W3CDTF">2023-12-17T19:15:00Z</dcterms:modified>
</cp:coreProperties>
</file>