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center"/>
        <w:rPr>
          <w:rFonts w:ascii="新宋体" w:eastAsia="新宋体" w:hAnsi="新宋体"/>
          <w:bCs/>
          <w:sz w:val="44"/>
          <w:szCs w:val="44"/>
        </w:rPr>
      </w:pPr>
      <w:r>
        <w:rPr>
          <w:rFonts w:ascii="新宋体" w:eastAsia="新宋体" w:hAnsi="新宋体" w:hint="eastAsia"/>
          <w:bCs/>
          <w:sz w:val="44"/>
          <w:szCs w:val="44"/>
        </w:rPr>
        <w:t xml:space="preserve">   </w:t>
      </w:r>
    </w:p>
    <w:p>
      <w:pPr>
        <w:spacing w:line="360" w:lineRule="auto"/>
        <w:jc w:val="center"/>
        <w:rPr>
          <w:rFonts w:ascii="新宋体" w:eastAsia="新宋体" w:hAnsi="新宋体"/>
          <w:bCs/>
          <w:sz w:val="44"/>
          <w:szCs w:val="44"/>
        </w:rPr>
      </w:pPr>
    </w:p>
    <w:p>
      <w:pPr>
        <w:spacing w:line="360" w:lineRule="auto"/>
        <w:jc w:val="center"/>
        <w:rPr>
          <w:rFonts w:ascii="新宋体" w:eastAsia="新宋体" w:hAnsi="新宋体"/>
          <w:bCs/>
          <w:sz w:val="44"/>
          <w:szCs w:val="44"/>
        </w:rPr>
      </w:pPr>
    </w:p>
    <w:p>
      <w:pPr>
        <w:spacing w:line="360" w:lineRule="auto"/>
        <w:jc w:val="center"/>
        <w:rPr>
          <w:rFonts w:ascii="新宋体" w:eastAsia="新宋体" w:hAnsi="新宋体"/>
          <w:bCs/>
          <w:sz w:val="72"/>
          <w:szCs w:val="72"/>
        </w:rPr>
      </w:pPr>
      <w:r>
        <w:rPr>
          <w:rFonts w:ascii="新宋体" w:eastAsia="新宋体" w:hAnsi="新宋体" w:hint="eastAsia"/>
          <w:bCs/>
          <w:sz w:val="72"/>
          <w:szCs w:val="72"/>
        </w:rPr>
        <w:t>承建商工程管理手册</w:t>
      </w:r>
    </w:p>
    <w:p>
      <w:pPr>
        <w:spacing w:line="360" w:lineRule="auto"/>
        <w:jc w:val="center"/>
        <w:rPr>
          <w:rFonts w:ascii="新宋体" w:eastAsia="新宋体" w:hAnsi="新宋体"/>
          <w:bCs/>
          <w:sz w:val="52"/>
          <w:szCs w:val="52"/>
        </w:rPr>
      </w:pPr>
      <w:r>
        <w:rPr>
          <w:rFonts w:ascii="新宋体" w:eastAsia="新宋体" w:hAnsi="新宋体" w:hint="eastAsia"/>
          <w:bCs/>
          <w:sz w:val="52"/>
          <w:szCs w:val="52"/>
        </w:rPr>
        <w:t>（2020版）</w:t>
      </w:r>
    </w:p>
    <w:p>
      <w:pPr>
        <w:spacing w:line="360" w:lineRule="auto"/>
        <w:jc w:val="center"/>
        <w:rPr>
          <w:rFonts w:ascii="新宋体" w:eastAsia="新宋体" w:hAnsi="新宋体"/>
          <w:bCs/>
          <w:sz w:val="44"/>
          <w:szCs w:val="44"/>
        </w:rPr>
      </w:pPr>
    </w:p>
    <w:p>
      <w:pPr>
        <w:spacing w:line="360" w:lineRule="auto"/>
        <w:jc w:val="center"/>
        <w:rPr>
          <w:rFonts w:ascii="新宋体" w:eastAsia="新宋体" w:hAnsi="新宋体"/>
          <w:bCs/>
          <w:sz w:val="44"/>
          <w:szCs w:val="44"/>
        </w:rPr>
      </w:pPr>
    </w:p>
    <w:p>
      <w:pPr>
        <w:tabs>
          <w:tab w:val="left" w:pos="6750"/>
        </w:tabs>
        <w:spacing w:line="360" w:lineRule="auto"/>
        <w:jc w:val="left"/>
        <w:rPr>
          <w:rFonts w:ascii="新宋体" w:eastAsia="新宋体" w:hAnsi="新宋体"/>
          <w:bCs/>
          <w:sz w:val="44"/>
          <w:szCs w:val="44"/>
        </w:rPr>
      </w:pPr>
      <w:r>
        <w:rPr>
          <w:rFonts w:ascii="新宋体" w:eastAsia="新宋体" w:hAnsi="新宋体"/>
          <w:bCs/>
          <w:sz w:val="44"/>
          <w:szCs w:val="44"/>
        </w:rPr>
        <w:tab/>
      </w:r>
    </w:p>
    <w:p>
      <w:pPr>
        <w:spacing w:line="360" w:lineRule="auto"/>
        <w:jc w:val="center"/>
        <w:rPr>
          <w:rFonts w:ascii="新宋体" w:eastAsia="新宋体" w:hAnsi="新宋体"/>
          <w:bCs/>
          <w:sz w:val="44"/>
          <w:szCs w:val="44"/>
        </w:rPr>
      </w:pPr>
    </w:p>
    <w:p>
      <w:pPr>
        <w:spacing w:line="360" w:lineRule="auto"/>
        <w:jc w:val="center"/>
        <w:rPr>
          <w:rFonts w:ascii="新宋体" w:eastAsia="新宋体" w:hAnsi="新宋体"/>
          <w:bCs/>
          <w:sz w:val="44"/>
          <w:szCs w:val="44"/>
        </w:rPr>
      </w:pPr>
    </w:p>
    <w:p>
      <w:pPr>
        <w:spacing w:line="360" w:lineRule="auto"/>
        <w:jc w:val="center"/>
        <w:rPr>
          <w:rFonts w:ascii="新宋体" w:eastAsia="新宋体" w:hAnsi="新宋体"/>
          <w:bCs/>
          <w:sz w:val="44"/>
          <w:szCs w:val="44"/>
        </w:rPr>
      </w:pPr>
    </w:p>
    <w:p>
      <w:pPr>
        <w:spacing w:line="360" w:lineRule="auto"/>
        <w:jc w:val="center"/>
        <w:rPr>
          <w:rFonts w:ascii="新宋体" w:eastAsia="新宋体" w:hAnsi="新宋体"/>
          <w:bCs/>
          <w:sz w:val="44"/>
          <w:szCs w:val="44"/>
        </w:rPr>
      </w:pPr>
    </w:p>
    <w:p>
      <w:pPr>
        <w:spacing w:line="360" w:lineRule="auto"/>
        <w:jc w:val="center"/>
        <w:rPr>
          <w:rFonts w:ascii="新宋体" w:eastAsia="新宋体" w:hAnsi="新宋体"/>
          <w:bCs/>
          <w:sz w:val="44"/>
          <w:szCs w:val="44"/>
        </w:rPr>
      </w:pPr>
    </w:p>
    <w:p>
      <w:pPr>
        <w:spacing w:line="360" w:lineRule="auto"/>
        <w:jc w:val="center"/>
        <w:rPr>
          <w:rFonts w:ascii="新宋体" w:eastAsia="新宋体" w:hAnsi="新宋体"/>
          <w:bCs/>
          <w:sz w:val="44"/>
          <w:szCs w:val="44"/>
        </w:rPr>
      </w:pPr>
    </w:p>
    <w:p>
      <w:pPr>
        <w:spacing w:line="360" w:lineRule="auto"/>
        <w:jc w:val="center"/>
        <w:rPr>
          <w:rFonts w:ascii="新宋体" w:eastAsia="新宋体" w:hAnsi="新宋体"/>
          <w:bCs/>
          <w:sz w:val="44"/>
          <w:szCs w:val="44"/>
        </w:rPr>
      </w:pPr>
    </w:p>
    <w:p>
      <w:pPr>
        <w:spacing w:line="360" w:lineRule="auto"/>
        <w:jc w:val="center"/>
        <w:rPr>
          <w:rFonts w:ascii="新宋体" w:eastAsia="新宋体" w:hAnsi="新宋体"/>
          <w:bCs/>
          <w:sz w:val="44"/>
          <w:szCs w:val="44"/>
        </w:rPr>
      </w:pPr>
    </w:p>
    <w:p>
      <w:pPr>
        <w:spacing w:line="360" w:lineRule="auto"/>
        <w:jc w:val="center"/>
        <w:rPr>
          <w:rFonts w:ascii="新宋体" w:eastAsia="新宋体" w:hAnsi="新宋体"/>
          <w:bCs/>
          <w:sz w:val="44"/>
          <w:szCs w:val="44"/>
        </w:rPr>
      </w:pPr>
    </w:p>
    <w:p>
      <w:pPr>
        <w:spacing w:line="360" w:lineRule="auto"/>
        <w:jc w:val="center"/>
        <w:rPr>
          <w:rFonts w:ascii="新宋体" w:eastAsia="新宋体" w:hAnsi="新宋体"/>
          <w:bCs/>
          <w:sz w:val="44"/>
          <w:szCs w:val="44"/>
        </w:rPr>
      </w:pPr>
    </w:p>
    <w:p>
      <w:pPr>
        <w:spacing w:line="360" w:lineRule="auto"/>
        <w:jc w:val="center"/>
        <w:rPr>
          <w:rFonts w:ascii="新宋体" w:eastAsia="新宋体" w:hAnsi="新宋体"/>
          <w:bCs/>
          <w:sz w:val="44"/>
          <w:szCs w:val="44"/>
        </w:rPr>
      </w:pPr>
      <w:r>
        <w:rPr>
          <w:rFonts w:ascii="新宋体" w:eastAsia="新宋体" w:hAnsi="新宋体" w:hint="eastAsia"/>
          <w:bCs/>
          <w:sz w:val="44"/>
          <w:szCs w:val="44"/>
        </w:rPr>
        <w:t>上海某某房地产有限公司山东公司</w:t>
      </w:r>
    </w:p>
    <w:p>
      <w:pPr>
        <w:spacing w:line="360" w:lineRule="auto"/>
        <w:jc w:val="center"/>
        <w:rPr>
          <w:rFonts w:ascii="新宋体" w:eastAsia="新宋体" w:hAnsi="新宋体"/>
          <w:bCs/>
          <w:sz w:val="44"/>
          <w:szCs w:val="44"/>
        </w:rPr>
      </w:pPr>
      <w:r>
        <w:rPr>
          <w:rFonts w:ascii="新宋体" w:eastAsia="新宋体" w:hAnsi="新宋体" w:hint="eastAsia"/>
          <w:bCs/>
          <w:sz w:val="44"/>
          <w:szCs w:val="44"/>
        </w:rPr>
        <w:t xml:space="preserve"> </w:t>
      </w:r>
    </w:p>
    <w:p>
      <w:pPr>
        <w:spacing w:line="360" w:lineRule="auto"/>
        <w:rPr>
          <w:rFonts w:ascii="新宋体" w:eastAsia="新宋体" w:hAnsi="新宋体"/>
          <w:bCs/>
          <w:sz w:val="44"/>
          <w:szCs w:val="44"/>
        </w:rPr>
      </w:pPr>
    </w:p>
    <w:p>
      <w:pPr>
        <w:spacing w:line="360" w:lineRule="auto"/>
        <w:jc w:val="center"/>
        <w:rPr>
          <w:rFonts w:ascii="新宋体" w:eastAsia="新宋体" w:hAnsi="新宋体"/>
          <w:b/>
          <w:bCs/>
          <w:sz w:val="44"/>
          <w:szCs w:val="44"/>
        </w:rPr>
        <w:sectPr>
          <w:headerReference w:type="default" r:id="rId5"/>
          <w:footerReference w:type="default" r:id="rId6"/>
          <w:pgSz w:w="11906" w:h="16838"/>
          <w:pgMar w:top="1134" w:right="851" w:bottom="851" w:left="1418" w:header="851" w:footer="992" w:gutter="0"/>
          <w:cols w:num="1" w:space="720"/>
          <w:docGrid w:type="lines" w:linePitch="312" w:charSpace="0"/>
        </w:sectPr>
      </w:pPr>
    </w:p>
    <w:sdt>
      <w:sdtPr>
        <w:rPr>
          <w:rFonts w:ascii="宋体" w:hAnsi="宋体"/>
        </w:rPr>
        <w:id w:val="147461500"/>
        <w:docPartObj>
          <w:docPartGallery w:val="Table of Contents"/>
          <w:docPartUnique/>
        </w:docPartObj>
      </w:sdtPr>
      <w:sdtEndPr>
        <w:rPr>
          <w:rFonts w:ascii="新宋体" w:eastAsia="新宋体" w:hAnsi="新宋体" w:hint="eastAsia"/>
          <w:b/>
          <w:bCs/>
          <w:szCs w:val="44"/>
        </w:rPr>
      </w:sdtEndPr>
      <w:sdtContent>
        <w:p>
          <w:pPr>
            <w:spacing w:line="600" w:lineRule="exact"/>
            <w:jc w:val="center"/>
            <w:rPr>
              <w:rFonts w:ascii="新宋体" w:eastAsia="新宋体" w:hAnsi="新宋体" w:cs="新宋体"/>
              <w:b/>
              <w:bCs/>
              <w:sz w:val="36"/>
              <w:szCs w:val="36"/>
            </w:rPr>
          </w:pPr>
          <w:bookmarkStart w:id="1" w:name="_Toc6601"/>
          <w:bookmarkStart w:id="2" w:name="_Toc16434"/>
          <w:r>
            <w:rPr>
              <w:rFonts w:ascii="新宋体" w:eastAsia="新宋体" w:hAnsi="新宋体" w:cs="新宋体" w:hint="eastAsia"/>
              <w:b/>
              <w:bCs/>
              <w:sz w:val="36"/>
              <w:szCs w:val="36"/>
            </w:rPr>
            <w:t>目录</w:t>
          </w:r>
        </w:p>
        <w:p>
          <w:pPr>
            <w:pStyle w:val="TOC1"/>
            <w:tabs>
              <w:tab w:val="right" w:leader="dot" w:pos="9637"/>
            </w:tabs>
            <w:spacing w:line="600" w:lineRule="exact"/>
            <w:rPr>
              <w:rFonts w:ascii="新宋体" w:eastAsia="新宋体" w:hAnsi="新宋体" w:cs="新宋体"/>
              <w:b/>
              <w:sz w:val="28"/>
              <w:szCs w:val="28"/>
            </w:rPr>
          </w:pPr>
          <w:r>
            <w:rPr>
              <w:rFonts w:ascii="新宋体" w:eastAsia="新宋体" w:hAnsi="新宋体" w:cs="新宋体" w:hint="eastAsia"/>
              <w:b/>
              <w:bCs/>
              <w:sz w:val="28"/>
              <w:szCs w:val="28"/>
            </w:rPr>
            <w:fldChar w:fldCharType="begin"/>
          </w:r>
          <w:r>
            <w:rPr>
              <w:rFonts w:ascii="新宋体" w:eastAsia="新宋体" w:hAnsi="新宋体" w:cs="新宋体" w:hint="eastAsia"/>
              <w:b/>
              <w:bCs/>
              <w:sz w:val="28"/>
              <w:szCs w:val="28"/>
            </w:rPr>
            <w:instrText xml:space="preserve">TOC \o "1-2" \h \u </w:instrText>
          </w:r>
          <w:r>
            <w:rPr>
              <w:rFonts w:ascii="新宋体" w:eastAsia="新宋体" w:hAnsi="新宋体" w:cs="新宋体" w:hint="eastAsia"/>
              <w:b/>
              <w:bCs/>
              <w:sz w:val="28"/>
              <w:szCs w:val="28"/>
            </w:rPr>
            <w:fldChar w:fldCharType="separate"/>
          </w:r>
          <w:r>
            <w:rPr>
              <w:rFonts w:ascii="新宋体" w:eastAsia="新宋体" w:hAnsi="新宋体" w:cs="新宋体" w:hint="eastAsia"/>
              <w:b/>
              <w:color w:val="auto"/>
              <w:sz w:val="28"/>
              <w:szCs w:val="28"/>
              <w:u w:val="none"/>
            </w:rPr>
            <w:t>前  言</w:t>
          </w:r>
          <w:r>
            <w:rPr>
              <w:rFonts w:ascii="新宋体" w:eastAsia="新宋体" w:hAnsi="新宋体" w:cs="新宋体" w:hint="eastAsia"/>
              <w:b/>
              <w:color w:val="auto"/>
              <w:sz w:val="28"/>
              <w:szCs w:val="28"/>
              <w:u w:val="none"/>
            </w:rPr>
            <w:tab/>
          </w:r>
          <w:r>
            <w:rPr>
              <w:rFonts w:ascii="新宋体" w:eastAsia="新宋体" w:hAnsi="新宋体" w:cs="新宋体" w:hint="eastAsia"/>
              <w:b/>
              <w:color w:val="auto"/>
              <w:sz w:val="28"/>
              <w:szCs w:val="28"/>
              <w:u w:val="none"/>
            </w:rPr>
            <w:t>5</w:t>
          </w:r>
        </w:p>
        <w:p>
          <w:pPr>
            <w:pStyle w:val="TOC1"/>
            <w:tabs>
              <w:tab w:val="right" w:leader="dot" w:pos="9637"/>
            </w:tabs>
            <w:spacing w:line="600" w:lineRule="exact"/>
            <w:rPr>
              <w:rFonts w:ascii="新宋体" w:eastAsia="新宋体" w:hAnsi="新宋体" w:cs="新宋体"/>
              <w:b/>
              <w:sz w:val="28"/>
              <w:szCs w:val="28"/>
            </w:rPr>
          </w:pPr>
          <w:r>
            <w:rPr>
              <w:rFonts w:ascii="新宋体" w:eastAsia="新宋体" w:hAnsi="新宋体" w:cs="新宋体" w:hint="eastAsia"/>
              <w:b/>
              <w:color w:val="auto"/>
              <w:sz w:val="28"/>
              <w:szCs w:val="28"/>
              <w:u w:val="none"/>
            </w:rPr>
            <w:t>一、工程管理制度</w:t>
          </w:r>
          <w:r>
            <w:rPr>
              <w:rFonts w:ascii="新宋体" w:eastAsia="新宋体" w:hAnsi="新宋体" w:cs="新宋体" w:hint="eastAsia"/>
              <w:b/>
              <w:color w:val="auto"/>
              <w:sz w:val="28"/>
              <w:szCs w:val="28"/>
              <w:u w:val="none"/>
            </w:rPr>
            <w:tab/>
          </w:r>
          <w:r>
            <w:rPr>
              <w:rFonts w:ascii="新宋体" w:eastAsia="新宋体" w:hAnsi="新宋体" w:cs="新宋体" w:hint="eastAsia"/>
              <w:b/>
              <w:color w:val="auto"/>
              <w:sz w:val="28"/>
              <w:szCs w:val="28"/>
              <w:u w:val="none"/>
            </w:rPr>
            <w:t>6</w:t>
          </w:r>
        </w:p>
        <w:p>
          <w:pPr>
            <w:pStyle w:val="TOC2"/>
            <w:tabs>
              <w:tab w:val="right" w:leader="dot" w:pos="9637"/>
            </w:tabs>
            <w:spacing w:line="600" w:lineRule="exact"/>
            <w:rPr>
              <w:rFonts w:ascii="新宋体" w:eastAsia="新宋体" w:hAnsi="新宋体" w:cs="新宋体"/>
              <w:sz w:val="28"/>
              <w:szCs w:val="28"/>
            </w:rPr>
          </w:pPr>
          <w:r>
            <w:rPr>
              <w:rFonts w:ascii="新宋体" w:eastAsia="新宋体" w:hAnsi="新宋体" w:cs="新宋体" w:hint="eastAsia"/>
              <w:bCs/>
              <w:color w:val="auto"/>
              <w:sz w:val="28"/>
              <w:szCs w:val="28"/>
              <w:u w:val="none"/>
            </w:rPr>
            <w:t>1、开工前准备工作制度</w:t>
          </w:r>
          <w:r>
            <w:rPr>
              <w:rFonts w:ascii="新宋体" w:eastAsia="新宋体" w:hAnsi="新宋体" w:cs="新宋体" w:hint="eastAsia"/>
              <w:color w:val="auto"/>
              <w:sz w:val="28"/>
              <w:szCs w:val="28"/>
              <w:u w:val="none"/>
            </w:rPr>
            <w:tab/>
          </w:r>
          <w:r>
            <w:rPr>
              <w:rFonts w:ascii="新宋体" w:eastAsia="新宋体" w:hAnsi="新宋体" w:cs="新宋体" w:hint="eastAsia"/>
              <w:color w:val="auto"/>
              <w:sz w:val="28"/>
              <w:szCs w:val="28"/>
              <w:u w:val="none"/>
            </w:rPr>
            <w:t>6</w:t>
          </w:r>
        </w:p>
        <w:p>
          <w:pPr>
            <w:pStyle w:val="TOC2"/>
            <w:tabs>
              <w:tab w:val="right" w:leader="dot" w:pos="9637"/>
            </w:tabs>
            <w:spacing w:line="600" w:lineRule="exact"/>
            <w:rPr>
              <w:rFonts w:ascii="新宋体" w:eastAsia="新宋体" w:hAnsi="新宋体" w:cs="新宋体"/>
              <w:sz w:val="28"/>
              <w:szCs w:val="28"/>
            </w:rPr>
          </w:pPr>
          <w:r>
            <w:rPr>
              <w:rFonts w:ascii="新宋体" w:eastAsia="新宋体" w:hAnsi="新宋体" w:cs="新宋体" w:hint="eastAsia"/>
              <w:bCs/>
              <w:color w:val="auto"/>
              <w:sz w:val="28"/>
              <w:szCs w:val="28"/>
              <w:u w:val="none"/>
            </w:rPr>
            <w:t>2、签字和收发文制度</w:t>
          </w:r>
          <w:r>
            <w:rPr>
              <w:rFonts w:ascii="新宋体" w:eastAsia="新宋体" w:hAnsi="新宋体" w:cs="新宋体" w:hint="eastAsia"/>
              <w:color w:val="auto"/>
              <w:sz w:val="28"/>
              <w:szCs w:val="28"/>
              <w:u w:val="none"/>
            </w:rPr>
            <w:tab/>
          </w:r>
          <w:r>
            <w:rPr>
              <w:rFonts w:ascii="新宋体" w:eastAsia="新宋体" w:hAnsi="新宋体" w:cs="新宋体" w:hint="eastAsia"/>
              <w:color w:val="auto"/>
              <w:sz w:val="28"/>
              <w:szCs w:val="28"/>
              <w:u w:val="none"/>
            </w:rPr>
            <w:t>6</w:t>
          </w:r>
        </w:p>
        <w:p>
          <w:pPr>
            <w:pStyle w:val="TOC2"/>
            <w:tabs>
              <w:tab w:val="right" w:leader="dot" w:pos="9637"/>
            </w:tabs>
            <w:spacing w:line="600" w:lineRule="exact"/>
            <w:rPr>
              <w:rFonts w:ascii="新宋体" w:eastAsia="新宋体" w:hAnsi="新宋体" w:cs="新宋体"/>
              <w:sz w:val="28"/>
              <w:szCs w:val="28"/>
            </w:rPr>
          </w:pPr>
          <w:r>
            <w:rPr>
              <w:rFonts w:ascii="新宋体" w:eastAsia="新宋体" w:hAnsi="新宋体" w:cs="新宋体" w:hint="eastAsia"/>
              <w:bCs/>
              <w:color w:val="auto"/>
              <w:sz w:val="28"/>
              <w:szCs w:val="28"/>
              <w:u w:val="none"/>
            </w:rPr>
            <w:t>3、工程材料、设备封样管理办法</w:t>
          </w:r>
          <w:r>
            <w:rPr>
              <w:rFonts w:ascii="新宋体" w:eastAsia="新宋体" w:hAnsi="新宋体" w:cs="新宋体" w:hint="eastAsia"/>
              <w:color w:val="auto"/>
              <w:sz w:val="28"/>
              <w:szCs w:val="28"/>
              <w:u w:val="none"/>
            </w:rPr>
            <w:tab/>
          </w:r>
          <w:r>
            <w:rPr>
              <w:rFonts w:ascii="新宋体" w:eastAsia="新宋体" w:hAnsi="新宋体" w:cs="新宋体" w:hint="eastAsia"/>
              <w:color w:val="auto"/>
              <w:sz w:val="28"/>
              <w:szCs w:val="28"/>
              <w:u w:val="none"/>
            </w:rPr>
            <w:t>6</w:t>
          </w:r>
        </w:p>
        <w:p>
          <w:pPr>
            <w:pStyle w:val="TOC2"/>
            <w:tabs>
              <w:tab w:val="right" w:leader="dot" w:pos="9637"/>
            </w:tabs>
            <w:spacing w:line="600" w:lineRule="exact"/>
            <w:rPr>
              <w:rFonts w:ascii="新宋体" w:eastAsia="新宋体" w:hAnsi="新宋体" w:cs="新宋体"/>
              <w:sz w:val="28"/>
              <w:szCs w:val="28"/>
            </w:rPr>
          </w:pPr>
          <w:r>
            <w:rPr>
              <w:rFonts w:ascii="新宋体" w:eastAsia="新宋体" w:hAnsi="新宋体" w:cs="新宋体" w:hint="eastAsia"/>
              <w:bCs/>
              <w:color w:val="auto"/>
              <w:sz w:val="28"/>
              <w:szCs w:val="28"/>
              <w:u w:val="none"/>
            </w:rPr>
            <w:t>4、原材料、成品、半成品进场验收制度</w:t>
          </w:r>
          <w:r>
            <w:rPr>
              <w:rFonts w:ascii="新宋体" w:eastAsia="新宋体" w:hAnsi="新宋体" w:cs="新宋体" w:hint="eastAsia"/>
              <w:color w:val="auto"/>
              <w:sz w:val="28"/>
              <w:szCs w:val="28"/>
              <w:u w:val="none"/>
            </w:rPr>
            <w:tab/>
          </w:r>
          <w:r>
            <w:rPr>
              <w:rFonts w:ascii="新宋体" w:eastAsia="新宋体" w:hAnsi="新宋体" w:cs="新宋体" w:hint="eastAsia"/>
              <w:color w:val="auto"/>
              <w:sz w:val="28"/>
              <w:szCs w:val="28"/>
              <w:u w:val="none"/>
            </w:rPr>
            <w:t>8</w:t>
          </w:r>
        </w:p>
        <w:p>
          <w:pPr>
            <w:pStyle w:val="TOC2"/>
            <w:tabs>
              <w:tab w:val="right" w:leader="dot" w:pos="9637"/>
            </w:tabs>
            <w:spacing w:line="600" w:lineRule="exact"/>
            <w:rPr>
              <w:rFonts w:ascii="新宋体" w:eastAsia="新宋体" w:hAnsi="新宋体" w:cs="新宋体"/>
              <w:sz w:val="28"/>
              <w:szCs w:val="28"/>
            </w:rPr>
          </w:pPr>
          <w:r>
            <w:rPr>
              <w:rFonts w:ascii="新宋体" w:eastAsia="新宋体" w:hAnsi="新宋体" w:cs="新宋体" w:hint="eastAsia"/>
              <w:bCs/>
              <w:color w:val="auto"/>
              <w:sz w:val="28"/>
              <w:szCs w:val="28"/>
              <w:u w:val="none"/>
            </w:rPr>
            <w:t>5、隐蔽工程、验收和设备安装、调试：</w:t>
          </w:r>
          <w:r>
            <w:rPr>
              <w:rFonts w:ascii="新宋体" w:eastAsia="新宋体" w:hAnsi="新宋体" w:cs="新宋体" w:hint="eastAsia"/>
              <w:color w:val="auto"/>
              <w:sz w:val="28"/>
              <w:szCs w:val="28"/>
              <w:u w:val="none"/>
            </w:rPr>
            <w:tab/>
          </w:r>
          <w:r>
            <w:rPr>
              <w:rFonts w:ascii="新宋体" w:eastAsia="新宋体" w:hAnsi="新宋体" w:cs="新宋体" w:hint="eastAsia"/>
              <w:color w:val="auto"/>
              <w:sz w:val="28"/>
              <w:szCs w:val="28"/>
              <w:u w:val="none"/>
            </w:rPr>
            <w:t>9</w:t>
          </w:r>
        </w:p>
        <w:p>
          <w:pPr>
            <w:pStyle w:val="TOC2"/>
            <w:tabs>
              <w:tab w:val="right" w:leader="dot" w:pos="9637"/>
            </w:tabs>
            <w:spacing w:line="600" w:lineRule="exact"/>
            <w:rPr>
              <w:rFonts w:ascii="新宋体" w:eastAsia="新宋体" w:hAnsi="新宋体" w:cs="新宋体"/>
              <w:sz w:val="28"/>
              <w:szCs w:val="28"/>
            </w:rPr>
          </w:pPr>
          <w:r>
            <w:rPr>
              <w:rFonts w:ascii="新宋体" w:eastAsia="新宋体" w:hAnsi="新宋体" w:cs="新宋体" w:hint="eastAsia"/>
              <w:bCs/>
              <w:color w:val="auto"/>
              <w:sz w:val="28"/>
              <w:szCs w:val="28"/>
              <w:u w:val="none"/>
            </w:rPr>
            <w:t>6、工地例会制度</w:t>
          </w:r>
          <w:r>
            <w:rPr>
              <w:rFonts w:ascii="新宋体" w:eastAsia="新宋体" w:hAnsi="新宋体" w:cs="新宋体" w:hint="eastAsia"/>
              <w:color w:val="auto"/>
              <w:sz w:val="28"/>
              <w:szCs w:val="28"/>
              <w:u w:val="none"/>
            </w:rPr>
            <w:tab/>
          </w:r>
          <w:r>
            <w:rPr>
              <w:rFonts w:ascii="新宋体" w:eastAsia="新宋体" w:hAnsi="新宋体" w:cs="新宋体" w:hint="eastAsia"/>
              <w:color w:val="auto"/>
              <w:sz w:val="28"/>
              <w:szCs w:val="28"/>
              <w:u w:val="none"/>
            </w:rPr>
            <w:t>1</w:t>
          </w:r>
          <w:r>
            <w:rPr>
              <w:rFonts w:ascii="新宋体" w:eastAsia="新宋体" w:hAnsi="新宋体" w:cs="新宋体" w:hint="eastAsia"/>
              <w:bCs/>
              <w:sz w:val="28"/>
              <w:szCs w:val="28"/>
            </w:rPr>
            <w:t>0</w:t>
          </w:r>
        </w:p>
        <w:p>
          <w:pPr>
            <w:pStyle w:val="TOC1"/>
            <w:tabs>
              <w:tab w:val="right" w:leader="dot" w:pos="9637"/>
            </w:tabs>
            <w:spacing w:line="600" w:lineRule="exact"/>
            <w:rPr>
              <w:rFonts w:ascii="新宋体" w:eastAsia="新宋体" w:hAnsi="新宋体" w:cs="新宋体"/>
              <w:b/>
              <w:bCs/>
              <w:sz w:val="28"/>
              <w:szCs w:val="28"/>
            </w:rPr>
          </w:pPr>
          <w:r>
            <w:rPr>
              <w:rFonts w:ascii="新宋体" w:eastAsia="新宋体" w:hAnsi="新宋体" w:cs="新宋体" w:hint="eastAsia"/>
              <w:b/>
              <w:bCs/>
              <w:color w:val="auto"/>
              <w:sz w:val="28"/>
              <w:szCs w:val="28"/>
              <w:u w:val="none"/>
            </w:rPr>
            <w:t>二、 工程技术管理</w:t>
          </w:r>
          <w:r>
            <w:rPr>
              <w:rFonts w:ascii="新宋体" w:eastAsia="新宋体" w:hAnsi="新宋体" w:cs="新宋体" w:hint="eastAsia"/>
              <w:b/>
              <w:bCs/>
              <w:color w:val="auto"/>
              <w:sz w:val="28"/>
              <w:szCs w:val="28"/>
              <w:u w:val="none"/>
            </w:rPr>
            <w:tab/>
          </w:r>
          <w:r>
            <w:rPr>
              <w:rFonts w:ascii="新宋体" w:eastAsia="新宋体" w:hAnsi="新宋体" w:cs="新宋体" w:hint="eastAsia"/>
              <w:b/>
              <w:bCs/>
              <w:color w:val="auto"/>
              <w:sz w:val="28"/>
              <w:szCs w:val="28"/>
              <w:u w:val="none"/>
            </w:rPr>
            <w:t>1</w:t>
          </w:r>
          <w:r>
            <w:rPr>
              <w:rFonts w:ascii="新宋体" w:eastAsia="新宋体" w:hAnsi="新宋体" w:cs="新宋体" w:hint="eastAsia"/>
              <w:b/>
              <w:bCs/>
              <w:sz w:val="28"/>
              <w:szCs w:val="28"/>
            </w:rPr>
            <w:t>1</w:t>
          </w:r>
        </w:p>
        <w:p>
          <w:pPr>
            <w:pStyle w:val="TOC2"/>
            <w:tabs>
              <w:tab w:val="right" w:leader="dot" w:pos="9637"/>
            </w:tabs>
            <w:spacing w:line="600" w:lineRule="exact"/>
            <w:rPr>
              <w:rFonts w:ascii="新宋体" w:eastAsia="新宋体" w:hAnsi="新宋体" w:cs="新宋体"/>
              <w:sz w:val="28"/>
              <w:szCs w:val="28"/>
            </w:rPr>
          </w:pPr>
          <w:r>
            <w:rPr>
              <w:rFonts w:ascii="新宋体" w:eastAsia="新宋体" w:hAnsi="新宋体" w:cs="新宋体" w:hint="eastAsia"/>
              <w:bCs/>
              <w:color w:val="auto"/>
              <w:sz w:val="28"/>
              <w:szCs w:val="28"/>
              <w:u w:val="none"/>
            </w:rPr>
            <w:t>1、 图纸会审</w:t>
          </w:r>
          <w:r>
            <w:rPr>
              <w:rFonts w:ascii="新宋体" w:eastAsia="新宋体" w:hAnsi="新宋体" w:cs="新宋体" w:hint="eastAsia"/>
              <w:color w:val="auto"/>
              <w:sz w:val="28"/>
              <w:szCs w:val="28"/>
              <w:u w:val="none"/>
            </w:rPr>
            <w:tab/>
          </w:r>
          <w:r>
            <w:rPr>
              <w:rFonts w:ascii="新宋体" w:eastAsia="新宋体" w:hAnsi="新宋体" w:cs="新宋体" w:hint="eastAsia"/>
              <w:color w:val="auto"/>
              <w:sz w:val="28"/>
              <w:szCs w:val="28"/>
              <w:u w:val="none"/>
            </w:rPr>
            <w:t>1</w:t>
          </w:r>
          <w:r>
            <w:rPr>
              <w:rFonts w:ascii="新宋体" w:eastAsia="新宋体" w:hAnsi="新宋体" w:cs="新宋体" w:hint="eastAsia"/>
              <w:bCs/>
              <w:sz w:val="28"/>
              <w:szCs w:val="28"/>
            </w:rPr>
            <w:t>1</w:t>
          </w:r>
        </w:p>
        <w:p>
          <w:pPr>
            <w:pStyle w:val="TOC2"/>
            <w:tabs>
              <w:tab w:val="right" w:leader="dot" w:pos="9637"/>
            </w:tabs>
            <w:spacing w:line="600" w:lineRule="exact"/>
            <w:rPr>
              <w:rFonts w:ascii="新宋体" w:eastAsia="新宋体" w:hAnsi="新宋体" w:cs="新宋体"/>
              <w:sz w:val="28"/>
              <w:szCs w:val="28"/>
            </w:rPr>
          </w:pPr>
          <w:r>
            <w:rPr>
              <w:rFonts w:ascii="新宋体" w:eastAsia="新宋体" w:hAnsi="新宋体" w:cs="新宋体" w:hint="eastAsia"/>
              <w:bCs/>
              <w:color w:val="auto"/>
              <w:sz w:val="28"/>
              <w:szCs w:val="28"/>
              <w:u w:val="none"/>
            </w:rPr>
            <w:t>2、 技术核定及洽商</w:t>
          </w:r>
          <w:r>
            <w:rPr>
              <w:rFonts w:ascii="新宋体" w:eastAsia="新宋体" w:hAnsi="新宋体" w:cs="新宋体" w:hint="eastAsia"/>
              <w:color w:val="auto"/>
              <w:sz w:val="28"/>
              <w:szCs w:val="28"/>
              <w:u w:val="none"/>
            </w:rPr>
            <w:tab/>
          </w:r>
          <w:r>
            <w:rPr>
              <w:rFonts w:ascii="新宋体" w:eastAsia="新宋体" w:hAnsi="新宋体" w:cs="新宋体" w:hint="eastAsia"/>
              <w:color w:val="auto"/>
              <w:sz w:val="28"/>
              <w:szCs w:val="28"/>
              <w:u w:val="none"/>
            </w:rPr>
            <w:t>1</w:t>
          </w:r>
          <w:r>
            <w:rPr>
              <w:rFonts w:ascii="新宋体" w:eastAsia="新宋体" w:hAnsi="新宋体" w:cs="新宋体" w:hint="eastAsia"/>
              <w:bCs/>
              <w:sz w:val="28"/>
              <w:szCs w:val="28"/>
            </w:rPr>
            <w:t>1</w:t>
          </w:r>
        </w:p>
        <w:p>
          <w:pPr>
            <w:pStyle w:val="TOC2"/>
            <w:tabs>
              <w:tab w:val="right" w:leader="dot" w:pos="9637"/>
            </w:tabs>
            <w:spacing w:line="600" w:lineRule="exact"/>
            <w:rPr>
              <w:rFonts w:ascii="新宋体" w:eastAsia="新宋体" w:hAnsi="新宋体" w:cs="新宋体"/>
              <w:sz w:val="28"/>
              <w:szCs w:val="28"/>
            </w:rPr>
          </w:pPr>
          <w:r>
            <w:rPr>
              <w:rFonts w:ascii="新宋体" w:eastAsia="新宋体" w:hAnsi="新宋体" w:cs="新宋体" w:hint="eastAsia"/>
              <w:bCs/>
              <w:color w:val="auto"/>
              <w:sz w:val="28"/>
              <w:szCs w:val="28"/>
              <w:u w:val="none"/>
            </w:rPr>
            <w:t>3、 技术交底</w:t>
          </w:r>
          <w:r>
            <w:rPr>
              <w:rFonts w:ascii="新宋体" w:eastAsia="新宋体" w:hAnsi="新宋体" w:cs="新宋体" w:hint="eastAsia"/>
              <w:color w:val="auto"/>
              <w:sz w:val="28"/>
              <w:szCs w:val="28"/>
              <w:u w:val="none"/>
            </w:rPr>
            <w:tab/>
          </w:r>
          <w:r>
            <w:rPr>
              <w:rFonts w:ascii="新宋体" w:eastAsia="新宋体" w:hAnsi="新宋体" w:cs="新宋体" w:hint="eastAsia"/>
              <w:color w:val="auto"/>
              <w:sz w:val="28"/>
              <w:szCs w:val="28"/>
              <w:u w:val="none"/>
            </w:rPr>
            <w:fldChar w:fldCharType="begin"/>
          </w:r>
          <w:r>
            <w:rPr>
              <w:rFonts w:ascii="新宋体" w:eastAsia="新宋体" w:hAnsi="新宋体" w:cs="新宋体" w:hint="eastAsia"/>
              <w:color w:val="auto"/>
              <w:sz w:val="28"/>
              <w:szCs w:val="28"/>
              <w:u w:val="none"/>
            </w:rPr>
            <w:instrText xml:space="preserve"> PAGEREF _Toc24752 </w:instrText>
          </w:r>
          <w:r>
            <w:rPr>
              <w:rFonts w:ascii="新宋体" w:eastAsia="新宋体" w:hAnsi="新宋体" w:cs="新宋体" w:hint="eastAsia"/>
              <w:color w:val="auto"/>
              <w:sz w:val="28"/>
              <w:szCs w:val="28"/>
              <w:u w:val="none"/>
            </w:rPr>
            <w:fldChar w:fldCharType="separate"/>
          </w:r>
          <w:r>
            <w:rPr>
              <w:rFonts w:ascii="新宋体" w:eastAsia="新宋体" w:hAnsi="新宋体" w:cs="新宋体" w:hint="eastAsia"/>
              <w:color w:val="auto"/>
              <w:sz w:val="28"/>
              <w:szCs w:val="28"/>
              <w:u w:val="none"/>
            </w:rPr>
            <w:t>11</w:t>
          </w:r>
          <w:r>
            <w:rPr>
              <w:rFonts w:ascii="新宋体" w:eastAsia="新宋体" w:hAnsi="新宋体" w:cs="新宋体" w:hint="eastAsia"/>
              <w:color w:val="auto"/>
              <w:sz w:val="28"/>
              <w:szCs w:val="28"/>
              <w:u w:val="none"/>
            </w:rPr>
            <w:fldChar w:fldCharType="end"/>
          </w:r>
        </w:p>
        <w:p>
          <w:pPr>
            <w:pStyle w:val="TOC1"/>
            <w:tabs>
              <w:tab w:val="right" w:leader="dot" w:pos="9637"/>
            </w:tabs>
            <w:spacing w:line="600" w:lineRule="exact"/>
            <w:rPr>
              <w:rFonts w:ascii="新宋体" w:eastAsia="新宋体" w:hAnsi="新宋体" w:cs="新宋体"/>
              <w:b/>
              <w:sz w:val="28"/>
              <w:szCs w:val="28"/>
            </w:rPr>
          </w:pPr>
          <w:r>
            <w:rPr>
              <w:rFonts w:ascii="新宋体" w:eastAsia="新宋体" w:hAnsi="新宋体" w:cs="新宋体" w:hint="eastAsia"/>
              <w:b/>
              <w:color w:val="auto"/>
              <w:sz w:val="28"/>
              <w:szCs w:val="28"/>
              <w:u w:val="none"/>
            </w:rPr>
            <w:t>三、工程进度管理</w:t>
          </w:r>
          <w:r>
            <w:rPr>
              <w:rFonts w:ascii="新宋体" w:eastAsia="新宋体" w:hAnsi="新宋体" w:cs="新宋体" w:hint="eastAsia"/>
              <w:b/>
              <w:color w:val="auto"/>
              <w:sz w:val="28"/>
              <w:szCs w:val="28"/>
              <w:u w:val="none"/>
            </w:rPr>
            <w:tab/>
          </w:r>
          <w:r>
            <w:rPr>
              <w:rFonts w:ascii="新宋体" w:eastAsia="新宋体" w:hAnsi="新宋体" w:cs="新宋体" w:hint="eastAsia"/>
              <w:b/>
              <w:color w:val="auto"/>
              <w:sz w:val="28"/>
              <w:szCs w:val="28"/>
              <w:u w:val="none"/>
            </w:rPr>
            <w:t>1</w:t>
          </w:r>
          <w:r>
            <w:rPr>
              <w:rFonts w:ascii="新宋体" w:eastAsia="新宋体" w:hAnsi="新宋体" w:cs="新宋体" w:hint="eastAsia"/>
              <w:b/>
              <w:sz w:val="28"/>
              <w:szCs w:val="28"/>
            </w:rPr>
            <w:t>1</w:t>
          </w:r>
        </w:p>
        <w:p>
          <w:pPr>
            <w:pStyle w:val="TOC1"/>
            <w:tabs>
              <w:tab w:val="right" w:leader="dot" w:pos="9637"/>
            </w:tabs>
            <w:spacing w:line="600" w:lineRule="exact"/>
            <w:rPr>
              <w:rFonts w:ascii="新宋体" w:eastAsia="新宋体" w:hAnsi="新宋体" w:cs="新宋体"/>
              <w:b/>
              <w:sz w:val="28"/>
              <w:szCs w:val="28"/>
            </w:rPr>
          </w:pPr>
          <w:r>
            <w:rPr>
              <w:rFonts w:ascii="新宋体" w:eastAsia="新宋体" w:hAnsi="新宋体" w:cs="新宋体" w:hint="eastAsia"/>
              <w:b/>
              <w:color w:val="auto"/>
              <w:sz w:val="28"/>
              <w:szCs w:val="28"/>
              <w:u w:val="none"/>
            </w:rPr>
            <w:t>四、工程质量管理</w:t>
          </w:r>
          <w:r>
            <w:rPr>
              <w:rFonts w:ascii="新宋体" w:eastAsia="新宋体" w:hAnsi="新宋体" w:cs="新宋体" w:hint="eastAsia"/>
              <w:b/>
              <w:color w:val="auto"/>
              <w:sz w:val="28"/>
              <w:szCs w:val="28"/>
              <w:u w:val="none"/>
            </w:rPr>
            <w:tab/>
          </w:r>
          <w:r>
            <w:rPr>
              <w:rFonts w:ascii="新宋体" w:eastAsia="新宋体" w:hAnsi="新宋体" w:cs="新宋体" w:hint="eastAsia"/>
              <w:b/>
              <w:color w:val="auto"/>
              <w:sz w:val="28"/>
              <w:szCs w:val="28"/>
              <w:u w:val="none"/>
            </w:rPr>
            <w:fldChar w:fldCharType="begin"/>
          </w:r>
          <w:r>
            <w:rPr>
              <w:rFonts w:ascii="新宋体" w:eastAsia="新宋体" w:hAnsi="新宋体" w:cs="新宋体" w:hint="eastAsia"/>
              <w:b/>
              <w:color w:val="auto"/>
              <w:sz w:val="28"/>
              <w:szCs w:val="28"/>
              <w:u w:val="none"/>
            </w:rPr>
            <w:instrText xml:space="preserve"> PAGEREF _Toc518 </w:instrText>
          </w:r>
          <w:r>
            <w:rPr>
              <w:rFonts w:ascii="新宋体" w:eastAsia="新宋体" w:hAnsi="新宋体" w:cs="新宋体" w:hint="eastAsia"/>
              <w:b/>
              <w:color w:val="auto"/>
              <w:sz w:val="28"/>
              <w:szCs w:val="28"/>
              <w:u w:val="none"/>
            </w:rPr>
            <w:fldChar w:fldCharType="separate"/>
          </w:r>
          <w:r>
            <w:rPr>
              <w:rFonts w:ascii="新宋体" w:eastAsia="新宋体" w:hAnsi="新宋体" w:cs="新宋体" w:hint="eastAsia"/>
              <w:b/>
              <w:color w:val="auto"/>
              <w:sz w:val="28"/>
              <w:szCs w:val="28"/>
              <w:u w:val="none"/>
            </w:rPr>
            <w:t>12</w:t>
          </w:r>
          <w:r>
            <w:rPr>
              <w:rFonts w:ascii="新宋体" w:eastAsia="新宋体" w:hAnsi="新宋体" w:cs="新宋体" w:hint="eastAsia"/>
              <w:b/>
              <w:color w:val="auto"/>
              <w:sz w:val="28"/>
              <w:szCs w:val="28"/>
              <w:u w:val="none"/>
            </w:rPr>
            <w:fldChar w:fldCharType="end"/>
          </w:r>
        </w:p>
        <w:p>
          <w:pPr>
            <w:pStyle w:val="TOC2"/>
            <w:tabs>
              <w:tab w:val="right" w:leader="dot" w:pos="9637"/>
            </w:tabs>
            <w:spacing w:line="600" w:lineRule="exact"/>
            <w:rPr>
              <w:rFonts w:ascii="新宋体" w:eastAsia="新宋体" w:hAnsi="新宋体" w:cs="新宋体"/>
              <w:sz w:val="28"/>
              <w:szCs w:val="28"/>
            </w:rPr>
          </w:pPr>
          <w:r>
            <w:rPr>
              <w:rFonts w:ascii="新宋体" w:eastAsia="新宋体" w:hAnsi="新宋体" w:cs="新宋体" w:hint="eastAsia"/>
              <w:color w:val="auto"/>
              <w:sz w:val="28"/>
              <w:szCs w:val="28"/>
              <w:u w:val="none"/>
            </w:rPr>
            <w:t>1、质量保证体系</w:t>
          </w:r>
          <w:r>
            <w:rPr>
              <w:rFonts w:ascii="新宋体" w:eastAsia="新宋体" w:hAnsi="新宋体" w:cs="新宋体" w:hint="eastAsia"/>
              <w:color w:val="auto"/>
              <w:sz w:val="28"/>
              <w:szCs w:val="28"/>
              <w:u w:val="none"/>
            </w:rPr>
            <w:tab/>
          </w:r>
          <w:r>
            <w:rPr>
              <w:rFonts w:ascii="新宋体" w:eastAsia="新宋体" w:hAnsi="新宋体" w:cs="新宋体" w:hint="eastAsia"/>
              <w:color w:val="auto"/>
              <w:sz w:val="28"/>
              <w:szCs w:val="28"/>
              <w:u w:val="none"/>
            </w:rPr>
            <w:fldChar w:fldCharType="begin"/>
          </w:r>
          <w:r>
            <w:rPr>
              <w:rFonts w:ascii="新宋体" w:eastAsia="新宋体" w:hAnsi="新宋体" w:cs="新宋体" w:hint="eastAsia"/>
              <w:color w:val="auto"/>
              <w:sz w:val="28"/>
              <w:szCs w:val="28"/>
              <w:u w:val="none"/>
            </w:rPr>
            <w:instrText xml:space="preserve"> PAGEREF _Toc19088 </w:instrText>
          </w:r>
          <w:r>
            <w:rPr>
              <w:rFonts w:ascii="新宋体" w:eastAsia="新宋体" w:hAnsi="新宋体" w:cs="新宋体" w:hint="eastAsia"/>
              <w:color w:val="auto"/>
              <w:sz w:val="28"/>
              <w:szCs w:val="28"/>
              <w:u w:val="none"/>
            </w:rPr>
            <w:fldChar w:fldCharType="separate"/>
          </w:r>
          <w:r>
            <w:rPr>
              <w:rFonts w:ascii="新宋体" w:eastAsia="新宋体" w:hAnsi="新宋体" w:cs="新宋体" w:hint="eastAsia"/>
              <w:color w:val="auto"/>
              <w:sz w:val="28"/>
              <w:szCs w:val="28"/>
              <w:u w:val="none"/>
            </w:rPr>
            <w:t>12</w:t>
          </w:r>
          <w:r>
            <w:rPr>
              <w:rFonts w:ascii="新宋体" w:eastAsia="新宋体" w:hAnsi="新宋体" w:cs="新宋体" w:hint="eastAsia"/>
              <w:color w:val="auto"/>
              <w:sz w:val="28"/>
              <w:szCs w:val="28"/>
              <w:u w:val="none"/>
            </w:rPr>
            <w:fldChar w:fldCharType="end"/>
          </w:r>
        </w:p>
        <w:p>
          <w:pPr>
            <w:pStyle w:val="TOC2"/>
            <w:tabs>
              <w:tab w:val="right" w:leader="dot" w:pos="9637"/>
            </w:tabs>
            <w:spacing w:line="600" w:lineRule="exact"/>
            <w:rPr>
              <w:rFonts w:ascii="新宋体" w:eastAsia="新宋体" w:hAnsi="新宋体" w:cs="新宋体"/>
              <w:sz w:val="28"/>
              <w:szCs w:val="28"/>
            </w:rPr>
          </w:pPr>
          <w:r>
            <w:rPr>
              <w:rFonts w:ascii="新宋体" w:eastAsia="新宋体" w:hAnsi="新宋体" w:cs="新宋体" w:hint="eastAsia"/>
              <w:color w:val="auto"/>
              <w:sz w:val="28"/>
              <w:szCs w:val="28"/>
              <w:u w:val="none"/>
            </w:rPr>
            <w:t>2、施工阶段</w:t>
          </w:r>
          <w:r>
            <w:rPr>
              <w:rFonts w:ascii="新宋体" w:eastAsia="新宋体" w:hAnsi="新宋体" w:cs="新宋体" w:hint="eastAsia"/>
              <w:color w:val="auto"/>
              <w:sz w:val="28"/>
              <w:szCs w:val="28"/>
              <w:u w:val="none"/>
            </w:rPr>
            <w:tab/>
          </w:r>
          <w:r>
            <w:rPr>
              <w:rFonts w:ascii="新宋体" w:eastAsia="新宋体" w:hAnsi="新宋体" w:cs="新宋体" w:hint="eastAsia"/>
              <w:color w:val="auto"/>
              <w:sz w:val="28"/>
              <w:szCs w:val="28"/>
              <w:u w:val="none"/>
            </w:rPr>
            <w:fldChar w:fldCharType="begin"/>
          </w:r>
          <w:r>
            <w:rPr>
              <w:rFonts w:ascii="新宋体" w:eastAsia="新宋体" w:hAnsi="新宋体" w:cs="新宋体" w:hint="eastAsia"/>
              <w:color w:val="auto"/>
              <w:sz w:val="28"/>
              <w:szCs w:val="28"/>
              <w:u w:val="none"/>
            </w:rPr>
            <w:instrText xml:space="preserve"> PAGEREF _Toc31138 </w:instrText>
          </w:r>
          <w:r>
            <w:rPr>
              <w:rFonts w:ascii="新宋体" w:eastAsia="新宋体" w:hAnsi="新宋体" w:cs="新宋体" w:hint="eastAsia"/>
              <w:color w:val="auto"/>
              <w:sz w:val="28"/>
              <w:szCs w:val="28"/>
              <w:u w:val="none"/>
            </w:rPr>
            <w:fldChar w:fldCharType="separate"/>
          </w:r>
          <w:r>
            <w:rPr>
              <w:rFonts w:ascii="新宋体" w:eastAsia="新宋体" w:hAnsi="新宋体" w:cs="新宋体" w:hint="eastAsia"/>
              <w:color w:val="auto"/>
              <w:sz w:val="28"/>
              <w:szCs w:val="28"/>
              <w:u w:val="none"/>
            </w:rPr>
            <w:t>12</w:t>
          </w:r>
          <w:r>
            <w:rPr>
              <w:rFonts w:ascii="新宋体" w:eastAsia="新宋体" w:hAnsi="新宋体" w:cs="新宋体" w:hint="eastAsia"/>
              <w:color w:val="auto"/>
              <w:sz w:val="28"/>
              <w:szCs w:val="28"/>
              <w:u w:val="none"/>
            </w:rPr>
            <w:fldChar w:fldCharType="end"/>
          </w:r>
        </w:p>
        <w:p>
          <w:pPr>
            <w:pStyle w:val="TOC2"/>
            <w:tabs>
              <w:tab w:val="right" w:leader="dot" w:pos="9637"/>
            </w:tabs>
            <w:spacing w:line="600" w:lineRule="exact"/>
            <w:rPr>
              <w:rFonts w:ascii="新宋体" w:eastAsia="新宋体" w:hAnsi="新宋体" w:cs="新宋体"/>
              <w:sz w:val="28"/>
              <w:szCs w:val="28"/>
            </w:rPr>
          </w:pPr>
          <w:r>
            <w:rPr>
              <w:rFonts w:ascii="新宋体" w:eastAsia="新宋体" w:hAnsi="新宋体" w:cs="新宋体" w:hint="eastAsia"/>
              <w:color w:val="auto"/>
              <w:sz w:val="28"/>
              <w:szCs w:val="28"/>
              <w:u w:val="none"/>
            </w:rPr>
            <w:t>3、竣工验收及保修阶段</w:t>
          </w:r>
          <w:r>
            <w:rPr>
              <w:rFonts w:ascii="新宋体" w:eastAsia="新宋体" w:hAnsi="新宋体" w:cs="新宋体" w:hint="eastAsia"/>
              <w:color w:val="auto"/>
              <w:sz w:val="28"/>
              <w:szCs w:val="28"/>
              <w:u w:val="none"/>
            </w:rPr>
            <w:tab/>
          </w:r>
          <w:r>
            <w:rPr>
              <w:rFonts w:ascii="新宋体" w:eastAsia="新宋体" w:hAnsi="新宋体" w:cs="新宋体" w:hint="eastAsia"/>
              <w:color w:val="auto"/>
              <w:sz w:val="28"/>
              <w:szCs w:val="28"/>
              <w:u w:val="none"/>
            </w:rPr>
            <w:fldChar w:fldCharType="begin"/>
          </w:r>
          <w:r>
            <w:rPr>
              <w:rFonts w:ascii="新宋体" w:eastAsia="新宋体" w:hAnsi="新宋体" w:cs="新宋体" w:hint="eastAsia"/>
              <w:color w:val="auto"/>
              <w:sz w:val="28"/>
              <w:szCs w:val="28"/>
              <w:u w:val="none"/>
            </w:rPr>
            <w:instrText xml:space="preserve"> PAGEREF _Toc19405 </w:instrText>
          </w:r>
          <w:r>
            <w:rPr>
              <w:rFonts w:ascii="新宋体" w:eastAsia="新宋体" w:hAnsi="新宋体" w:cs="新宋体" w:hint="eastAsia"/>
              <w:color w:val="auto"/>
              <w:sz w:val="28"/>
              <w:szCs w:val="28"/>
              <w:u w:val="none"/>
            </w:rPr>
            <w:fldChar w:fldCharType="separate"/>
          </w:r>
          <w:r>
            <w:rPr>
              <w:rFonts w:ascii="新宋体" w:eastAsia="新宋体" w:hAnsi="新宋体" w:cs="新宋体" w:hint="eastAsia"/>
              <w:color w:val="auto"/>
              <w:sz w:val="28"/>
              <w:szCs w:val="28"/>
              <w:u w:val="none"/>
            </w:rPr>
            <w:t>22</w:t>
          </w:r>
          <w:r>
            <w:rPr>
              <w:rFonts w:ascii="新宋体" w:eastAsia="新宋体" w:hAnsi="新宋体" w:cs="新宋体" w:hint="eastAsia"/>
              <w:color w:val="auto"/>
              <w:sz w:val="28"/>
              <w:szCs w:val="28"/>
              <w:u w:val="none"/>
            </w:rPr>
            <w:fldChar w:fldCharType="end"/>
          </w:r>
        </w:p>
        <w:p>
          <w:pPr>
            <w:pStyle w:val="TOC2"/>
            <w:tabs>
              <w:tab w:val="right" w:leader="dot" w:pos="9637"/>
            </w:tabs>
            <w:spacing w:line="600" w:lineRule="exact"/>
            <w:rPr>
              <w:rFonts w:ascii="新宋体" w:eastAsia="新宋体" w:hAnsi="新宋体" w:cs="新宋体"/>
              <w:sz w:val="28"/>
              <w:szCs w:val="28"/>
            </w:rPr>
          </w:pPr>
          <w:r>
            <w:rPr>
              <w:rFonts w:ascii="新宋体" w:eastAsia="新宋体" w:hAnsi="新宋体" w:cs="新宋体" w:hint="eastAsia"/>
              <w:color w:val="auto"/>
              <w:sz w:val="28"/>
              <w:szCs w:val="28"/>
              <w:u w:val="none"/>
            </w:rPr>
            <w:t>4、工程回访制度</w:t>
          </w:r>
          <w:r>
            <w:rPr>
              <w:rFonts w:ascii="新宋体" w:eastAsia="新宋体" w:hAnsi="新宋体" w:cs="新宋体" w:hint="eastAsia"/>
              <w:color w:val="auto"/>
              <w:sz w:val="28"/>
              <w:szCs w:val="28"/>
              <w:u w:val="none"/>
            </w:rPr>
            <w:tab/>
          </w:r>
          <w:r>
            <w:rPr>
              <w:rFonts w:ascii="新宋体" w:eastAsia="新宋体" w:hAnsi="新宋体" w:cs="新宋体" w:hint="eastAsia"/>
              <w:color w:val="auto"/>
              <w:sz w:val="28"/>
              <w:szCs w:val="28"/>
              <w:u w:val="none"/>
            </w:rPr>
            <w:fldChar w:fldCharType="begin"/>
          </w:r>
          <w:r>
            <w:rPr>
              <w:rFonts w:ascii="新宋体" w:eastAsia="新宋体" w:hAnsi="新宋体" w:cs="新宋体" w:hint="eastAsia"/>
              <w:color w:val="auto"/>
              <w:sz w:val="28"/>
              <w:szCs w:val="28"/>
              <w:u w:val="none"/>
            </w:rPr>
            <w:instrText xml:space="preserve"> PAGEREF _Toc2777 </w:instrText>
          </w:r>
          <w:r>
            <w:rPr>
              <w:rFonts w:ascii="新宋体" w:eastAsia="新宋体" w:hAnsi="新宋体" w:cs="新宋体" w:hint="eastAsia"/>
              <w:color w:val="auto"/>
              <w:sz w:val="28"/>
              <w:szCs w:val="28"/>
              <w:u w:val="none"/>
            </w:rPr>
            <w:fldChar w:fldCharType="separate"/>
          </w:r>
          <w:r>
            <w:rPr>
              <w:rFonts w:ascii="新宋体" w:eastAsia="新宋体" w:hAnsi="新宋体" w:cs="新宋体" w:hint="eastAsia"/>
              <w:color w:val="auto"/>
              <w:sz w:val="28"/>
              <w:szCs w:val="28"/>
              <w:u w:val="none"/>
            </w:rPr>
            <w:t>23</w:t>
          </w:r>
          <w:r>
            <w:rPr>
              <w:rFonts w:ascii="新宋体" w:eastAsia="新宋体" w:hAnsi="新宋体" w:cs="新宋体" w:hint="eastAsia"/>
              <w:color w:val="auto"/>
              <w:sz w:val="28"/>
              <w:szCs w:val="28"/>
              <w:u w:val="none"/>
            </w:rPr>
            <w:fldChar w:fldCharType="end"/>
          </w:r>
        </w:p>
        <w:p>
          <w:pPr>
            <w:pStyle w:val="TOC1"/>
            <w:tabs>
              <w:tab w:val="right" w:leader="dot" w:pos="9637"/>
            </w:tabs>
            <w:spacing w:line="600" w:lineRule="exact"/>
            <w:rPr>
              <w:rFonts w:ascii="新宋体" w:eastAsia="新宋体" w:hAnsi="新宋体" w:cs="新宋体"/>
              <w:b/>
              <w:bCs/>
              <w:sz w:val="28"/>
              <w:szCs w:val="28"/>
            </w:rPr>
          </w:pPr>
          <w:r>
            <w:rPr>
              <w:rFonts w:ascii="新宋体" w:eastAsia="新宋体" w:hAnsi="新宋体" w:cs="新宋体" w:hint="eastAsia"/>
              <w:b/>
              <w:bCs/>
              <w:color w:val="auto"/>
              <w:sz w:val="28"/>
              <w:szCs w:val="28"/>
              <w:u w:val="none"/>
            </w:rPr>
            <w:t>五、工程资料管理</w:t>
          </w:r>
          <w:r>
            <w:rPr>
              <w:rFonts w:ascii="新宋体" w:eastAsia="新宋体" w:hAnsi="新宋体" w:cs="新宋体" w:hint="eastAsia"/>
              <w:b/>
              <w:bCs/>
              <w:color w:val="auto"/>
              <w:sz w:val="28"/>
              <w:szCs w:val="28"/>
              <w:u w:val="none"/>
            </w:rPr>
            <w:tab/>
          </w:r>
          <w:r>
            <w:rPr>
              <w:rFonts w:ascii="新宋体" w:eastAsia="新宋体" w:hAnsi="新宋体" w:cs="新宋体" w:hint="eastAsia"/>
              <w:b/>
              <w:bCs/>
              <w:color w:val="auto"/>
              <w:sz w:val="28"/>
              <w:szCs w:val="28"/>
              <w:u w:val="none"/>
            </w:rPr>
            <w:fldChar w:fldCharType="begin"/>
          </w:r>
          <w:r>
            <w:rPr>
              <w:rFonts w:ascii="新宋体" w:eastAsia="新宋体" w:hAnsi="新宋体" w:cs="新宋体" w:hint="eastAsia"/>
              <w:b/>
              <w:bCs/>
              <w:color w:val="auto"/>
              <w:sz w:val="28"/>
              <w:szCs w:val="28"/>
              <w:u w:val="none"/>
            </w:rPr>
            <w:instrText xml:space="preserve"> PAGEREF _Toc29182 </w:instrText>
          </w:r>
          <w:r>
            <w:rPr>
              <w:rFonts w:ascii="新宋体" w:eastAsia="新宋体" w:hAnsi="新宋体" w:cs="新宋体" w:hint="eastAsia"/>
              <w:b/>
              <w:bCs/>
              <w:color w:val="auto"/>
              <w:sz w:val="28"/>
              <w:szCs w:val="28"/>
              <w:u w:val="none"/>
            </w:rPr>
            <w:fldChar w:fldCharType="separate"/>
          </w:r>
          <w:r>
            <w:rPr>
              <w:rFonts w:ascii="新宋体" w:eastAsia="新宋体" w:hAnsi="新宋体" w:cs="新宋体" w:hint="eastAsia"/>
              <w:b/>
              <w:bCs/>
              <w:color w:val="auto"/>
              <w:sz w:val="28"/>
              <w:szCs w:val="28"/>
              <w:u w:val="none"/>
            </w:rPr>
            <w:t>24</w:t>
          </w:r>
          <w:r>
            <w:rPr>
              <w:rFonts w:ascii="新宋体" w:eastAsia="新宋体" w:hAnsi="新宋体" w:cs="新宋体" w:hint="eastAsia"/>
              <w:b/>
              <w:bCs/>
              <w:color w:val="auto"/>
              <w:sz w:val="28"/>
              <w:szCs w:val="28"/>
              <w:u w:val="none"/>
            </w:rPr>
            <w:fldChar w:fldCharType="end"/>
          </w:r>
        </w:p>
        <w:p>
          <w:pPr>
            <w:pStyle w:val="TOC1"/>
            <w:tabs>
              <w:tab w:val="right" w:leader="dot" w:pos="9637"/>
            </w:tabs>
            <w:spacing w:line="600" w:lineRule="exact"/>
            <w:rPr>
              <w:rFonts w:ascii="新宋体" w:eastAsia="新宋体" w:hAnsi="新宋体" w:cs="新宋体"/>
              <w:b/>
              <w:bCs/>
              <w:sz w:val="28"/>
              <w:szCs w:val="28"/>
            </w:rPr>
          </w:pPr>
          <w:r>
            <w:rPr>
              <w:rFonts w:ascii="新宋体" w:eastAsia="新宋体" w:hAnsi="新宋体" w:cs="新宋体" w:hint="eastAsia"/>
              <w:b/>
              <w:bCs/>
              <w:color w:val="auto"/>
              <w:sz w:val="28"/>
              <w:szCs w:val="28"/>
              <w:u w:val="none"/>
            </w:rPr>
            <w:t>六、合约管理</w:t>
          </w:r>
          <w:r>
            <w:rPr>
              <w:rFonts w:ascii="新宋体" w:eastAsia="新宋体" w:hAnsi="新宋体" w:cs="新宋体" w:hint="eastAsia"/>
              <w:b/>
              <w:bCs/>
              <w:color w:val="auto"/>
              <w:sz w:val="28"/>
              <w:szCs w:val="28"/>
              <w:u w:val="none"/>
            </w:rPr>
            <w:tab/>
          </w:r>
          <w:r>
            <w:rPr>
              <w:rFonts w:ascii="新宋体" w:eastAsia="新宋体" w:hAnsi="新宋体" w:cs="新宋体" w:hint="eastAsia"/>
              <w:b/>
              <w:bCs/>
              <w:color w:val="auto"/>
              <w:sz w:val="28"/>
              <w:szCs w:val="28"/>
              <w:u w:val="none"/>
            </w:rPr>
            <w:fldChar w:fldCharType="begin"/>
          </w:r>
          <w:r>
            <w:rPr>
              <w:rFonts w:ascii="新宋体" w:eastAsia="新宋体" w:hAnsi="新宋体" w:cs="新宋体" w:hint="eastAsia"/>
              <w:b/>
              <w:bCs/>
              <w:color w:val="auto"/>
              <w:sz w:val="28"/>
              <w:szCs w:val="28"/>
              <w:u w:val="none"/>
            </w:rPr>
            <w:instrText xml:space="preserve"> PAGEREF _Toc16608 </w:instrText>
          </w:r>
          <w:r>
            <w:rPr>
              <w:rFonts w:ascii="新宋体" w:eastAsia="新宋体" w:hAnsi="新宋体" w:cs="新宋体" w:hint="eastAsia"/>
              <w:b/>
              <w:bCs/>
              <w:color w:val="auto"/>
              <w:sz w:val="28"/>
              <w:szCs w:val="28"/>
              <w:u w:val="none"/>
            </w:rPr>
            <w:fldChar w:fldCharType="separate"/>
          </w:r>
          <w:r>
            <w:rPr>
              <w:rFonts w:ascii="新宋体" w:eastAsia="新宋体" w:hAnsi="新宋体" w:cs="新宋体" w:hint="eastAsia"/>
              <w:b/>
              <w:bCs/>
              <w:color w:val="auto"/>
              <w:sz w:val="28"/>
              <w:szCs w:val="28"/>
              <w:u w:val="none"/>
            </w:rPr>
            <w:t>27</w:t>
          </w:r>
          <w:r>
            <w:rPr>
              <w:rFonts w:ascii="新宋体" w:eastAsia="新宋体" w:hAnsi="新宋体" w:cs="新宋体" w:hint="eastAsia"/>
              <w:b/>
              <w:bCs/>
              <w:color w:val="auto"/>
              <w:sz w:val="28"/>
              <w:szCs w:val="28"/>
              <w:u w:val="none"/>
            </w:rPr>
            <w:fldChar w:fldCharType="end"/>
          </w:r>
        </w:p>
        <w:p>
          <w:pPr>
            <w:pStyle w:val="TOC1"/>
            <w:tabs>
              <w:tab w:val="right" w:leader="dot" w:pos="9637"/>
            </w:tabs>
            <w:spacing w:line="600" w:lineRule="exact"/>
            <w:rPr>
              <w:rFonts w:ascii="新宋体" w:eastAsia="新宋体" w:hAnsi="新宋体" w:cs="新宋体"/>
              <w:b/>
              <w:bCs/>
              <w:sz w:val="28"/>
              <w:szCs w:val="28"/>
            </w:rPr>
          </w:pPr>
          <w:r>
            <w:rPr>
              <w:rFonts w:ascii="新宋体" w:eastAsia="新宋体" w:hAnsi="新宋体" w:cs="新宋体" w:hint="eastAsia"/>
              <w:b/>
              <w:bCs/>
              <w:color w:val="auto"/>
              <w:sz w:val="28"/>
              <w:szCs w:val="28"/>
              <w:u w:val="none"/>
            </w:rPr>
            <w:t>七、文明施工管理</w:t>
          </w:r>
          <w:r>
            <w:rPr>
              <w:rFonts w:ascii="新宋体" w:eastAsia="新宋体" w:hAnsi="新宋体" w:cs="新宋体" w:hint="eastAsia"/>
              <w:b/>
              <w:bCs/>
              <w:color w:val="auto"/>
              <w:sz w:val="28"/>
              <w:szCs w:val="28"/>
              <w:u w:val="none"/>
            </w:rPr>
            <w:tab/>
          </w:r>
          <w:r>
            <w:rPr>
              <w:rFonts w:ascii="新宋体" w:eastAsia="新宋体" w:hAnsi="新宋体" w:cs="新宋体" w:hint="eastAsia"/>
              <w:b/>
              <w:bCs/>
              <w:color w:val="auto"/>
              <w:sz w:val="28"/>
              <w:szCs w:val="28"/>
              <w:u w:val="none"/>
            </w:rPr>
            <w:t>2</w:t>
          </w:r>
          <w:r>
            <w:rPr>
              <w:rFonts w:ascii="新宋体" w:eastAsia="新宋体" w:hAnsi="新宋体" w:cs="新宋体" w:hint="eastAsia"/>
              <w:b/>
              <w:bCs/>
              <w:sz w:val="28"/>
              <w:szCs w:val="28"/>
            </w:rPr>
            <w:t>8</w:t>
          </w:r>
        </w:p>
        <w:p>
          <w:pPr>
            <w:pStyle w:val="TOC2"/>
            <w:tabs>
              <w:tab w:val="right" w:leader="dot" w:pos="9637"/>
            </w:tabs>
            <w:spacing w:line="600" w:lineRule="exact"/>
            <w:rPr>
              <w:rFonts w:ascii="新宋体" w:eastAsia="新宋体" w:hAnsi="新宋体" w:cs="新宋体"/>
              <w:sz w:val="28"/>
              <w:szCs w:val="28"/>
            </w:rPr>
          </w:pPr>
          <w:r>
            <w:rPr>
              <w:rFonts w:ascii="新宋体" w:eastAsia="新宋体" w:hAnsi="新宋体" w:cs="新宋体" w:hint="eastAsia"/>
              <w:bCs/>
              <w:color w:val="auto"/>
              <w:sz w:val="28"/>
              <w:szCs w:val="28"/>
              <w:u w:val="none"/>
            </w:rPr>
            <w:t>1、人员</w:t>
          </w:r>
          <w:r>
            <w:rPr>
              <w:rFonts w:ascii="新宋体" w:eastAsia="新宋体" w:hAnsi="新宋体" w:cs="新宋体" w:hint="eastAsia"/>
              <w:color w:val="auto"/>
              <w:sz w:val="28"/>
              <w:szCs w:val="28"/>
              <w:u w:val="none"/>
            </w:rPr>
            <w:tab/>
          </w:r>
          <w:r>
            <w:rPr>
              <w:rFonts w:ascii="新宋体" w:eastAsia="新宋体" w:hAnsi="新宋体" w:cs="新宋体" w:hint="eastAsia"/>
              <w:color w:val="auto"/>
              <w:sz w:val="28"/>
              <w:szCs w:val="28"/>
              <w:u w:val="none"/>
            </w:rPr>
            <w:t>2</w:t>
          </w:r>
          <w:r>
            <w:rPr>
              <w:rFonts w:ascii="新宋体" w:eastAsia="新宋体" w:hAnsi="新宋体" w:cs="新宋体" w:hint="eastAsia"/>
              <w:bCs/>
              <w:sz w:val="28"/>
              <w:szCs w:val="28"/>
            </w:rPr>
            <w:t>8</w:t>
          </w:r>
        </w:p>
        <w:p>
          <w:pPr>
            <w:pStyle w:val="TOC2"/>
            <w:tabs>
              <w:tab w:val="right" w:leader="dot" w:pos="9637"/>
            </w:tabs>
            <w:spacing w:line="600" w:lineRule="exact"/>
            <w:rPr>
              <w:rFonts w:ascii="新宋体" w:eastAsia="新宋体" w:hAnsi="新宋体" w:cs="新宋体"/>
              <w:sz w:val="28"/>
              <w:szCs w:val="28"/>
            </w:rPr>
            <w:sectPr>
              <w:headerReference w:type="default" r:id="rId7"/>
              <w:footerReference w:type="default" r:id="rId8"/>
              <w:type w:val="nextPage"/>
              <w:pgSz w:w="11906" w:h="16838"/>
              <w:pgMar w:top="1134" w:right="851" w:bottom="851" w:left="1418" w:header="851" w:footer="992" w:gutter="0"/>
              <w:pgNumType w:start="2"/>
              <w:cols w:num="1" w:space="720"/>
              <w:titlePg w:val="0"/>
              <w:docGrid w:type="lines" w:linePitch="312" w:charSpace="0"/>
            </w:sectPr>
          </w:pPr>
          <w:r>
            <w:rPr>
              <w:rFonts w:ascii="新宋体" w:eastAsia="新宋体" w:hAnsi="新宋体" w:cs="新宋体" w:hint="eastAsia"/>
              <w:bCs/>
              <w:color w:val="auto"/>
              <w:sz w:val="28"/>
              <w:szCs w:val="28"/>
              <w:u w:val="none"/>
            </w:rPr>
            <w:t>2、文明施工</w:t>
          </w:r>
          <w:r>
            <w:rPr>
              <w:rFonts w:ascii="新宋体" w:eastAsia="新宋体" w:hAnsi="新宋体" w:cs="新宋体" w:hint="eastAsia"/>
              <w:color w:val="auto"/>
              <w:sz w:val="28"/>
              <w:szCs w:val="28"/>
              <w:u w:val="none"/>
            </w:rPr>
            <w:tab/>
          </w:r>
          <w:r>
            <w:rPr>
              <w:rFonts w:ascii="新宋体" w:eastAsia="新宋体" w:hAnsi="新宋体" w:cs="新宋体" w:hint="eastAsia"/>
              <w:color w:val="auto"/>
              <w:sz w:val="28"/>
              <w:szCs w:val="28"/>
              <w:u w:val="none"/>
            </w:rPr>
            <w:fldChar w:fldCharType="begin"/>
          </w:r>
          <w:r>
            <w:rPr>
              <w:rFonts w:ascii="新宋体" w:eastAsia="新宋体" w:hAnsi="新宋体" w:cs="新宋体" w:hint="eastAsia"/>
              <w:color w:val="auto"/>
              <w:sz w:val="28"/>
              <w:szCs w:val="28"/>
              <w:u w:val="none"/>
            </w:rPr>
            <w:instrText xml:space="preserve"> PAGEREF _Toc26556 </w:instrText>
          </w:r>
          <w:r>
            <w:rPr>
              <w:rFonts w:ascii="新宋体" w:eastAsia="新宋体" w:hAnsi="新宋体" w:cs="新宋体" w:hint="eastAsia"/>
              <w:color w:val="auto"/>
              <w:sz w:val="28"/>
              <w:szCs w:val="28"/>
              <w:u w:val="none"/>
            </w:rPr>
            <w:fldChar w:fldCharType="separate"/>
          </w:r>
          <w:r>
            <w:rPr>
              <w:rFonts w:ascii="新宋体" w:eastAsia="新宋体" w:hAnsi="新宋体" w:cs="新宋体" w:hint="eastAsia"/>
              <w:color w:val="auto"/>
              <w:sz w:val="28"/>
              <w:szCs w:val="28"/>
              <w:u w:val="none"/>
            </w:rPr>
            <w:t>29</w:t>
          </w:r>
          <w:r>
            <w:rPr>
              <w:rFonts w:ascii="新宋体" w:eastAsia="新宋体" w:hAnsi="新宋体" w:cs="新宋体" w:hint="eastAsia"/>
              <w:color w:val="auto"/>
              <w:sz w:val="28"/>
              <w:szCs w:val="28"/>
              <w:u w:val="none"/>
            </w:rPr>
            <w:fldChar w:fldCharType="end"/>
          </w:r>
        </w:p>
      </w:sdtContent>
    </w:sdt>
    <w:sdt>
      <w:sdtPr>
        <w:rPr>
          <w:rFonts w:ascii="宋体" w:hAnsi="宋体"/>
        </w:rPr>
        <w:id w:val="727086051"/>
        <w:docPartObj>
          <w:docPartGallery w:val="Table of Contents"/>
          <w:docPartUnique/>
        </w:docPartObj>
      </w:sdtPr>
      <w:sdtEndPr>
        <w:rPr>
          <w:rFonts w:ascii="新宋体" w:eastAsia="新宋体" w:hAnsi="新宋体" w:hint="eastAsia"/>
          <w:b/>
          <w:bCs/>
          <w:szCs w:val="44"/>
        </w:rPr>
      </w:sdtEndPr>
      <w:sdtContent>
        <w:p>
          <w:pPr>
            <w:pStyle w:val="TOC1"/>
            <w:tabs>
              <w:tab w:val="right" w:leader="dot" w:pos="9637"/>
            </w:tabs>
            <w:spacing w:line="600" w:lineRule="exact"/>
            <w:rPr>
              <w:rFonts w:ascii="新宋体" w:eastAsia="新宋体" w:hAnsi="新宋体" w:cs="新宋体"/>
              <w:b/>
              <w:bCs/>
              <w:sz w:val="28"/>
              <w:szCs w:val="28"/>
            </w:rPr>
          </w:pPr>
          <w:r>
            <w:rPr>
              <w:rFonts w:ascii="新宋体" w:eastAsia="新宋体" w:hAnsi="新宋体" w:cs="新宋体" w:hint="eastAsia"/>
              <w:b/>
              <w:bCs/>
              <w:color w:val="auto"/>
              <w:sz w:val="28"/>
              <w:szCs w:val="28"/>
              <w:u w:val="none"/>
            </w:rPr>
            <w:t>八、安全生产管理</w:t>
          </w:r>
          <w:r>
            <w:rPr>
              <w:rFonts w:ascii="新宋体" w:eastAsia="新宋体" w:hAnsi="新宋体" w:cs="新宋体" w:hint="eastAsia"/>
              <w:b/>
              <w:bCs/>
              <w:color w:val="auto"/>
              <w:sz w:val="28"/>
              <w:szCs w:val="28"/>
              <w:u w:val="none"/>
            </w:rPr>
            <w:tab/>
          </w:r>
          <w:r>
            <w:rPr>
              <w:rFonts w:ascii="新宋体" w:eastAsia="新宋体" w:hAnsi="新宋体" w:cs="新宋体" w:hint="eastAsia"/>
              <w:b/>
              <w:bCs/>
              <w:color w:val="auto"/>
              <w:sz w:val="28"/>
              <w:szCs w:val="28"/>
              <w:u w:val="none"/>
            </w:rPr>
            <w:t>3</w:t>
          </w:r>
          <w:r>
            <w:rPr>
              <w:rFonts w:ascii="新宋体" w:eastAsia="新宋体" w:hAnsi="新宋体" w:cs="新宋体" w:hint="eastAsia"/>
              <w:b/>
              <w:bCs/>
              <w:sz w:val="28"/>
              <w:szCs w:val="28"/>
            </w:rPr>
            <w:t>0</w:t>
          </w:r>
        </w:p>
        <w:p>
          <w:pPr>
            <w:pStyle w:val="TOC2"/>
            <w:tabs>
              <w:tab w:val="right" w:leader="dot" w:pos="9637"/>
            </w:tabs>
            <w:spacing w:line="600" w:lineRule="exact"/>
            <w:rPr>
              <w:rFonts w:ascii="新宋体" w:eastAsia="新宋体" w:hAnsi="新宋体" w:cs="新宋体"/>
              <w:sz w:val="28"/>
              <w:szCs w:val="28"/>
            </w:rPr>
          </w:pPr>
          <w:r>
            <w:rPr>
              <w:rFonts w:ascii="新宋体" w:eastAsia="新宋体" w:hAnsi="新宋体" w:cs="新宋体" w:hint="eastAsia"/>
              <w:color w:val="auto"/>
              <w:sz w:val="28"/>
              <w:szCs w:val="28"/>
              <w:u w:val="none"/>
            </w:rPr>
            <w:t>1、安全管理目标：</w:t>
          </w:r>
          <w:r>
            <w:rPr>
              <w:rFonts w:ascii="新宋体" w:eastAsia="新宋体" w:hAnsi="新宋体" w:cs="新宋体" w:hint="eastAsia"/>
              <w:color w:val="auto"/>
              <w:sz w:val="28"/>
              <w:szCs w:val="28"/>
              <w:u w:val="none"/>
            </w:rPr>
            <w:tab/>
          </w:r>
          <w:r>
            <w:rPr>
              <w:rFonts w:ascii="新宋体" w:eastAsia="新宋体" w:hAnsi="新宋体" w:cs="新宋体" w:hint="eastAsia"/>
              <w:color w:val="auto"/>
              <w:sz w:val="28"/>
              <w:szCs w:val="28"/>
              <w:u w:val="none"/>
            </w:rPr>
            <w:t>3</w:t>
          </w:r>
          <w:r>
            <w:rPr>
              <w:rFonts w:ascii="新宋体" w:eastAsia="新宋体" w:hAnsi="新宋体" w:cs="新宋体" w:hint="eastAsia"/>
              <w:bCs/>
              <w:sz w:val="28"/>
              <w:szCs w:val="28"/>
            </w:rPr>
            <w:t>0</w:t>
          </w:r>
        </w:p>
        <w:p>
          <w:pPr>
            <w:pStyle w:val="TOC2"/>
            <w:tabs>
              <w:tab w:val="right" w:leader="dot" w:pos="9637"/>
            </w:tabs>
            <w:spacing w:line="600" w:lineRule="exact"/>
            <w:rPr>
              <w:rFonts w:ascii="新宋体" w:eastAsia="新宋体" w:hAnsi="新宋体" w:cs="新宋体"/>
              <w:sz w:val="28"/>
              <w:szCs w:val="28"/>
            </w:rPr>
          </w:pPr>
          <w:r>
            <w:rPr>
              <w:rFonts w:ascii="新宋体" w:eastAsia="新宋体" w:hAnsi="新宋体" w:cs="新宋体" w:hint="eastAsia"/>
              <w:color w:val="auto"/>
              <w:sz w:val="28"/>
              <w:szCs w:val="28"/>
              <w:u w:val="none"/>
            </w:rPr>
            <w:t>2、安全管理要求:</w:t>
          </w:r>
          <w:r>
            <w:rPr>
              <w:rFonts w:ascii="新宋体" w:eastAsia="新宋体" w:hAnsi="新宋体" w:cs="新宋体" w:hint="eastAsia"/>
              <w:color w:val="auto"/>
              <w:sz w:val="28"/>
              <w:szCs w:val="28"/>
              <w:u w:val="none"/>
            </w:rPr>
            <w:tab/>
          </w:r>
          <w:r>
            <w:rPr>
              <w:rFonts w:ascii="新宋体" w:eastAsia="新宋体" w:hAnsi="新宋体" w:cs="新宋体" w:hint="eastAsia"/>
              <w:color w:val="auto"/>
              <w:sz w:val="28"/>
              <w:szCs w:val="28"/>
              <w:u w:val="none"/>
            </w:rPr>
            <w:t>3</w:t>
          </w:r>
          <w:r>
            <w:rPr>
              <w:rFonts w:ascii="新宋体" w:eastAsia="新宋体" w:hAnsi="新宋体" w:cs="新宋体" w:hint="eastAsia"/>
              <w:bCs/>
              <w:sz w:val="28"/>
              <w:szCs w:val="28"/>
            </w:rPr>
            <w:t>0</w:t>
          </w:r>
        </w:p>
        <w:p>
          <w:pPr>
            <w:pStyle w:val="TOC2"/>
            <w:tabs>
              <w:tab w:val="right" w:leader="dot" w:pos="9637"/>
            </w:tabs>
            <w:spacing w:line="600" w:lineRule="exact"/>
            <w:rPr>
              <w:rFonts w:ascii="新宋体" w:eastAsia="新宋体" w:hAnsi="新宋体" w:cs="新宋体"/>
              <w:sz w:val="28"/>
              <w:szCs w:val="28"/>
            </w:rPr>
          </w:pPr>
          <w:r>
            <w:rPr>
              <w:rFonts w:ascii="新宋体" w:eastAsia="新宋体" w:hAnsi="新宋体" w:cs="新宋体" w:hint="eastAsia"/>
              <w:color w:val="auto"/>
              <w:sz w:val="28"/>
              <w:szCs w:val="28"/>
              <w:u w:val="none"/>
            </w:rPr>
            <w:t>3、安全检查：</w:t>
          </w:r>
          <w:r>
            <w:rPr>
              <w:rFonts w:ascii="新宋体" w:eastAsia="新宋体" w:hAnsi="新宋体" w:cs="新宋体" w:hint="eastAsia"/>
              <w:color w:val="auto"/>
              <w:sz w:val="28"/>
              <w:szCs w:val="28"/>
              <w:u w:val="none"/>
            </w:rPr>
            <w:tab/>
          </w:r>
          <w:r>
            <w:rPr>
              <w:rFonts w:ascii="新宋体" w:eastAsia="新宋体" w:hAnsi="新宋体" w:cs="新宋体" w:hint="eastAsia"/>
              <w:color w:val="auto"/>
              <w:sz w:val="28"/>
              <w:szCs w:val="28"/>
              <w:u w:val="none"/>
            </w:rPr>
            <w:t>3</w:t>
          </w:r>
          <w:r>
            <w:rPr>
              <w:rFonts w:ascii="新宋体" w:eastAsia="新宋体" w:hAnsi="新宋体" w:cs="新宋体" w:hint="eastAsia"/>
              <w:bCs/>
              <w:sz w:val="28"/>
              <w:szCs w:val="28"/>
            </w:rPr>
            <w:t>1</w:t>
          </w:r>
        </w:p>
        <w:p>
          <w:pPr>
            <w:pStyle w:val="TOC2"/>
            <w:tabs>
              <w:tab w:val="right" w:leader="dot" w:pos="9637"/>
            </w:tabs>
            <w:spacing w:line="600" w:lineRule="exact"/>
            <w:rPr>
              <w:rFonts w:ascii="新宋体" w:eastAsia="新宋体" w:hAnsi="新宋体" w:cs="新宋体"/>
              <w:sz w:val="28"/>
              <w:szCs w:val="28"/>
            </w:rPr>
          </w:pPr>
          <w:r>
            <w:rPr>
              <w:rFonts w:ascii="新宋体" w:eastAsia="新宋体" w:hAnsi="新宋体" w:cs="新宋体" w:hint="eastAsia"/>
              <w:color w:val="auto"/>
              <w:sz w:val="28"/>
              <w:szCs w:val="28"/>
              <w:u w:val="none"/>
            </w:rPr>
            <w:t>4、安全防护</w:t>
          </w:r>
          <w:r>
            <w:rPr>
              <w:rFonts w:ascii="新宋体" w:eastAsia="新宋体" w:hAnsi="新宋体" w:cs="新宋体" w:hint="eastAsia"/>
              <w:color w:val="auto"/>
              <w:sz w:val="28"/>
              <w:szCs w:val="28"/>
              <w:u w:val="none"/>
            </w:rPr>
            <w:tab/>
          </w:r>
          <w:r>
            <w:rPr>
              <w:rFonts w:ascii="新宋体" w:eastAsia="新宋体" w:hAnsi="新宋体" w:cs="新宋体" w:hint="eastAsia"/>
              <w:color w:val="auto"/>
              <w:sz w:val="28"/>
              <w:szCs w:val="28"/>
              <w:u w:val="none"/>
            </w:rPr>
            <w:fldChar w:fldCharType="begin"/>
          </w:r>
          <w:r>
            <w:rPr>
              <w:rFonts w:ascii="新宋体" w:eastAsia="新宋体" w:hAnsi="新宋体" w:cs="新宋体" w:hint="eastAsia"/>
              <w:color w:val="auto"/>
              <w:sz w:val="28"/>
              <w:szCs w:val="28"/>
              <w:u w:val="none"/>
            </w:rPr>
            <w:instrText xml:space="preserve"> PAGEREF _Toc12176 </w:instrText>
          </w:r>
          <w:r>
            <w:rPr>
              <w:rFonts w:ascii="新宋体" w:eastAsia="新宋体" w:hAnsi="新宋体" w:cs="新宋体" w:hint="eastAsia"/>
              <w:color w:val="auto"/>
              <w:sz w:val="28"/>
              <w:szCs w:val="28"/>
              <w:u w:val="none"/>
            </w:rPr>
            <w:fldChar w:fldCharType="separate"/>
          </w:r>
          <w:r>
            <w:rPr>
              <w:rFonts w:ascii="新宋体" w:eastAsia="新宋体" w:hAnsi="新宋体" w:cs="新宋体" w:hint="eastAsia"/>
              <w:color w:val="auto"/>
              <w:sz w:val="28"/>
              <w:szCs w:val="28"/>
              <w:u w:val="none"/>
            </w:rPr>
            <w:t>32</w:t>
          </w:r>
          <w:r>
            <w:rPr>
              <w:rFonts w:ascii="新宋体" w:eastAsia="新宋体" w:hAnsi="新宋体" w:cs="新宋体" w:hint="eastAsia"/>
              <w:color w:val="auto"/>
              <w:sz w:val="28"/>
              <w:szCs w:val="28"/>
              <w:u w:val="none"/>
            </w:rPr>
            <w:fldChar w:fldCharType="end"/>
          </w:r>
        </w:p>
        <w:p>
          <w:pPr>
            <w:pStyle w:val="TOC2"/>
            <w:tabs>
              <w:tab w:val="right" w:leader="dot" w:pos="9637"/>
            </w:tabs>
            <w:spacing w:line="600" w:lineRule="exact"/>
            <w:rPr>
              <w:rFonts w:ascii="新宋体" w:eastAsia="新宋体" w:hAnsi="新宋体" w:cs="新宋体"/>
              <w:sz w:val="28"/>
              <w:szCs w:val="28"/>
            </w:rPr>
          </w:pPr>
          <w:r>
            <w:rPr>
              <w:rFonts w:ascii="新宋体" w:eastAsia="新宋体" w:hAnsi="新宋体" w:cs="新宋体" w:hint="eastAsia"/>
              <w:color w:val="auto"/>
              <w:sz w:val="28"/>
              <w:szCs w:val="28"/>
              <w:u w:val="none"/>
            </w:rPr>
            <w:t>5、事故处理</w:t>
          </w:r>
          <w:r>
            <w:rPr>
              <w:rFonts w:ascii="新宋体" w:eastAsia="新宋体" w:hAnsi="新宋体" w:cs="新宋体" w:hint="eastAsia"/>
              <w:color w:val="auto"/>
              <w:sz w:val="28"/>
              <w:szCs w:val="28"/>
              <w:u w:val="none"/>
            </w:rPr>
            <w:tab/>
          </w:r>
          <w:r>
            <w:rPr>
              <w:rFonts w:ascii="新宋体" w:eastAsia="新宋体" w:hAnsi="新宋体" w:cs="新宋体" w:hint="eastAsia"/>
              <w:color w:val="auto"/>
              <w:sz w:val="28"/>
              <w:szCs w:val="28"/>
              <w:u w:val="none"/>
            </w:rPr>
            <w:fldChar w:fldCharType="begin"/>
          </w:r>
          <w:r>
            <w:rPr>
              <w:rFonts w:ascii="新宋体" w:eastAsia="新宋体" w:hAnsi="新宋体" w:cs="新宋体" w:hint="eastAsia"/>
              <w:color w:val="auto"/>
              <w:sz w:val="28"/>
              <w:szCs w:val="28"/>
              <w:u w:val="none"/>
            </w:rPr>
            <w:instrText xml:space="preserve"> PAGEREF _Toc1968 </w:instrText>
          </w:r>
          <w:r>
            <w:rPr>
              <w:rFonts w:ascii="新宋体" w:eastAsia="新宋体" w:hAnsi="新宋体" w:cs="新宋体" w:hint="eastAsia"/>
              <w:color w:val="auto"/>
              <w:sz w:val="28"/>
              <w:szCs w:val="28"/>
              <w:u w:val="none"/>
            </w:rPr>
            <w:fldChar w:fldCharType="separate"/>
          </w:r>
          <w:r>
            <w:rPr>
              <w:rFonts w:ascii="新宋体" w:eastAsia="新宋体" w:hAnsi="新宋体" w:cs="新宋体" w:hint="eastAsia"/>
              <w:color w:val="auto"/>
              <w:sz w:val="28"/>
              <w:szCs w:val="28"/>
              <w:u w:val="none"/>
            </w:rPr>
            <w:t>32</w:t>
          </w:r>
          <w:r>
            <w:rPr>
              <w:rFonts w:ascii="新宋体" w:eastAsia="新宋体" w:hAnsi="新宋体" w:cs="新宋体" w:hint="eastAsia"/>
              <w:color w:val="auto"/>
              <w:sz w:val="28"/>
              <w:szCs w:val="28"/>
              <w:u w:val="none"/>
            </w:rPr>
            <w:fldChar w:fldCharType="end"/>
          </w:r>
        </w:p>
        <w:p>
          <w:pPr>
            <w:pStyle w:val="TOC1"/>
            <w:tabs>
              <w:tab w:val="right" w:leader="dot" w:pos="9637"/>
            </w:tabs>
            <w:spacing w:line="600" w:lineRule="exact"/>
            <w:rPr>
              <w:rFonts w:ascii="新宋体" w:eastAsia="新宋体" w:hAnsi="新宋体" w:cs="新宋体"/>
              <w:b/>
              <w:bCs/>
              <w:sz w:val="28"/>
              <w:szCs w:val="28"/>
            </w:rPr>
          </w:pPr>
          <w:r>
            <w:rPr>
              <w:rFonts w:ascii="新宋体" w:eastAsia="新宋体" w:hAnsi="新宋体" w:cs="新宋体" w:hint="eastAsia"/>
              <w:b/>
              <w:bCs/>
              <w:color w:val="auto"/>
              <w:sz w:val="28"/>
              <w:szCs w:val="28"/>
              <w:u w:val="none"/>
            </w:rPr>
            <w:t>九、施工用电管理</w:t>
          </w:r>
          <w:r>
            <w:rPr>
              <w:rFonts w:ascii="新宋体" w:eastAsia="新宋体" w:hAnsi="新宋体" w:cs="新宋体" w:hint="eastAsia"/>
              <w:b/>
              <w:bCs/>
              <w:color w:val="auto"/>
              <w:sz w:val="28"/>
              <w:szCs w:val="28"/>
              <w:u w:val="none"/>
            </w:rPr>
            <w:tab/>
          </w:r>
          <w:r>
            <w:rPr>
              <w:rFonts w:ascii="新宋体" w:eastAsia="新宋体" w:hAnsi="新宋体" w:cs="新宋体" w:hint="eastAsia"/>
              <w:b/>
              <w:bCs/>
              <w:color w:val="auto"/>
              <w:sz w:val="28"/>
              <w:szCs w:val="28"/>
              <w:u w:val="none"/>
            </w:rPr>
            <w:fldChar w:fldCharType="begin"/>
          </w:r>
          <w:r>
            <w:rPr>
              <w:rFonts w:ascii="新宋体" w:eastAsia="新宋体" w:hAnsi="新宋体" w:cs="新宋体" w:hint="eastAsia"/>
              <w:b/>
              <w:bCs/>
              <w:color w:val="auto"/>
              <w:sz w:val="28"/>
              <w:szCs w:val="28"/>
              <w:u w:val="none"/>
            </w:rPr>
            <w:instrText xml:space="preserve"> PAGEREF _Toc16869 </w:instrText>
          </w:r>
          <w:r>
            <w:rPr>
              <w:rFonts w:ascii="新宋体" w:eastAsia="新宋体" w:hAnsi="新宋体" w:cs="新宋体" w:hint="eastAsia"/>
              <w:b/>
              <w:bCs/>
              <w:color w:val="auto"/>
              <w:sz w:val="28"/>
              <w:szCs w:val="28"/>
              <w:u w:val="none"/>
            </w:rPr>
            <w:fldChar w:fldCharType="separate"/>
          </w:r>
          <w:r>
            <w:rPr>
              <w:rFonts w:ascii="新宋体" w:eastAsia="新宋体" w:hAnsi="新宋体" w:cs="新宋体" w:hint="eastAsia"/>
              <w:b/>
              <w:bCs/>
              <w:color w:val="auto"/>
              <w:sz w:val="28"/>
              <w:szCs w:val="28"/>
              <w:u w:val="none"/>
            </w:rPr>
            <w:t>32</w:t>
          </w:r>
          <w:r>
            <w:rPr>
              <w:rFonts w:ascii="新宋体" w:eastAsia="新宋体" w:hAnsi="新宋体" w:cs="新宋体" w:hint="eastAsia"/>
              <w:b/>
              <w:bCs/>
              <w:color w:val="auto"/>
              <w:sz w:val="28"/>
              <w:szCs w:val="28"/>
              <w:u w:val="none"/>
            </w:rPr>
            <w:fldChar w:fldCharType="end"/>
          </w:r>
        </w:p>
        <w:p>
          <w:pPr>
            <w:pStyle w:val="TOC1"/>
            <w:tabs>
              <w:tab w:val="right" w:leader="dot" w:pos="9637"/>
            </w:tabs>
            <w:spacing w:line="600" w:lineRule="exact"/>
            <w:rPr>
              <w:rFonts w:ascii="新宋体" w:eastAsia="新宋体" w:hAnsi="新宋体" w:cs="新宋体"/>
              <w:b/>
              <w:bCs/>
              <w:sz w:val="28"/>
              <w:szCs w:val="28"/>
            </w:rPr>
          </w:pPr>
          <w:r>
            <w:rPr>
              <w:rFonts w:ascii="新宋体" w:eastAsia="新宋体" w:hAnsi="新宋体" w:cs="新宋体" w:hint="eastAsia"/>
              <w:b/>
              <w:bCs/>
              <w:color w:val="auto"/>
              <w:sz w:val="28"/>
              <w:szCs w:val="28"/>
              <w:u w:val="none"/>
            </w:rPr>
            <w:t>十、施工用水管理</w:t>
          </w:r>
          <w:r>
            <w:rPr>
              <w:rFonts w:ascii="新宋体" w:eastAsia="新宋体" w:hAnsi="新宋体" w:cs="新宋体" w:hint="eastAsia"/>
              <w:b/>
              <w:bCs/>
              <w:color w:val="auto"/>
              <w:sz w:val="28"/>
              <w:szCs w:val="28"/>
              <w:u w:val="none"/>
            </w:rPr>
            <w:tab/>
          </w:r>
          <w:r>
            <w:rPr>
              <w:rFonts w:ascii="新宋体" w:eastAsia="新宋体" w:hAnsi="新宋体" w:cs="新宋体" w:hint="eastAsia"/>
              <w:b/>
              <w:bCs/>
              <w:color w:val="auto"/>
              <w:sz w:val="28"/>
              <w:szCs w:val="28"/>
              <w:u w:val="none"/>
            </w:rPr>
            <w:t>3</w:t>
          </w:r>
          <w:r>
            <w:rPr>
              <w:rFonts w:ascii="新宋体" w:eastAsia="新宋体" w:hAnsi="新宋体" w:cs="新宋体" w:hint="eastAsia"/>
              <w:b/>
              <w:bCs/>
              <w:sz w:val="28"/>
              <w:szCs w:val="28"/>
            </w:rPr>
            <w:t>3</w:t>
          </w:r>
        </w:p>
        <w:p>
          <w:pPr>
            <w:pStyle w:val="TOC2"/>
            <w:tabs>
              <w:tab w:val="right" w:leader="dot" w:pos="9637"/>
            </w:tabs>
            <w:spacing w:line="600" w:lineRule="exact"/>
            <w:rPr>
              <w:rFonts w:ascii="新宋体" w:eastAsia="新宋体" w:hAnsi="新宋体" w:cs="新宋体"/>
              <w:sz w:val="28"/>
              <w:szCs w:val="28"/>
            </w:rPr>
          </w:pPr>
          <w:r>
            <w:rPr>
              <w:rFonts w:ascii="新宋体" w:eastAsia="新宋体" w:hAnsi="新宋体" w:cs="新宋体" w:hint="eastAsia"/>
              <w:color w:val="auto"/>
              <w:sz w:val="28"/>
              <w:szCs w:val="28"/>
              <w:u w:val="none"/>
            </w:rPr>
            <w:t>1、管理原则及权责</w:t>
          </w:r>
          <w:r>
            <w:rPr>
              <w:rFonts w:ascii="新宋体" w:eastAsia="新宋体" w:hAnsi="新宋体" w:cs="新宋体" w:hint="eastAsia"/>
              <w:color w:val="auto"/>
              <w:sz w:val="28"/>
              <w:szCs w:val="28"/>
              <w:u w:val="none"/>
            </w:rPr>
            <w:tab/>
          </w:r>
          <w:r>
            <w:rPr>
              <w:rFonts w:ascii="新宋体" w:eastAsia="新宋体" w:hAnsi="新宋体" w:cs="新宋体" w:hint="eastAsia"/>
              <w:color w:val="auto"/>
              <w:sz w:val="28"/>
              <w:szCs w:val="28"/>
              <w:u w:val="none"/>
            </w:rPr>
            <w:fldChar w:fldCharType="begin"/>
          </w:r>
          <w:r>
            <w:rPr>
              <w:rFonts w:ascii="新宋体" w:eastAsia="新宋体" w:hAnsi="新宋体" w:cs="新宋体" w:hint="eastAsia"/>
              <w:color w:val="auto"/>
              <w:sz w:val="28"/>
              <w:szCs w:val="28"/>
              <w:u w:val="none"/>
            </w:rPr>
            <w:instrText xml:space="preserve"> PAGEREF _Toc5725 </w:instrText>
          </w:r>
          <w:r>
            <w:rPr>
              <w:rFonts w:ascii="新宋体" w:eastAsia="新宋体" w:hAnsi="新宋体" w:cs="新宋体" w:hint="eastAsia"/>
              <w:color w:val="auto"/>
              <w:sz w:val="28"/>
              <w:szCs w:val="28"/>
              <w:u w:val="none"/>
            </w:rPr>
            <w:fldChar w:fldCharType="separate"/>
          </w:r>
          <w:r>
            <w:rPr>
              <w:rFonts w:ascii="新宋体" w:eastAsia="新宋体" w:hAnsi="新宋体" w:cs="新宋体" w:hint="eastAsia"/>
              <w:color w:val="auto"/>
              <w:sz w:val="28"/>
              <w:szCs w:val="28"/>
              <w:u w:val="none"/>
            </w:rPr>
            <w:t>33</w:t>
          </w:r>
          <w:r>
            <w:rPr>
              <w:rFonts w:ascii="新宋体" w:eastAsia="新宋体" w:hAnsi="新宋体" w:cs="新宋体" w:hint="eastAsia"/>
              <w:color w:val="auto"/>
              <w:sz w:val="28"/>
              <w:szCs w:val="28"/>
              <w:u w:val="none"/>
            </w:rPr>
            <w:fldChar w:fldCharType="end"/>
          </w:r>
        </w:p>
        <w:p>
          <w:pPr>
            <w:pStyle w:val="TOC2"/>
            <w:tabs>
              <w:tab w:val="right" w:leader="dot" w:pos="9637"/>
            </w:tabs>
            <w:spacing w:line="600" w:lineRule="exact"/>
            <w:rPr>
              <w:rFonts w:ascii="新宋体" w:eastAsia="新宋体" w:hAnsi="新宋体" w:cs="新宋体"/>
              <w:sz w:val="28"/>
              <w:szCs w:val="28"/>
            </w:rPr>
          </w:pPr>
          <w:r>
            <w:rPr>
              <w:rFonts w:ascii="新宋体" w:eastAsia="新宋体" w:hAnsi="新宋体" w:cs="新宋体" w:hint="eastAsia"/>
              <w:color w:val="auto"/>
              <w:sz w:val="28"/>
              <w:szCs w:val="28"/>
              <w:u w:val="none"/>
            </w:rPr>
            <w:t>2、用水申请及审批</w:t>
          </w:r>
          <w:r>
            <w:rPr>
              <w:rFonts w:ascii="新宋体" w:eastAsia="新宋体" w:hAnsi="新宋体" w:cs="新宋体" w:hint="eastAsia"/>
              <w:color w:val="auto"/>
              <w:sz w:val="28"/>
              <w:szCs w:val="28"/>
              <w:u w:val="none"/>
            </w:rPr>
            <w:tab/>
          </w:r>
          <w:r>
            <w:rPr>
              <w:rFonts w:ascii="新宋体" w:eastAsia="新宋体" w:hAnsi="新宋体" w:cs="新宋体" w:hint="eastAsia"/>
              <w:color w:val="auto"/>
              <w:sz w:val="28"/>
              <w:szCs w:val="28"/>
              <w:u w:val="none"/>
            </w:rPr>
            <w:t>3</w:t>
          </w:r>
          <w:r>
            <w:rPr>
              <w:rFonts w:ascii="新宋体" w:eastAsia="新宋体" w:hAnsi="新宋体" w:cs="新宋体" w:hint="eastAsia"/>
              <w:bCs/>
              <w:sz w:val="28"/>
              <w:szCs w:val="28"/>
            </w:rPr>
            <w:t>4</w:t>
          </w:r>
        </w:p>
        <w:p>
          <w:pPr>
            <w:pStyle w:val="TOC2"/>
            <w:tabs>
              <w:tab w:val="right" w:leader="dot" w:pos="9637"/>
            </w:tabs>
            <w:spacing w:line="600" w:lineRule="exact"/>
            <w:rPr>
              <w:rFonts w:ascii="新宋体" w:eastAsia="新宋体" w:hAnsi="新宋体" w:cs="新宋体"/>
              <w:sz w:val="28"/>
              <w:szCs w:val="28"/>
            </w:rPr>
          </w:pPr>
          <w:r>
            <w:rPr>
              <w:rFonts w:ascii="新宋体" w:eastAsia="新宋体" w:hAnsi="新宋体" w:cs="新宋体" w:hint="eastAsia"/>
              <w:color w:val="auto"/>
              <w:sz w:val="28"/>
              <w:szCs w:val="28"/>
              <w:u w:val="none"/>
            </w:rPr>
            <w:t>3、用水计量及费用支付</w:t>
          </w:r>
          <w:r>
            <w:rPr>
              <w:rFonts w:ascii="新宋体" w:eastAsia="新宋体" w:hAnsi="新宋体" w:cs="新宋体" w:hint="eastAsia"/>
              <w:color w:val="auto"/>
              <w:sz w:val="28"/>
              <w:szCs w:val="28"/>
              <w:u w:val="none"/>
            </w:rPr>
            <w:tab/>
          </w:r>
          <w:r>
            <w:rPr>
              <w:rFonts w:ascii="新宋体" w:eastAsia="新宋体" w:hAnsi="新宋体" w:cs="新宋体" w:hint="eastAsia"/>
              <w:color w:val="auto"/>
              <w:sz w:val="28"/>
              <w:szCs w:val="28"/>
              <w:u w:val="none"/>
            </w:rPr>
            <w:t>3</w:t>
          </w:r>
          <w:r>
            <w:rPr>
              <w:rFonts w:ascii="新宋体" w:eastAsia="新宋体" w:hAnsi="新宋体" w:cs="新宋体" w:hint="eastAsia"/>
              <w:bCs/>
              <w:sz w:val="28"/>
              <w:szCs w:val="28"/>
            </w:rPr>
            <w:t>4</w:t>
          </w:r>
        </w:p>
        <w:p>
          <w:pPr>
            <w:pStyle w:val="TOC2"/>
            <w:tabs>
              <w:tab w:val="right" w:leader="dot" w:pos="9637"/>
            </w:tabs>
            <w:spacing w:line="600" w:lineRule="exact"/>
            <w:rPr>
              <w:rFonts w:ascii="新宋体" w:eastAsia="新宋体" w:hAnsi="新宋体" w:cs="新宋体"/>
              <w:sz w:val="28"/>
              <w:szCs w:val="28"/>
            </w:rPr>
          </w:pPr>
          <w:r>
            <w:rPr>
              <w:rFonts w:ascii="新宋体" w:eastAsia="新宋体" w:hAnsi="新宋体" w:cs="新宋体" w:hint="eastAsia"/>
              <w:color w:val="auto"/>
              <w:sz w:val="28"/>
              <w:szCs w:val="28"/>
              <w:u w:val="none"/>
            </w:rPr>
            <w:t>4、日常管理</w:t>
          </w:r>
          <w:r>
            <w:rPr>
              <w:rFonts w:ascii="新宋体" w:eastAsia="新宋体" w:hAnsi="新宋体" w:cs="新宋体" w:hint="eastAsia"/>
              <w:color w:val="auto"/>
              <w:sz w:val="28"/>
              <w:szCs w:val="28"/>
              <w:u w:val="none"/>
            </w:rPr>
            <w:tab/>
          </w:r>
          <w:r>
            <w:rPr>
              <w:rFonts w:ascii="新宋体" w:eastAsia="新宋体" w:hAnsi="新宋体" w:cs="新宋体" w:hint="eastAsia"/>
              <w:color w:val="auto"/>
              <w:sz w:val="28"/>
              <w:szCs w:val="28"/>
              <w:u w:val="none"/>
            </w:rPr>
            <w:t>3</w:t>
          </w:r>
          <w:r>
            <w:rPr>
              <w:rFonts w:ascii="新宋体" w:eastAsia="新宋体" w:hAnsi="新宋体" w:cs="新宋体" w:hint="eastAsia"/>
              <w:bCs/>
              <w:sz w:val="28"/>
              <w:szCs w:val="28"/>
            </w:rPr>
            <w:t>4</w:t>
          </w:r>
        </w:p>
        <w:p>
          <w:pPr>
            <w:pStyle w:val="TOC1"/>
            <w:tabs>
              <w:tab w:val="right" w:leader="dot" w:pos="9637"/>
            </w:tabs>
            <w:spacing w:line="600" w:lineRule="exact"/>
            <w:rPr>
              <w:rFonts w:ascii="新宋体" w:eastAsia="新宋体" w:hAnsi="新宋体" w:cs="新宋体"/>
              <w:b/>
              <w:bCs/>
              <w:sz w:val="28"/>
              <w:szCs w:val="28"/>
            </w:rPr>
          </w:pPr>
          <w:r>
            <w:rPr>
              <w:rFonts w:ascii="新宋体" w:eastAsia="新宋体" w:hAnsi="新宋体" w:cs="新宋体" w:hint="eastAsia"/>
              <w:b/>
              <w:bCs/>
              <w:color w:val="auto"/>
              <w:sz w:val="28"/>
              <w:szCs w:val="28"/>
              <w:u w:val="none"/>
            </w:rPr>
            <w:t>十一、易燃、易爆物品和动火管理（安全防护管理）</w:t>
          </w:r>
          <w:r>
            <w:rPr>
              <w:rFonts w:ascii="新宋体" w:eastAsia="新宋体" w:hAnsi="新宋体" w:cs="新宋体" w:hint="eastAsia"/>
              <w:b/>
              <w:bCs/>
              <w:color w:val="auto"/>
              <w:sz w:val="28"/>
              <w:szCs w:val="28"/>
              <w:u w:val="none"/>
            </w:rPr>
            <w:tab/>
          </w:r>
          <w:r>
            <w:rPr>
              <w:rFonts w:ascii="新宋体" w:eastAsia="新宋体" w:hAnsi="新宋体" w:cs="新宋体" w:hint="eastAsia"/>
              <w:b/>
              <w:bCs/>
              <w:color w:val="auto"/>
              <w:sz w:val="28"/>
              <w:szCs w:val="28"/>
              <w:u w:val="none"/>
            </w:rPr>
            <w:t>3</w:t>
          </w:r>
          <w:r>
            <w:rPr>
              <w:rFonts w:ascii="新宋体" w:eastAsia="新宋体" w:hAnsi="新宋体" w:cs="新宋体" w:hint="eastAsia"/>
              <w:b/>
              <w:bCs/>
              <w:sz w:val="28"/>
              <w:szCs w:val="28"/>
            </w:rPr>
            <w:t>4</w:t>
          </w:r>
        </w:p>
        <w:p>
          <w:pPr>
            <w:pStyle w:val="TOC1"/>
            <w:tabs>
              <w:tab w:val="right" w:leader="dot" w:pos="9637"/>
            </w:tabs>
            <w:spacing w:line="600" w:lineRule="exact"/>
            <w:rPr>
              <w:rFonts w:ascii="新宋体" w:eastAsia="新宋体" w:hAnsi="新宋体" w:cs="新宋体"/>
              <w:b/>
              <w:bCs/>
              <w:sz w:val="28"/>
              <w:szCs w:val="28"/>
            </w:rPr>
          </w:pPr>
          <w:r>
            <w:rPr>
              <w:rFonts w:ascii="新宋体" w:eastAsia="新宋体" w:hAnsi="新宋体" w:cs="新宋体" w:hint="eastAsia"/>
              <w:b/>
              <w:bCs/>
              <w:color w:val="auto"/>
              <w:sz w:val="28"/>
              <w:szCs w:val="28"/>
              <w:u w:val="none"/>
            </w:rPr>
            <w:t>十二、文物和工程障碍</w:t>
          </w:r>
          <w:r>
            <w:rPr>
              <w:rFonts w:ascii="新宋体" w:eastAsia="新宋体" w:hAnsi="新宋体" w:cs="新宋体" w:hint="eastAsia"/>
              <w:b/>
              <w:bCs/>
              <w:color w:val="auto"/>
              <w:sz w:val="28"/>
              <w:szCs w:val="28"/>
              <w:u w:val="none"/>
            </w:rPr>
            <w:tab/>
          </w:r>
          <w:r>
            <w:rPr>
              <w:rFonts w:ascii="新宋体" w:eastAsia="新宋体" w:hAnsi="新宋体" w:cs="新宋体" w:hint="eastAsia"/>
              <w:b/>
              <w:bCs/>
              <w:color w:val="auto"/>
              <w:sz w:val="28"/>
              <w:szCs w:val="28"/>
              <w:u w:val="none"/>
            </w:rPr>
            <w:t>3</w:t>
          </w:r>
          <w:r>
            <w:rPr>
              <w:rFonts w:ascii="新宋体" w:eastAsia="新宋体" w:hAnsi="新宋体" w:cs="新宋体" w:hint="eastAsia"/>
              <w:b/>
              <w:bCs/>
              <w:sz w:val="28"/>
              <w:szCs w:val="28"/>
            </w:rPr>
            <w:t>5</w:t>
          </w:r>
        </w:p>
        <w:p>
          <w:pPr>
            <w:pStyle w:val="TOC1"/>
            <w:tabs>
              <w:tab w:val="right" w:leader="dot" w:pos="9637"/>
            </w:tabs>
            <w:spacing w:line="600" w:lineRule="exact"/>
            <w:rPr>
              <w:rFonts w:ascii="新宋体" w:eastAsia="新宋体" w:hAnsi="新宋体" w:cs="新宋体"/>
              <w:b/>
              <w:bCs/>
              <w:sz w:val="28"/>
              <w:szCs w:val="28"/>
            </w:rPr>
          </w:pPr>
          <w:r>
            <w:rPr>
              <w:rFonts w:ascii="新宋体" w:eastAsia="新宋体" w:hAnsi="新宋体" w:cs="新宋体" w:hint="eastAsia"/>
              <w:b/>
              <w:bCs/>
              <w:color w:val="auto"/>
              <w:sz w:val="28"/>
              <w:szCs w:val="28"/>
              <w:u w:val="none"/>
            </w:rPr>
            <w:t>十三、政府管理部门及周边的协调管理</w:t>
          </w:r>
          <w:r>
            <w:rPr>
              <w:rFonts w:ascii="新宋体" w:eastAsia="新宋体" w:hAnsi="新宋体" w:cs="新宋体" w:hint="eastAsia"/>
              <w:b/>
              <w:bCs/>
              <w:color w:val="auto"/>
              <w:sz w:val="28"/>
              <w:szCs w:val="28"/>
              <w:u w:val="none"/>
            </w:rPr>
            <w:tab/>
          </w:r>
          <w:r>
            <w:rPr>
              <w:rFonts w:ascii="新宋体" w:eastAsia="新宋体" w:hAnsi="新宋体" w:cs="新宋体" w:hint="eastAsia"/>
              <w:b/>
              <w:bCs/>
              <w:color w:val="auto"/>
              <w:sz w:val="28"/>
              <w:szCs w:val="28"/>
              <w:u w:val="none"/>
            </w:rPr>
            <w:t>3</w:t>
          </w:r>
          <w:r>
            <w:rPr>
              <w:rFonts w:ascii="新宋体" w:eastAsia="新宋体" w:hAnsi="新宋体" w:cs="新宋体" w:hint="eastAsia"/>
              <w:b/>
              <w:bCs/>
              <w:sz w:val="28"/>
              <w:szCs w:val="28"/>
            </w:rPr>
            <w:t>5</w:t>
          </w:r>
        </w:p>
        <w:p>
          <w:pPr>
            <w:pStyle w:val="TOC1"/>
            <w:tabs>
              <w:tab w:val="right" w:leader="dot" w:pos="9637"/>
            </w:tabs>
            <w:spacing w:line="600" w:lineRule="exact"/>
            <w:rPr>
              <w:rFonts w:ascii="新宋体" w:eastAsia="新宋体" w:hAnsi="新宋体" w:cs="新宋体"/>
              <w:b/>
              <w:bCs/>
              <w:sz w:val="28"/>
              <w:szCs w:val="28"/>
            </w:rPr>
          </w:pPr>
          <w:r>
            <w:rPr>
              <w:rFonts w:ascii="新宋体" w:eastAsia="新宋体" w:hAnsi="新宋体" w:cs="新宋体" w:hint="eastAsia"/>
              <w:b/>
              <w:bCs/>
              <w:color w:val="auto"/>
              <w:sz w:val="28"/>
              <w:szCs w:val="28"/>
              <w:u w:val="none"/>
            </w:rPr>
            <w:t>十四、民工工资支付管理规定</w:t>
          </w:r>
          <w:r>
            <w:rPr>
              <w:rFonts w:ascii="新宋体" w:eastAsia="新宋体" w:hAnsi="新宋体" w:cs="新宋体" w:hint="eastAsia"/>
              <w:b/>
              <w:bCs/>
              <w:color w:val="auto"/>
              <w:sz w:val="28"/>
              <w:szCs w:val="28"/>
              <w:u w:val="none"/>
            </w:rPr>
            <w:tab/>
          </w:r>
          <w:r>
            <w:rPr>
              <w:rFonts w:ascii="新宋体" w:eastAsia="新宋体" w:hAnsi="新宋体" w:cs="新宋体" w:hint="eastAsia"/>
              <w:b/>
              <w:bCs/>
              <w:color w:val="auto"/>
              <w:sz w:val="28"/>
              <w:szCs w:val="28"/>
              <w:u w:val="none"/>
            </w:rPr>
            <w:t>3</w:t>
          </w:r>
          <w:r>
            <w:rPr>
              <w:rFonts w:ascii="新宋体" w:eastAsia="新宋体" w:hAnsi="新宋体" w:cs="新宋体" w:hint="eastAsia"/>
              <w:b/>
              <w:bCs/>
              <w:sz w:val="28"/>
              <w:szCs w:val="28"/>
            </w:rPr>
            <w:t>5</w:t>
          </w:r>
        </w:p>
        <w:p>
          <w:pPr>
            <w:pStyle w:val="TOC1"/>
            <w:tabs>
              <w:tab w:val="right" w:leader="dot" w:pos="9637"/>
            </w:tabs>
            <w:spacing w:line="600" w:lineRule="exact"/>
            <w:rPr>
              <w:rFonts w:ascii="新宋体" w:eastAsia="新宋体" w:hAnsi="新宋体" w:cs="新宋体"/>
              <w:b/>
              <w:bCs/>
              <w:sz w:val="28"/>
              <w:szCs w:val="28"/>
            </w:rPr>
          </w:pPr>
          <w:r>
            <w:rPr>
              <w:rFonts w:ascii="新宋体" w:eastAsia="新宋体" w:hAnsi="新宋体" w:cs="新宋体" w:hint="eastAsia"/>
              <w:b/>
              <w:bCs/>
              <w:color w:val="auto"/>
              <w:sz w:val="28"/>
              <w:szCs w:val="28"/>
              <w:u w:val="none"/>
            </w:rPr>
            <w:t>十五、总包施工管理</w:t>
          </w:r>
          <w:r>
            <w:rPr>
              <w:rFonts w:ascii="新宋体" w:eastAsia="新宋体" w:hAnsi="新宋体" w:cs="新宋体" w:hint="eastAsia"/>
              <w:b/>
              <w:bCs/>
              <w:color w:val="auto"/>
              <w:sz w:val="28"/>
              <w:szCs w:val="28"/>
              <w:u w:val="none"/>
            </w:rPr>
            <w:tab/>
          </w:r>
          <w:r>
            <w:rPr>
              <w:rFonts w:ascii="新宋体" w:eastAsia="新宋体" w:hAnsi="新宋体" w:cs="新宋体" w:hint="eastAsia"/>
              <w:b/>
              <w:bCs/>
              <w:color w:val="auto"/>
              <w:sz w:val="28"/>
              <w:szCs w:val="28"/>
              <w:u w:val="none"/>
            </w:rPr>
            <w:fldChar w:fldCharType="begin"/>
          </w:r>
          <w:r>
            <w:rPr>
              <w:rFonts w:ascii="新宋体" w:eastAsia="新宋体" w:hAnsi="新宋体" w:cs="新宋体" w:hint="eastAsia"/>
              <w:b/>
              <w:bCs/>
              <w:color w:val="auto"/>
              <w:sz w:val="28"/>
              <w:szCs w:val="28"/>
              <w:u w:val="none"/>
            </w:rPr>
            <w:instrText xml:space="preserve"> PAGEREF _Toc26956 </w:instrText>
          </w:r>
          <w:r>
            <w:rPr>
              <w:rFonts w:ascii="新宋体" w:eastAsia="新宋体" w:hAnsi="新宋体" w:cs="新宋体" w:hint="eastAsia"/>
              <w:b/>
              <w:bCs/>
              <w:color w:val="auto"/>
              <w:sz w:val="28"/>
              <w:szCs w:val="28"/>
              <w:u w:val="none"/>
            </w:rPr>
            <w:fldChar w:fldCharType="separate"/>
          </w:r>
          <w:r>
            <w:rPr>
              <w:rFonts w:ascii="新宋体" w:eastAsia="新宋体" w:hAnsi="新宋体" w:cs="新宋体" w:hint="eastAsia"/>
              <w:b/>
              <w:bCs/>
              <w:color w:val="auto"/>
              <w:sz w:val="28"/>
              <w:szCs w:val="28"/>
              <w:u w:val="none"/>
            </w:rPr>
            <w:t>36</w:t>
          </w:r>
          <w:r>
            <w:rPr>
              <w:rFonts w:ascii="新宋体" w:eastAsia="新宋体" w:hAnsi="新宋体" w:cs="新宋体" w:hint="eastAsia"/>
              <w:b/>
              <w:bCs/>
              <w:color w:val="auto"/>
              <w:sz w:val="28"/>
              <w:szCs w:val="28"/>
              <w:u w:val="none"/>
            </w:rPr>
            <w:fldChar w:fldCharType="end"/>
          </w:r>
        </w:p>
        <w:p>
          <w:pPr>
            <w:pStyle w:val="TOC1"/>
            <w:tabs>
              <w:tab w:val="right" w:leader="dot" w:pos="9637"/>
            </w:tabs>
            <w:spacing w:line="600" w:lineRule="exact"/>
            <w:rPr>
              <w:rFonts w:ascii="新宋体" w:eastAsia="新宋体" w:hAnsi="新宋体" w:cs="新宋体"/>
              <w:b/>
              <w:bCs/>
              <w:sz w:val="28"/>
              <w:szCs w:val="28"/>
            </w:rPr>
          </w:pPr>
          <w:r>
            <w:rPr>
              <w:rFonts w:ascii="新宋体" w:eastAsia="新宋体" w:hAnsi="新宋体" w:cs="新宋体" w:hint="eastAsia"/>
              <w:b/>
              <w:bCs/>
              <w:color w:val="auto"/>
              <w:sz w:val="28"/>
              <w:szCs w:val="28"/>
              <w:u w:val="none"/>
            </w:rPr>
            <w:t>十六、承建商评价制度</w:t>
          </w:r>
          <w:r>
            <w:rPr>
              <w:rFonts w:ascii="新宋体" w:eastAsia="新宋体" w:hAnsi="新宋体" w:cs="新宋体" w:hint="eastAsia"/>
              <w:b/>
              <w:bCs/>
              <w:color w:val="auto"/>
              <w:sz w:val="28"/>
              <w:szCs w:val="28"/>
              <w:u w:val="none"/>
            </w:rPr>
            <w:tab/>
          </w:r>
          <w:r>
            <w:rPr>
              <w:rFonts w:ascii="新宋体" w:eastAsia="新宋体" w:hAnsi="新宋体" w:cs="新宋体" w:hint="eastAsia"/>
              <w:b/>
              <w:bCs/>
              <w:color w:val="auto"/>
              <w:sz w:val="28"/>
              <w:szCs w:val="28"/>
              <w:u w:val="none"/>
            </w:rPr>
            <w:fldChar w:fldCharType="begin"/>
          </w:r>
          <w:r>
            <w:rPr>
              <w:rFonts w:ascii="新宋体" w:eastAsia="新宋体" w:hAnsi="新宋体" w:cs="新宋体" w:hint="eastAsia"/>
              <w:b/>
              <w:bCs/>
              <w:color w:val="auto"/>
              <w:sz w:val="28"/>
              <w:szCs w:val="28"/>
              <w:u w:val="none"/>
            </w:rPr>
            <w:instrText xml:space="preserve"> PAGEREF _Toc17547 </w:instrText>
          </w:r>
          <w:r>
            <w:rPr>
              <w:rFonts w:ascii="新宋体" w:eastAsia="新宋体" w:hAnsi="新宋体" w:cs="新宋体" w:hint="eastAsia"/>
              <w:b/>
              <w:bCs/>
              <w:color w:val="auto"/>
              <w:sz w:val="28"/>
              <w:szCs w:val="28"/>
              <w:u w:val="none"/>
            </w:rPr>
            <w:fldChar w:fldCharType="separate"/>
          </w:r>
          <w:r>
            <w:rPr>
              <w:rFonts w:ascii="新宋体" w:eastAsia="新宋体" w:hAnsi="新宋体" w:cs="新宋体" w:hint="eastAsia"/>
              <w:b/>
              <w:bCs/>
              <w:color w:val="auto"/>
              <w:sz w:val="28"/>
              <w:szCs w:val="28"/>
              <w:u w:val="none"/>
            </w:rPr>
            <w:t>36</w:t>
          </w:r>
          <w:r>
            <w:rPr>
              <w:rFonts w:ascii="新宋体" w:eastAsia="新宋体" w:hAnsi="新宋体" w:cs="新宋体" w:hint="eastAsia"/>
              <w:b/>
              <w:bCs/>
              <w:color w:val="auto"/>
              <w:sz w:val="28"/>
              <w:szCs w:val="28"/>
              <w:u w:val="none"/>
            </w:rPr>
            <w:fldChar w:fldCharType="end"/>
          </w:r>
        </w:p>
        <w:p>
          <w:pPr>
            <w:pStyle w:val="TOC1"/>
            <w:tabs>
              <w:tab w:val="right" w:leader="dot" w:pos="9637"/>
            </w:tabs>
            <w:spacing w:line="600" w:lineRule="exact"/>
            <w:rPr>
              <w:rFonts w:ascii="新宋体" w:eastAsia="新宋体" w:hAnsi="新宋体" w:cs="新宋体"/>
              <w:b/>
              <w:bCs/>
              <w:sz w:val="28"/>
              <w:szCs w:val="28"/>
            </w:rPr>
          </w:pPr>
          <w:r>
            <w:rPr>
              <w:rFonts w:ascii="新宋体" w:eastAsia="新宋体" w:hAnsi="新宋体" w:cs="新宋体" w:hint="eastAsia"/>
              <w:b/>
              <w:bCs/>
              <w:color w:val="auto"/>
              <w:sz w:val="28"/>
              <w:szCs w:val="28"/>
              <w:u w:val="none"/>
            </w:rPr>
            <w:t>十七、样板引路制度及违约责任</w:t>
          </w:r>
          <w:r>
            <w:rPr>
              <w:rFonts w:ascii="新宋体" w:eastAsia="新宋体" w:hAnsi="新宋体" w:cs="新宋体" w:hint="eastAsia"/>
              <w:b/>
              <w:bCs/>
              <w:color w:val="auto"/>
              <w:sz w:val="28"/>
              <w:szCs w:val="28"/>
              <w:u w:val="none"/>
            </w:rPr>
            <w:tab/>
          </w:r>
          <w:r>
            <w:rPr>
              <w:rFonts w:ascii="新宋体" w:eastAsia="新宋体" w:hAnsi="新宋体" w:cs="新宋体" w:hint="eastAsia"/>
              <w:b/>
              <w:bCs/>
              <w:color w:val="auto"/>
              <w:sz w:val="28"/>
              <w:szCs w:val="28"/>
              <w:u w:val="none"/>
            </w:rPr>
            <w:fldChar w:fldCharType="begin"/>
          </w:r>
          <w:r>
            <w:rPr>
              <w:rFonts w:ascii="新宋体" w:eastAsia="新宋体" w:hAnsi="新宋体" w:cs="新宋体" w:hint="eastAsia"/>
              <w:b/>
              <w:bCs/>
              <w:color w:val="auto"/>
              <w:sz w:val="28"/>
              <w:szCs w:val="28"/>
              <w:u w:val="none"/>
            </w:rPr>
            <w:instrText xml:space="preserve"> PAGEREF _Toc5350 </w:instrText>
          </w:r>
          <w:r>
            <w:rPr>
              <w:rFonts w:ascii="新宋体" w:eastAsia="新宋体" w:hAnsi="新宋体" w:cs="新宋体" w:hint="eastAsia"/>
              <w:b/>
              <w:bCs/>
              <w:color w:val="auto"/>
              <w:sz w:val="28"/>
              <w:szCs w:val="28"/>
              <w:u w:val="none"/>
            </w:rPr>
            <w:fldChar w:fldCharType="separate"/>
          </w:r>
          <w:r>
            <w:rPr>
              <w:rFonts w:ascii="新宋体" w:eastAsia="新宋体" w:hAnsi="新宋体" w:cs="新宋体" w:hint="eastAsia"/>
              <w:b/>
              <w:bCs/>
              <w:color w:val="auto"/>
              <w:sz w:val="28"/>
              <w:szCs w:val="28"/>
              <w:u w:val="none"/>
            </w:rPr>
            <w:t>37</w:t>
          </w:r>
          <w:r>
            <w:rPr>
              <w:rFonts w:ascii="新宋体" w:eastAsia="新宋体" w:hAnsi="新宋体" w:cs="新宋体" w:hint="eastAsia"/>
              <w:b/>
              <w:bCs/>
              <w:color w:val="auto"/>
              <w:sz w:val="28"/>
              <w:szCs w:val="28"/>
              <w:u w:val="none"/>
            </w:rPr>
            <w:fldChar w:fldCharType="end"/>
          </w:r>
        </w:p>
        <w:p>
          <w:pPr>
            <w:pStyle w:val="TOC1"/>
            <w:tabs>
              <w:tab w:val="right" w:leader="dot" w:pos="9637"/>
            </w:tabs>
            <w:spacing w:line="600" w:lineRule="exact"/>
            <w:rPr>
              <w:rFonts w:ascii="新宋体" w:eastAsia="新宋体" w:hAnsi="新宋体" w:cs="新宋体"/>
              <w:b/>
              <w:bCs/>
              <w:sz w:val="28"/>
              <w:szCs w:val="28"/>
            </w:rPr>
          </w:pPr>
          <w:r>
            <w:rPr>
              <w:rFonts w:ascii="新宋体" w:eastAsia="新宋体" w:hAnsi="新宋体" w:cs="新宋体" w:hint="eastAsia"/>
              <w:b/>
              <w:bCs/>
              <w:color w:val="auto"/>
              <w:sz w:val="28"/>
              <w:szCs w:val="28"/>
              <w:u w:val="none"/>
            </w:rPr>
            <w:t>十八、分户验收制度</w:t>
          </w:r>
          <w:r>
            <w:rPr>
              <w:rFonts w:ascii="新宋体" w:eastAsia="新宋体" w:hAnsi="新宋体" w:cs="新宋体" w:hint="eastAsia"/>
              <w:b/>
              <w:bCs/>
              <w:color w:val="auto"/>
              <w:sz w:val="28"/>
              <w:szCs w:val="28"/>
              <w:u w:val="none"/>
            </w:rPr>
            <w:tab/>
          </w:r>
          <w:r>
            <w:rPr>
              <w:rFonts w:ascii="新宋体" w:eastAsia="新宋体" w:hAnsi="新宋体" w:cs="新宋体" w:hint="eastAsia"/>
              <w:b/>
              <w:bCs/>
              <w:color w:val="auto"/>
              <w:sz w:val="28"/>
              <w:szCs w:val="28"/>
              <w:u w:val="none"/>
            </w:rPr>
            <w:fldChar w:fldCharType="begin"/>
          </w:r>
          <w:r>
            <w:rPr>
              <w:rFonts w:ascii="新宋体" w:eastAsia="新宋体" w:hAnsi="新宋体" w:cs="新宋体" w:hint="eastAsia"/>
              <w:b/>
              <w:bCs/>
              <w:color w:val="auto"/>
              <w:sz w:val="28"/>
              <w:szCs w:val="28"/>
              <w:u w:val="none"/>
            </w:rPr>
            <w:instrText xml:space="preserve"> PAGEREF _Toc5243 </w:instrText>
          </w:r>
          <w:r>
            <w:rPr>
              <w:rFonts w:ascii="新宋体" w:eastAsia="新宋体" w:hAnsi="新宋体" w:cs="新宋体" w:hint="eastAsia"/>
              <w:b/>
              <w:bCs/>
              <w:color w:val="auto"/>
              <w:sz w:val="28"/>
              <w:szCs w:val="28"/>
              <w:u w:val="none"/>
            </w:rPr>
            <w:fldChar w:fldCharType="separate"/>
          </w:r>
          <w:r>
            <w:rPr>
              <w:rFonts w:ascii="新宋体" w:eastAsia="新宋体" w:hAnsi="新宋体" w:cs="新宋体" w:hint="eastAsia"/>
              <w:b/>
              <w:bCs/>
              <w:color w:val="auto"/>
              <w:sz w:val="28"/>
              <w:szCs w:val="28"/>
              <w:u w:val="none"/>
            </w:rPr>
            <w:t>38</w:t>
          </w:r>
          <w:r>
            <w:rPr>
              <w:rFonts w:ascii="新宋体" w:eastAsia="新宋体" w:hAnsi="新宋体" w:cs="新宋体" w:hint="eastAsia"/>
              <w:b/>
              <w:bCs/>
              <w:color w:val="auto"/>
              <w:sz w:val="28"/>
              <w:szCs w:val="28"/>
              <w:u w:val="none"/>
            </w:rPr>
            <w:fldChar w:fldCharType="end"/>
          </w:r>
        </w:p>
        <w:p>
          <w:pPr>
            <w:pStyle w:val="TOC2"/>
            <w:tabs>
              <w:tab w:val="right" w:leader="dot" w:pos="9637"/>
            </w:tabs>
            <w:spacing w:line="600" w:lineRule="exact"/>
            <w:rPr>
              <w:rFonts w:ascii="新宋体" w:eastAsia="新宋体" w:hAnsi="新宋体" w:cs="新宋体"/>
              <w:sz w:val="28"/>
              <w:szCs w:val="28"/>
            </w:rPr>
          </w:pPr>
          <w:r>
            <w:rPr>
              <w:rFonts w:ascii="新宋体" w:eastAsia="新宋体" w:hAnsi="新宋体" w:cs="新宋体" w:hint="eastAsia"/>
              <w:color w:val="auto"/>
              <w:sz w:val="28"/>
              <w:szCs w:val="28"/>
              <w:u w:val="none"/>
            </w:rPr>
            <w:t>（一）、分户验收程序</w:t>
          </w:r>
          <w:r>
            <w:rPr>
              <w:rFonts w:ascii="新宋体" w:eastAsia="新宋体" w:hAnsi="新宋体" w:cs="新宋体" w:hint="eastAsia"/>
              <w:color w:val="auto"/>
              <w:sz w:val="28"/>
              <w:szCs w:val="28"/>
              <w:u w:val="none"/>
            </w:rPr>
            <w:tab/>
          </w:r>
          <w:r>
            <w:rPr>
              <w:rFonts w:ascii="新宋体" w:eastAsia="新宋体" w:hAnsi="新宋体" w:cs="新宋体" w:hint="eastAsia"/>
              <w:color w:val="auto"/>
              <w:sz w:val="28"/>
              <w:szCs w:val="28"/>
              <w:u w:val="none"/>
            </w:rPr>
            <w:fldChar w:fldCharType="begin"/>
          </w:r>
          <w:r>
            <w:rPr>
              <w:rFonts w:ascii="新宋体" w:eastAsia="新宋体" w:hAnsi="新宋体" w:cs="新宋体" w:hint="eastAsia"/>
              <w:color w:val="auto"/>
              <w:sz w:val="28"/>
              <w:szCs w:val="28"/>
              <w:u w:val="none"/>
            </w:rPr>
            <w:instrText xml:space="preserve"> PAGEREF _Toc16127 </w:instrText>
          </w:r>
          <w:r>
            <w:rPr>
              <w:rFonts w:ascii="新宋体" w:eastAsia="新宋体" w:hAnsi="新宋体" w:cs="新宋体" w:hint="eastAsia"/>
              <w:color w:val="auto"/>
              <w:sz w:val="28"/>
              <w:szCs w:val="28"/>
              <w:u w:val="none"/>
            </w:rPr>
            <w:fldChar w:fldCharType="separate"/>
          </w:r>
          <w:r>
            <w:rPr>
              <w:rFonts w:ascii="新宋体" w:eastAsia="新宋体" w:hAnsi="新宋体" w:cs="新宋体" w:hint="eastAsia"/>
              <w:color w:val="auto"/>
              <w:sz w:val="28"/>
              <w:szCs w:val="28"/>
              <w:u w:val="none"/>
            </w:rPr>
            <w:t>38</w:t>
          </w:r>
          <w:r>
            <w:rPr>
              <w:rFonts w:ascii="新宋体" w:eastAsia="新宋体" w:hAnsi="新宋体" w:cs="新宋体" w:hint="eastAsia"/>
              <w:color w:val="auto"/>
              <w:sz w:val="28"/>
              <w:szCs w:val="28"/>
              <w:u w:val="none"/>
            </w:rPr>
            <w:fldChar w:fldCharType="end"/>
          </w:r>
        </w:p>
        <w:p>
          <w:pPr>
            <w:pStyle w:val="TOC2"/>
            <w:tabs>
              <w:tab w:val="right" w:leader="dot" w:pos="9637"/>
            </w:tabs>
            <w:spacing w:line="600" w:lineRule="exact"/>
            <w:rPr>
              <w:rFonts w:ascii="新宋体" w:eastAsia="新宋体" w:hAnsi="新宋体" w:cs="新宋体"/>
              <w:sz w:val="28"/>
              <w:szCs w:val="28"/>
            </w:rPr>
          </w:pPr>
          <w:r>
            <w:rPr>
              <w:rFonts w:ascii="新宋体" w:eastAsia="新宋体" w:hAnsi="新宋体" w:cs="新宋体" w:hint="eastAsia"/>
              <w:color w:val="auto"/>
              <w:sz w:val="28"/>
              <w:szCs w:val="28"/>
              <w:u w:val="none"/>
            </w:rPr>
            <w:t>（二）、分户验收方法</w:t>
          </w:r>
          <w:r>
            <w:rPr>
              <w:rFonts w:ascii="新宋体" w:eastAsia="新宋体" w:hAnsi="新宋体" w:cs="新宋体" w:hint="eastAsia"/>
              <w:color w:val="auto"/>
              <w:sz w:val="28"/>
              <w:szCs w:val="28"/>
              <w:u w:val="none"/>
            </w:rPr>
            <w:tab/>
          </w:r>
          <w:r>
            <w:rPr>
              <w:rFonts w:ascii="新宋体" w:eastAsia="新宋体" w:hAnsi="新宋体" w:cs="新宋体" w:hint="eastAsia"/>
              <w:color w:val="auto"/>
              <w:sz w:val="28"/>
              <w:szCs w:val="28"/>
              <w:u w:val="none"/>
            </w:rPr>
            <w:fldChar w:fldCharType="begin"/>
          </w:r>
          <w:r>
            <w:rPr>
              <w:rFonts w:ascii="新宋体" w:eastAsia="新宋体" w:hAnsi="新宋体" w:cs="新宋体" w:hint="eastAsia"/>
              <w:color w:val="auto"/>
              <w:sz w:val="28"/>
              <w:szCs w:val="28"/>
              <w:u w:val="none"/>
            </w:rPr>
            <w:instrText xml:space="preserve"> PAGEREF _Toc4640 </w:instrText>
          </w:r>
          <w:r>
            <w:rPr>
              <w:rFonts w:ascii="新宋体" w:eastAsia="新宋体" w:hAnsi="新宋体" w:cs="新宋体" w:hint="eastAsia"/>
              <w:color w:val="auto"/>
              <w:sz w:val="28"/>
              <w:szCs w:val="28"/>
              <w:u w:val="none"/>
            </w:rPr>
            <w:fldChar w:fldCharType="separate"/>
          </w:r>
          <w:r>
            <w:rPr>
              <w:rFonts w:ascii="新宋体" w:eastAsia="新宋体" w:hAnsi="新宋体" w:cs="新宋体" w:hint="eastAsia"/>
              <w:color w:val="auto"/>
              <w:sz w:val="28"/>
              <w:szCs w:val="28"/>
              <w:u w:val="none"/>
            </w:rPr>
            <w:t>38</w:t>
          </w:r>
          <w:r>
            <w:rPr>
              <w:rFonts w:ascii="新宋体" w:eastAsia="新宋体" w:hAnsi="新宋体" w:cs="新宋体" w:hint="eastAsia"/>
              <w:color w:val="auto"/>
              <w:sz w:val="28"/>
              <w:szCs w:val="28"/>
              <w:u w:val="none"/>
            </w:rPr>
            <w:fldChar w:fldCharType="end"/>
          </w:r>
        </w:p>
        <w:p>
          <w:pPr>
            <w:pStyle w:val="TOC1"/>
            <w:tabs>
              <w:tab w:val="right" w:leader="dot" w:pos="9637"/>
            </w:tabs>
            <w:spacing w:line="600" w:lineRule="exact"/>
            <w:rPr>
              <w:rFonts w:ascii="新宋体" w:eastAsia="新宋体" w:hAnsi="新宋体" w:cs="新宋体"/>
              <w:b/>
              <w:bCs/>
              <w:sz w:val="28"/>
              <w:szCs w:val="28"/>
            </w:rPr>
          </w:pPr>
          <w:r>
            <w:rPr>
              <w:rFonts w:ascii="新宋体" w:eastAsia="新宋体" w:hAnsi="新宋体" w:cs="新宋体" w:hint="eastAsia"/>
              <w:b/>
              <w:bCs/>
              <w:color w:val="auto"/>
              <w:sz w:val="28"/>
              <w:szCs w:val="28"/>
              <w:u w:val="none"/>
            </w:rPr>
            <w:t>十九、违约</w:t>
          </w:r>
          <w:r>
            <w:rPr>
              <w:rFonts w:ascii="新宋体" w:eastAsia="新宋体" w:hAnsi="新宋体" w:cs="新宋体" w:hint="eastAsia"/>
              <w:b/>
              <w:bCs/>
              <w:color w:val="auto"/>
              <w:sz w:val="28"/>
              <w:szCs w:val="28"/>
              <w:u w:val="none"/>
            </w:rPr>
            <w:tab/>
          </w:r>
          <w:r>
            <w:rPr>
              <w:rFonts w:ascii="新宋体" w:eastAsia="新宋体" w:hAnsi="新宋体" w:cs="新宋体" w:hint="eastAsia"/>
              <w:b/>
              <w:bCs/>
              <w:color w:val="auto"/>
              <w:sz w:val="28"/>
              <w:szCs w:val="28"/>
              <w:u w:val="none"/>
            </w:rPr>
            <w:fldChar w:fldCharType="begin"/>
          </w:r>
          <w:r>
            <w:rPr>
              <w:rFonts w:ascii="新宋体" w:eastAsia="新宋体" w:hAnsi="新宋体" w:cs="新宋体" w:hint="eastAsia"/>
              <w:b/>
              <w:bCs/>
              <w:color w:val="auto"/>
              <w:sz w:val="28"/>
              <w:szCs w:val="28"/>
              <w:u w:val="none"/>
            </w:rPr>
            <w:instrText xml:space="preserve"> PAGEREF _Toc30052 </w:instrText>
          </w:r>
          <w:r>
            <w:rPr>
              <w:rFonts w:ascii="新宋体" w:eastAsia="新宋体" w:hAnsi="新宋体" w:cs="新宋体" w:hint="eastAsia"/>
              <w:b/>
              <w:bCs/>
              <w:color w:val="auto"/>
              <w:sz w:val="28"/>
              <w:szCs w:val="28"/>
              <w:u w:val="none"/>
            </w:rPr>
            <w:fldChar w:fldCharType="separate"/>
          </w:r>
          <w:r>
            <w:rPr>
              <w:rFonts w:ascii="新宋体" w:eastAsia="新宋体" w:hAnsi="新宋体" w:cs="新宋体" w:hint="eastAsia"/>
              <w:b/>
              <w:bCs/>
              <w:color w:val="auto"/>
              <w:sz w:val="28"/>
              <w:szCs w:val="28"/>
              <w:u w:val="none"/>
            </w:rPr>
            <w:t>38</w:t>
          </w:r>
          <w:r>
            <w:rPr>
              <w:rFonts w:ascii="新宋体" w:eastAsia="新宋体" w:hAnsi="新宋体" w:cs="新宋体" w:hint="eastAsia"/>
              <w:b/>
              <w:bCs/>
              <w:color w:val="auto"/>
              <w:sz w:val="28"/>
              <w:szCs w:val="28"/>
              <w:u w:val="none"/>
            </w:rPr>
            <w:fldChar w:fldCharType="end"/>
          </w:r>
        </w:p>
        <w:p>
          <w:pPr>
            <w:pStyle w:val="TOC1"/>
            <w:tabs>
              <w:tab w:val="right" w:leader="dot" w:pos="9637"/>
            </w:tabs>
            <w:spacing w:line="600" w:lineRule="exact"/>
            <w:rPr>
              <w:rFonts w:ascii="新宋体" w:eastAsia="新宋体" w:hAnsi="新宋体" w:cs="新宋体"/>
              <w:b/>
              <w:bCs/>
              <w:sz w:val="28"/>
              <w:szCs w:val="28"/>
            </w:rPr>
            <w:sectPr>
              <w:headerReference w:type="default" r:id="rId9"/>
              <w:footerReference w:type="default" r:id="rId10"/>
              <w:type w:val="nextPage"/>
              <w:pgSz w:w="11906" w:h="16838"/>
              <w:pgMar w:top="1134" w:right="851" w:bottom="851" w:left="1418" w:header="851" w:footer="992" w:gutter="0"/>
              <w:pgNumType w:start="3"/>
              <w:cols w:num="1" w:space="720"/>
              <w:titlePg w:val="0"/>
              <w:docGrid w:type="lines" w:linePitch="312" w:charSpace="0"/>
            </w:sectPr>
          </w:pPr>
          <w:r>
            <w:rPr>
              <w:rFonts w:ascii="新宋体" w:eastAsia="新宋体" w:hAnsi="新宋体" w:cs="新宋体" w:hint="eastAsia"/>
              <w:b/>
              <w:bCs/>
              <w:color w:val="auto"/>
              <w:sz w:val="28"/>
              <w:szCs w:val="28"/>
              <w:u w:val="none"/>
            </w:rPr>
            <w:t>二十、附件及附表</w:t>
          </w:r>
          <w:r>
            <w:rPr>
              <w:rFonts w:ascii="新宋体" w:eastAsia="新宋体" w:hAnsi="新宋体" w:cs="新宋体" w:hint="eastAsia"/>
              <w:b/>
              <w:bCs/>
              <w:color w:val="auto"/>
              <w:sz w:val="28"/>
              <w:szCs w:val="28"/>
              <w:u w:val="none"/>
            </w:rPr>
            <w:tab/>
          </w:r>
          <w:r>
            <w:rPr>
              <w:rFonts w:ascii="新宋体" w:eastAsia="新宋体" w:hAnsi="新宋体" w:cs="新宋体" w:hint="eastAsia"/>
              <w:b/>
              <w:bCs/>
              <w:color w:val="auto"/>
              <w:sz w:val="28"/>
              <w:szCs w:val="28"/>
              <w:u w:val="none"/>
            </w:rPr>
            <w:fldChar w:fldCharType="begin"/>
          </w:r>
          <w:r>
            <w:rPr>
              <w:rFonts w:ascii="新宋体" w:eastAsia="新宋体" w:hAnsi="新宋体" w:cs="新宋体" w:hint="eastAsia"/>
              <w:b/>
              <w:bCs/>
              <w:color w:val="auto"/>
              <w:sz w:val="28"/>
              <w:szCs w:val="28"/>
              <w:u w:val="none"/>
            </w:rPr>
            <w:instrText xml:space="preserve"> PAGEREF _Toc30608 </w:instrText>
          </w:r>
          <w:r>
            <w:rPr>
              <w:rFonts w:ascii="新宋体" w:eastAsia="新宋体" w:hAnsi="新宋体" w:cs="新宋体" w:hint="eastAsia"/>
              <w:b/>
              <w:bCs/>
              <w:color w:val="auto"/>
              <w:sz w:val="28"/>
              <w:szCs w:val="28"/>
              <w:u w:val="none"/>
            </w:rPr>
            <w:fldChar w:fldCharType="separate"/>
          </w:r>
          <w:r>
            <w:rPr>
              <w:rFonts w:ascii="新宋体" w:eastAsia="新宋体" w:hAnsi="新宋体" w:cs="新宋体" w:hint="eastAsia"/>
              <w:b/>
              <w:bCs/>
              <w:color w:val="auto"/>
              <w:sz w:val="28"/>
              <w:szCs w:val="28"/>
              <w:u w:val="none"/>
            </w:rPr>
            <w:t>39</w:t>
          </w:r>
          <w:r>
            <w:rPr>
              <w:rFonts w:ascii="新宋体" w:eastAsia="新宋体" w:hAnsi="新宋体" w:cs="新宋体" w:hint="eastAsia"/>
              <w:b/>
              <w:bCs/>
              <w:color w:val="auto"/>
              <w:sz w:val="28"/>
              <w:szCs w:val="28"/>
              <w:u w:val="none"/>
            </w:rPr>
            <w:fldChar w:fldCharType="end"/>
          </w:r>
        </w:p>
      </w:sdtContent>
    </w:sdt>
    <w:sdt>
      <w:sdtPr>
        <w:rPr>
          <w:rFonts w:ascii="宋体" w:hAnsi="宋体"/>
        </w:rPr>
        <w:id w:val="1140444444"/>
        <w:docPartObj>
          <w:docPartGallery w:val="Table of Contents"/>
          <w:docPartUnique/>
        </w:docPartObj>
      </w:sdtPr>
      <w:sdtEndPr>
        <w:rPr>
          <w:rFonts w:ascii="新宋体" w:eastAsia="新宋体" w:hAnsi="新宋体" w:hint="eastAsia"/>
          <w:b/>
          <w:bCs/>
          <w:szCs w:val="44"/>
        </w:rPr>
      </w:sdtEndPr>
      <w:sdtContent>
        <w:p>
          <w:pPr>
            <w:pStyle w:val="TOC1"/>
            <w:tabs>
              <w:tab w:val="right" w:leader="dot" w:pos="9637"/>
            </w:tabs>
            <w:spacing w:line="600" w:lineRule="exact"/>
            <w:rPr>
              <w:rFonts w:ascii="新宋体" w:eastAsia="新宋体" w:hAnsi="新宋体" w:cs="新宋体"/>
              <w:b/>
              <w:bCs/>
              <w:sz w:val="28"/>
              <w:szCs w:val="28"/>
            </w:rPr>
          </w:pPr>
          <w:r>
            <w:rPr>
              <w:rFonts w:ascii="新宋体" w:eastAsia="新宋体" w:hAnsi="新宋体" w:cs="新宋体" w:hint="eastAsia"/>
              <w:b/>
              <w:bCs/>
              <w:color w:val="auto"/>
              <w:sz w:val="28"/>
              <w:szCs w:val="28"/>
              <w:u w:val="none"/>
            </w:rPr>
            <w:t>附表：</w:t>
          </w:r>
          <w:r>
            <w:rPr>
              <w:rFonts w:ascii="新宋体" w:eastAsia="新宋体" w:hAnsi="新宋体" w:cs="新宋体" w:hint="eastAsia"/>
              <w:b/>
              <w:bCs/>
              <w:color w:val="auto"/>
              <w:sz w:val="28"/>
              <w:szCs w:val="28"/>
              <w:u w:val="none"/>
            </w:rPr>
            <w:tab/>
          </w:r>
          <w:r>
            <w:rPr>
              <w:rFonts w:ascii="新宋体" w:eastAsia="新宋体" w:hAnsi="新宋体" w:cs="新宋体" w:hint="eastAsia"/>
              <w:b/>
              <w:bCs/>
              <w:color w:val="auto"/>
              <w:sz w:val="28"/>
              <w:szCs w:val="28"/>
              <w:u w:val="none"/>
            </w:rPr>
            <w:fldChar w:fldCharType="begin"/>
          </w:r>
          <w:r>
            <w:rPr>
              <w:rFonts w:ascii="新宋体" w:eastAsia="新宋体" w:hAnsi="新宋体" w:cs="新宋体" w:hint="eastAsia"/>
              <w:b/>
              <w:bCs/>
              <w:color w:val="auto"/>
              <w:sz w:val="28"/>
              <w:szCs w:val="28"/>
              <w:u w:val="none"/>
            </w:rPr>
            <w:instrText xml:space="preserve"> PAGEREF _Toc26449 </w:instrText>
          </w:r>
          <w:r>
            <w:rPr>
              <w:rFonts w:ascii="新宋体" w:eastAsia="新宋体" w:hAnsi="新宋体" w:cs="新宋体" w:hint="eastAsia"/>
              <w:b/>
              <w:bCs/>
              <w:color w:val="auto"/>
              <w:sz w:val="28"/>
              <w:szCs w:val="28"/>
              <w:u w:val="none"/>
            </w:rPr>
            <w:fldChar w:fldCharType="separate"/>
          </w:r>
          <w:r>
            <w:rPr>
              <w:rFonts w:ascii="新宋体" w:eastAsia="新宋体" w:hAnsi="新宋体" w:cs="新宋体" w:hint="eastAsia"/>
              <w:b/>
              <w:bCs/>
              <w:color w:val="auto"/>
              <w:sz w:val="28"/>
              <w:szCs w:val="28"/>
              <w:u w:val="none"/>
            </w:rPr>
            <w:t>39</w:t>
          </w:r>
          <w:r>
            <w:rPr>
              <w:rFonts w:ascii="新宋体" w:eastAsia="新宋体" w:hAnsi="新宋体" w:cs="新宋体" w:hint="eastAsia"/>
              <w:b/>
              <w:bCs/>
              <w:color w:val="auto"/>
              <w:sz w:val="28"/>
              <w:szCs w:val="28"/>
              <w:u w:val="none"/>
            </w:rPr>
            <w:fldChar w:fldCharType="end"/>
          </w:r>
        </w:p>
        <w:p>
          <w:pPr>
            <w:pStyle w:val="TOC1"/>
            <w:tabs>
              <w:tab w:val="right" w:leader="dot" w:pos="9637"/>
            </w:tabs>
            <w:spacing w:line="600" w:lineRule="exact"/>
            <w:rPr>
              <w:rFonts w:ascii="新宋体" w:eastAsia="新宋体" w:hAnsi="新宋体" w:cs="新宋体"/>
              <w:sz w:val="28"/>
              <w:szCs w:val="28"/>
            </w:rPr>
          </w:pPr>
          <w:r>
            <w:rPr>
              <w:rFonts w:ascii="新宋体" w:eastAsia="新宋体" w:hAnsi="新宋体" w:cs="新宋体" w:hint="eastAsia"/>
              <w:color w:val="auto"/>
              <w:sz w:val="28"/>
              <w:szCs w:val="28"/>
              <w:u w:val="none"/>
            </w:rPr>
            <w:t>1. 确价审批表</w:t>
          </w:r>
          <w:r>
            <w:rPr>
              <w:rFonts w:ascii="新宋体" w:eastAsia="新宋体" w:hAnsi="新宋体" w:cs="新宋体" w:hint="eastAsia"/>
              <w:color w:val="auto"/>
              <w:sz w:val="28"/>
              <w:szCs w:val="28"/>
              <w:u w:val="none"/>
            </w:rPr>
            <w:tab/>
          </w:r>
          <w:r>
            <w:rPr>
              <w:rFonts w:ascii="新宋体" w:eastAsia="新宋体" w:hAnsi="新宋体" w:cs="新宋体" w:hint="eastAsia"/>
              <w:color w:val="auto"/>
              <w:sz w:val="28"/>
              <w:szCs w:val="28"/>
              <w:u w:val="none"/>
            </w:rPr>
            <w:t>3</w:t>
          </w:r>
          <w:r>
            <w:rPr>
              <w:rFonts w:ascii="新宋体" w:eastAsia="新宋体" w:hAnsi="新宋体" w:cs="新宋体" w:hint="eastAsia"/>
              <w:bCs/>
              <w:sz w:val="28"/>
              <w:szCs w:val="28"/>
            </w:rPr>
            <w:t>9</w:t>
          </w:r>
        </w:p>
        <w:p>
          <w:pPr>
            <w:pStyle w:val="TOC1"/>
            <w:tabs>
              <w:tab w:val="right" w:leader="dot" w:pos="9637"/>
            </w:tabs>
            <w:spacing w:line="600" w:lineRule="exact"/>
            <w:rPr>
              <w:rFonts w:ascii="新宋体" w:eastAsia="新宋体" w:hAnsi="新宋体" w:cs="新宋体"/>
              <w:sz w:val="28"/>
              <w:szCs w:val="28"/>
            </w:rPr>
          </w:pPr>
          <w:r>
            <w:rPr>
              <w:rFonts w:ascii="新宋体" w:eastAsia="新宋体" w:hAnsi="新宋体" w:cs="新宋体" w:hint="eastAsia"/>
              <w:color w:val="auto"/>
              <w:sz w:val="28"/>
              <w:szCs w:val="28"/>
              <w:u w:val="none"/>
            </w:rPr>
            <w:t>2. 施工样板验收审批表</w:t>
          </w:r>
          <w:r>
            <w:rPr>
              <w:rFonts w:ascii="新宋体" w:eastAsia="新宋体" w:hAnsi="新宋体" w:cs="新宋体" w:hint="eastAsia"/>
              <w:color w:val="auto"/>
              <w:sz w:val="28"/>
              <w:szCs w:val="28"/>
              <w:u w:val="none"/>
            </w:rPr>
            <w:tab/>
          </w:r>
          <w:r>
            <w:rPr>
              <w:rFonts w:ascii="新宋体" w:eastAsia="新宋体" w:hAnsi="新宋体" w:cs="新宋体" w:hint="eastAsia"/>
              <w:color w:val="auto"/>
              <w:sz w:val="28"/>
              <w:szCs w:val="28"/>
              <w:u w:val="none"/>
            </w:rPr>
            <w:fldChar w:fldCharType="begin"/>
          </w:r>
          <w:r>
            <w:rPr>
              <w:rFonts w:ascii="新宋体" w:eastAsia="新宋体" w:hAnsi="新宋体" w:cs="新宋体" w:hint="eastAsia"/>
              <w:color w:val="auto"/>
              <w:sz w:val="28"/>
              <w:szCs w:val="28"/>
              <w:u w:val="none"/>
            </w:rPr>
            <w:instrText xml:space="preserve"> PAGEREF _Toc10347 </w:instrText>
          </w:r>
          <w:r>
            <w:rPr>
              <w:rFonts w:ascii="新宋体" w:eastAsia="新宋体" w:hAnsi="新宋体" w:cs="新宋体" w:hint="eastAsia"/>
              <w:color w:val="auto"/>
              <w:sz w:val="28"/>
              <w:szCs w:val="28"/>
              <w:u w:val="none"/>
            </w:rPr>
            <w:fldChar w:fldCharType="separate"/>
          </w:r>
          <w:r>
            <w:rPr>
              <w:rFonts w:ascii="新宋体" w:eastAsia="新宋体" w:hAnsi="新宋体" w:cs="新宋体" w:hint="eastAsia"/>
              <w:color w:val="auto"/>
              <w:sz w:val="28"/>
              <w:szCs w:val="28"/>
              <w:u w:val="none"/>
            </w:rPr>
            <w:t>39</w:t>
          </w:r>
          <w:r>
            <w:rPr>
              <w:rFonts w:ascii="新宋体" w:eastAsia="新宋体" w:hAnsi="新宋体" w:cs="新宋体" w:hint="eastAsia"/>
              <w:color w:val="auto"/>
              <w:sz w:val="28"/>
              <w:szCs w:val="28"/>
              <w:u w:val="none"/>
            </w:rPr>
            <w:fldChar w:fldCharType="end"/>
          </w:r>
        </w:p>
        <w:p>
          <w:pPr>
            <w:pStyle w:val="TOC1"/>
            <w:tabs>
              <w:tab w:val="right" w:leader="dot" w:pos="9637"/>
            </w:tabs>
            <w:spacing w:line="600" w:lineRule="exact"/>
            <w:rPr>
              <w:rFonts w:ascii="新宋体" w:eastAsia="新宋体" w:hAnsi="新宋体" w:cs="新宋体"/>
              <w:sz w:val="28"/>
              <w:szCs w:val="28"/>
            </w:rPr>
          </w:pPr>
          <w:r>
            <w:rPr>
              <w:rFonts w:ascii="新宋体" w:eastAsia="新宋体" w:hAnsi="新宋体" w:cs="新宋体" w:hint="eastAsia"/>
              <w:color w:val="auto"/>
              <w:sz w:val="28"/>
              <w:szCs w:val="28"/>
              <w:u w:val="none"/>
            </w:rPr>
            <w:t>3. 现场签证单</w:t>
          </w:r>
          <w:r>
            <w:rPr>
              <w:rFonts w:ascii="新宋体" w:eastAsia="新宋体" w:hAnsi="新宋体" w:cs="新宋体" w:hint="eastAsia"/>
              <w:color w:val="auto"/>
              <w:sz w:val="28"/>
              <w:szCs w:val="28"/>
              <w:u w:val="none"/>
            </w:rPr>
            <w:tab/>
          </w:r>
          <w:r>
            <w:rPr>
              <w:rFonts w:ascii="新宋体" w:eastAsia="新宋体" w:hAnsi="新宋体" w:cs="新宋体" w:hint="eastAsia"/>
              <w:color w:val="auto"/>
              <w:sz w:val="28"/>
              <w:szCs w:val="28"/>
              <w:u w:val="none"/>
            </w:rPr>
            <w:fldChar w:fldCharType="begin"/>
          </w:r>
          <w:r>
            <w:rPr>
              <w:rFonts w:ascii="新宋体" w:eastAsia="新宋体" w:hAnsi="新宋体" w:cs="新宋体" w:hint="eastAsia"/>
              <w:color w:val="auto"/>
              <w:sz w:val="28"/>
              <w:szCs w:val="28"/>
              <w:u w:val="none"/>
            </w:rPr>
            <w:instrText xml:space="preserve"> PAGEREF _Toc8364 </w:instrText>
          </w:r>
          <w:r>
            <w:rPr>
              <w:rFonts w:ascii="新宋体" w:eastAsia="新宋体" w:hAnsi="新宋体" w:cs="新宋体" w:hint="eastAsia"/>
              <w:color w:val="auto"/>
              <w:sz w:val="28"/>
              <w:szCs w:val="28"/>
              <w:u w:val="none"/>
            </w:rPr>
            <w:fldChar w:fldCharType="separate"/>
          </w:r>
          <w:r>
            <w:rPr>
              <w:rFonts w:ascii="新宋体" w:eastAsia="新宋体" w:hAnsi="新宋体" w:cs="新宋体" w:hint="eastAsia"/>
              <w:color w:val="auto"/>
              <w:sz w:val="28"/>
              <w:szCs w:val="28"/>
              <w:u w:val="none"/>
            </w:rPr>
            <w:t>39</w:t>
          </w:r>
          <w:r>
            <w:rPr>
              <w:rFonts w:ascii="新宋体" w:eastAsia="新宋体" w:hAnsi="新宋体" w:cs="新宋体" w:hint="eastAsia"/>
              <w:color w:val="auto"/>
              <w:sz w:val="28"/>
              <w:szCs w:val="28"/>
              <w:u w:val="none"/>
            </w:rPr>
            <w:fldChar w:fldCharType="end"/>
          </w:r>
        </w:p>
        <w:p>
          <w:pPr>
            <w:pStyle w:val="TOC1"/>
            <w:tabs>
              <w:tab w:val="right" w:leader="dot" w:pos="9637"/>
            </w:tabs>
            <w:spacing w:line="600" w:lineRule="exact"/>
            <w:rPr>
              <w:rFonts w:ascii="新宋体" w:eastAsia="新宋体" w:hAnsi="新宋体" w:cs="新宋体"/>
              <w:sz w:val="28"/>
              <w:szCs w:val="28"/>
            </w:rPr>
          </w:pPr>
          <w:r>
            <w:rPr>
              <w:rFonts w:ascii="新宋体" w:eastAsia="新宋体" w:hAnsi="新宋体" w:cs="新宋体" w:hint="eastAsia"/>
              <w:color w:val="auto"/>
              <w:sz w:val="28"/>
              <w:szCs w:val="28"/>
              <w:u w:val="none"/>
            </w:rPr>
            <w:t>4. 工程完工移交单</w:t>
          </w:r>
          <w:r>
            <w:rPr>
              <w:rFonts w:ascii="新宋体" w:eastAsia="新宋体" w:hAnsi="新宋体" w:cs="新宋体" w:hint="eastAsia"/>
              <w:color w:val="auto"/>
              <w:sz w:val="28"/>
              <w:szCs w:val="28"/>
              <w:u w:val="none"/>
            </w:rPr>
            <w:tab/>
          </w:r>
          <w:r>
            <w:rPr>
              <w:rFonts w:ascii="新宋体" w:eastAsia="新宋体" w:hAnsi="新宋体" w:cs="新宋体" w:hint="eastAsia"/>
              <w:color w:val="auto"/>
              <w:sz w:val="28"/>
              <w:szCs w:val="28"/>
              <w:u w:val="none"/>
            </w:rPr>
            <w:fldChar w:fldCharType="begin"/>
          </w:r>
          <w:r>
            <w:rPr>
              <w:rFonts w:ascii="新宋体" w:eastAsia="新宋体" w:hAnsi="新宋体" w:cs="新宋体" w:hint="eastAsia"/>
              <w:color w:val="auto"/>
              <w:sz w:val="28"/>
              <w:szCs w:val="28"/>
              <w:u w:val="none"/>
            </w:rPr>
            <w:instrText xml:space="preserve"> PAGEREF _Toc18606 </w:instrText>
          </w:r>
          <w:r>
            <w:rPr>
              <w:rFonts w:ascii="新宋体" w:eastAsia="新宋体" w:hAnsi="新宋体" w:cs="新宋体" w:hint="eastAsia"/>
              <w:color w:val="auto"/>
              <w:sz w:val="28"/>
              <w:szCs w:val="28"/>
              <w:u w:val="none"/>
            </w:rPr>
            <w:fldChar w:fldCharType="separate"/>
          </w:r>
          <w:r>
            <w:rPr>
              <w:rFonts w:ascii="新宋体" w:eastAsia="新宋体" w:hAnsi="新宋体" w:cs="新宋体" w:hint="eastAsia"/>
              <w:color w:val="auto"/>
              <w:sz w:val="28"/>
              <w:szCs w:val="28"/>
              <w:u w:val="none"/>
            </w:rPr>
            <w:t>39</w:t>
          </w:r>
          <w:r>
            <w:rPr>
              <w:rFonts w:ascii="新宋体" w:eastAsia="新宋体" w:hAnsi="新宋体" w:cs="新宋体" w:hint="eastAsia"/>
              <w:color w:val="auto"/>
              <w:sz w:val="28"/>
              <w:szCs w:val="28"/>
              <w:u w:val="none"/>
            </w:rPr>
            <w:fldChar w:fldCharType="end"/>
          </w:r>
        </w:p>
        <w:p>
          <w:pPr>
            <w:pStyle w:val="TOC1"/>
            <w:tabs>
              <w:tab w:val="right" w:leader="dot" w:pos="9637"/>
            </w:tabs>
            <w:spacing w:line="600" w:lineRule="exact"/>
            <w:rPr>
              <w:rFonts w:ascii="新宋体" w:eastAsia="新宋体" w:hAnsi="新宋体" w:cs="新宋体"/>
              <w:sz w:val="28"/>
              <w:szCs w:val="28"/>
            </w:rPr>
          </w:pPr>
          <w:r>
            <w:rPr>
              <w:rFonts w:ascii="新宋体" w:eastAsia="新宋体" w:hAnsi="新宋体" w:cs="新宋体" w:hint="eastAsia"/>
              <w:color w:val="auto"/>
              <w:sz w:val="28"/>
              <w:szCs w:val="28"/>
              <w:u w:val="none"/>
            </w:rPr>
            <w:t>5. 工程结算申请表</w:t>
          </w:r>
          <w:r>
            <w:rPr>
              <w:rFonts w:ascii="新宋体" w:eastAsia="新宋体" w:hAnsi="新宋体" w:cs="新宋体" w:hint="eastAsia"/>
              <w:color w:val="auto"/>
              <w:sz w:val="28"/>
              <w:szCs w:val="28"/>
              <w:u w:val="none"/>
            </w:rPr>
            <w:tab/>
          </w:r>
          <w:r>
            <w:rPr>
              <w:rFonts w:ascii="新宋体" w:eastAsia="新宋体" w:hAnsi="新宋体" w:cs="新宋体" w:hint="eastAsia"/>
              <w:color w:val="auto"/>
              <w:sz w:val="28"/>
              <w:szCs w:val="28"/>
              <w:u w:val="none"/>
            </w:rPr>
            <w:fldChar w:fldCharType="begin"/>
          </w:r>
          <w:r>
            <w:rPr>
              <w:rFonts w:ascii="新宋体" w:eastAsia="新宋体" w:hAnsi="新宋体" w:cs="新宋体" w:hint="eastAsia"/>
              <w:color w:val="auto"/>
              <w:sz w:val="28"/>
              <w:szCs w:val="28"/>
              <w:u w:val="none"/>
            </w:rPr>
            <w:instrText xml:space="preserve"> PAGEREF _Toc25285 </w:instrText>
          </w:r>
          <w:r>
            <w:rPr>
              <w:rFonts w:ascii="新宋体" w:eastAsia="新宋体" w:hAnsi="新宋体" w:cs="新宋体" w:hint="eastAsia"/>
              <w:color w:val="auto"/>
              <w:sz w:val="28"/>
              <w:szCs w:val="28"/>
              <w:u w:val="none"/>
            </w:rPr>
            <w:fldChar w:fldCharType="separate"/>
          </w:r>
          <w:r>
            <w:rPr>
              <w:rFonts w:ascii="新宋体" w:eastAsia="新宋体" w:hAnsi="新宋体" w:cs="新宋体" w:hint="eastAsia"/>
              <w:color w:val="auto"/>
              <w:sz w:val="28"/>
              <w:szCs w:val="28"/>
              <w:u w:val="none"/>
            </w:rPr>
            <w:t>39</w:t>
          </w:r>
          <w:r>
            <w:rPr>
              <w:rFonts w:ascii="新宋体" w:eastAsia="新宋体" w:hAnsi="新宋体" w:cs="新宋体" w:hint="eastAsia"/>
              <w:color w:val="auto"/>
              <w:sz w:val="28"/>
              <w:szCs w:val="28"/>
              <w:u w:val="none"/>
            </w:rPr>
            <w:fldChar w:fldCharType="end"/>
          </w:r>
        </w:p>
        <w:p>
          <w:pPr>
            <w:pStyle w:val="TOC1"/>
            <w:tabs>
              <w:tab w:val="right" w:leader="dot" w:pos="9637"/>
            </w:tabs>
            <w:spacing w:line="600" w:lineRule="exact"/>
            <w:rPr>
              <w:rFonts w:ascii="新宋体" w:eastAsia="新宋体" w:hAnsi="新宋体" w:cs="新宋体"/>
              <w:sz w:val="28"/>
              <w:szCs w:val="28"/>
            </w:rPr>
          </w:pPr>
          <w:r>
            <w:rPr>
              <w:rFonts w:ascii="新宋体" w:eastAsia="新宋体" w:hAnsi="新宋体" w:cs="新宋体" w:hint="eastAsia"/>
              <w:color w:val="auto"/>
              <w:sz w:val="28"/>
              <w:szCs w:val="28"/>
              <w:u w:val="none"/>
            </w:rPr>
            <w:t>6. 工程款支付申请表</w:t>
          </w:r>
          <w:r>
            <w:rPr>
              <w:rFonts w:ascii="新宋体" w:eastAsia="新宋体" w:hAnsi="新宋体" w:cs="新宋体" w:hint="eastAsia"/>
              <w:color w:val="auto"/>
              <w:sz w:val="28"/>
              <w:szCs w:val="28"/>
              <w:u w:val="none"/>
            </w:rPr>
            <w:tab/>
          </w:r>
          <w:r>
            <w:rPr>
              <w:rFonts w:ascii="新宋体" w:eastAsia="新宋体" w:hAnsi="新宋体" w:cs="新宋体" w:hint="eastAsia"/>
              <w:color w:val="auto"/>
              <w:sz w:val="28"/>
              <w:szCs w:val="28"/>
              <w:u w:val="none"/>
            </w:rPr>
            <w:fldChar w:fldCharType="begin"/>
          </w:r>
          <w:r>
            <w:rPr>
              <w:rFonts w:ascii="新宋体" w:eastAsia="新宋体" w:hAnsi="新宋体" w:cs="新宋体" w:hint="eastAsia"/>
              <w:color w:val="auto"/>
              <w:sz w:val="28"/>
              <w:szCs w:val="28"/>
              <w:u w:val="none"/>
            </w:rPr>
            <w:instrText xml:space="preserve"> PAGEREF _Toc20699 </w:instrText>
          </w:r>
          <w:r>
            <w:rPr>
              <w:rFonts w:ascii="新宋体" w:eastAsia="新宋体" w:hAnsi="新宋体" w:cs="新宋体" w:hint="eastAsia"/>
              <w:color w:val="auto"/>
              <w:sz w:val="28"/>
              <w:szCs w:val="28"/>
              <w:u w:val="none"/>
            </w:rPr>
            <w:fldChar w:fldCharType="separate"/>
          </w:r>
          <w:r>
            <w:rPr>
              <w:rFonts w:ascii="新宋体" w:eastAsia="新宋体" w:hAnsi="新宋体" w:cs="新宋体" w:hint="eastAsia"/>
              <w:color w:val="auto"/>
              <w:sz w:val="28"/>
              <w:szCs w:val="28"/>
              <w:u w:val="none"/>
            </w:rPr>
            <w:t>39</w:t>
          </w:r>
          <w:r>
            <w:rPr>
              <w:rFonts w:ascii="新宋体" w:eastAsia="新宋体" w:hAnsi="新宋体" w:cs="新宋体" w:hint="eastAsia"/>
              <w:color w:val="auto"/>
              <w:sz w:val="28"/>
              <w:szCs w:val="28"/>
              <w:u w:val="none"/>
            </w:rPr>
            <w:fldChar w:fldCharType="end"/>
          </w:r>
        </w:p>
        <w:p>
          <w:pPr>
            <w:pStyle w:val="TOC1"/>
            <w:tabs>
              <w:tab w:val="right" w:leader="dot" w:pos="9637"/>
            </w:tabs>
            <w:spacing w:line="600" w:lineRule="exact"/>
            <w:rPr>
              <w:rFonts w:ascii="新宋体" w:eastAsia="新宋体" w:hAnsi="新宋体" w:cs="新宋体"/>
              <w:sz w:val="28"/>
              <w:szCs w:val="28"/>
            </w:rPr>
          </w:pPr>
          <w:r>
            <w:rPr>
              <w:rFonts w:ascii="新宋体" w:eastAsia="新宋体" w:hAnsi="新宋体" w:cs="新宋体" w:hint="eastAsia"/>
              <w:color w:val="auto"/>
              <w:sz w:val="28"/>
              <w:szCs w:val="28"/>
              <w:u w:val="none"/>
            </w:rPr>
            <w:t>7. 工程款申报会签单</w:t>
          </w:r>
          <w:r>
            <w:rPr>
              <w:rFonts w:ascii="新宋体" w:eastAsia="新宋体" w:hAnsi="新宋体" w:cs="新宋体" w:hint="eastAsia"/>
              <w:color w:val="auto"/>
              <w:sz w:val="28"/>
              <w:szCs w:val="28"/>
              <w:u w:val="none"/>
            </w:rPr>
            <w:tab/>
          </w:r>
          <w:r>
            <w:rPr>
              <w:rFonts w:ascii="新宋体" w:eastAsia="新宋体" w:hAnsi="新宋体" w:cs="新宋体" w:hint="eastAsia"/>
              <w:color w:val="auto"/>
              <w:sz w:val="28"/>
              <w:szCs w:val="28"/>
              <w:u w:val="none"/>
            </w:rPr>
            <w:fldChar w:fldCharType="begin"/>
          </w:r>
          <w:r>
            <w:rPr>
              <w:rFonts w:ascii="新宋体" w:eastAsia="新宋体" w:hAnsi="新宋体" w:cs="新宋体" w:hint="eastAsia"/>
              <w:color w:val="auto"/>
              <w:sz w:val="28"/>
              <w:szCs w:val="28"/>
              <w:u w:val="none"/>
            </w:rPr>
            <w:instrText xml:space="preserve"> PAGEREF _Toc14717 </w:instrText>
          </w:r>
          <w:r>
            <w:rPr>
              <w:rFonts w:ascii="新宋体" w:eastAsia="新宋体" w:hAnsi="新宋体" w:cs="新宋体" w:hint="eastAsia"/>
              <w:color w:val="auto"/>
              <w:sz w:val="28"/>
              <w:szCs w:val="28"/>
              <w:u w:val="none"/>
            </w:rPr>
            <w:fldChar w:fldCharType="separate"/>
          </w:r>
          <w:r>
            <w:rPr>
              <w:rFonts w:ascii="新宋体" w:eastAsia="新宋体" w:hAnsi="新宋体" w:cs="新宋体" w:hint="eastAsia"/>
              <w:color w:val="auto"/>
              <w:sz w:val="28"/>
              <w:szCs w:val="28"/>
              <w:u w:val="none"/>
            </w:rPr>
            <w:t>39</w:t>
          </w:r>
          <w:r>
            <w:rPr>
              <w:rFonts w:ascii="新宋体" w:eastAsia="新宋体" w:hAnsi="新宋体" w:cs="新宋体" w:hint="eastAsia"/>
              <w:color w:val="auto"/>
              <w:sz w:val="28"/>
              <w:szCs w:val="28"/>
              <w:u w:val="none"/>
            </w:rPr>
            <w:fldChar w:fldCharType="end"/>
          </w:r>
        </w:p>
        <w:p>
          <w:pPr>
            <w:pStyle w:val="TOC1"/>
            <w:tabs>
              <w:tab w:val="right" w:leader="dot" w:pos="9637"/>
            </w:tabs>
            <w:spacing w:line="600" w:lineRule="exact"/>
            <w:rPr>
              <w:rFonts w:ascii="新宋体" w:eastAsia="新宋体" w:hAnsi="新宋体" w:cs="新宋体"/>
              <w:sz w:val="28"/>
              <w:szCs w:val="28"/>
            </w:rPr>
          </w:pPr>
          <w:r>
            <w:rPr>
              <w:rFonts w:ascii="新宋体" w:eastAsia="新宋体" w:hAnsi="新宋体" w:cs="新宋体" w:hint="eastAsia"/>
              <w:color w:val="auto"/>
              <w:sz w:val="28"/>
              <w:szCs w:val="28"/>
              <w:u w:val="none"/>
            </w:rPr>
            <w:t>8. 质量、安全整改回复单</w:t>
          </w:r>
          <w:r>
            <w:rPr>
              <w:rFonts w:ascii="新宋体" w:eastAsia="新宋体" w:hAnsi="新宋体" w:cs="新宋体" w:hint="eastAsia"/>
              <w:color w:val="auto"/>
              <w:sz w:val="28"/>
              <w:szCs w:val="28"/>
              <w:u w:val="none"/>
            </w:rPr>
            <w:tab/>
          </w:r>
          <w:r>
            <w:rPr>
              <w:rFonts w:ascii="新宋体" w:eastAsia="新宋体" w:hAnsi="新宋体" w:cs="新宋体" w:hint="eastAsia"/>
              <w:color w:val="auto"/>
              <w:sz w:val="28"/>
              <w:szCs w:val="28"/>
              <w:u w:val="none"/>
            </w:rPr>
            <w:fldChar w:fldCharType="begin"/>
          </w:r>
          <w:r>
            <w:rPr>
              <w:rFonts w:ascii="新宋体" w:eastAsia="新宋体" w:hAnsi="新宋体" w:cs="新宋体" w:hint="eastAsia"/>
              <w:color w:val="auto"/>
              <w:sz w:val="28"/>
              <w:szCs w:val="28"/>
              <w:u w:val="none"/>
            </w:rPr>
            <w:instrText xml:space="preserve"> PAGEREF _Toc28441 </w:instrText>
          </w:r>
          <w:r>
            <w:rPr>
              <w:rFonts w:ascii="新宋体" w:eastAsia="新宋体" w:hAnsi="新宋体" w:cs="新宋体" w:hint="eastAsia"/>
              <w:color w:val="auto"/>
              <w:sz w:val="28"/>
              <w:szCs w:val="28"/>
              <w:u w:val="none"/>
            </w:rPr>
            <w:fldChar w:fldCharType="separate"/>
          </w:r>
          <w:r>
            <w:rPr>
              <w:rFonts w:ascii="新宋体" w:eastAsia="新宋体" w:hAnsi="新宋体" w:cs="新宋体" w:hint="eastAsia"/>
              <w:color w:val="auto"/>
              <w:sz w:val="28"/>
              <w:szCs w:val="28"/>
              <w:u w:val="none"/>
            </w:rPr>
            <w:t>39</w:t>
          </w:r>
          <w:r>
            <w:rPr>
              <w:rFonts w:ascii="新宋体" w:eastAsia="新宋体" w:hAnsi="新宋体" w:cs="新宋体" w:hint="eastAsia"/>
              <w:color w:val="auto"/>
              <w:sz w:val="28"/>
              <w:szCs w:val="28"/>
              <w:u w:val="none"/>
            </w:rPr>
            <w:fldChar w:fldCharType="end"/>
          </w:r>
        </w:p>
        <w:p>
          <w:pPr>
            <w:pStyle w:val="TOC1"/>
            <w:tabs>
              <w:tab w:val="right" w:leader="dot" w:pos="9637"/>
            </w:tabs>
            <w:spacing w:line="600" w:lineRule="exact"/>
            <w:rPr>
              <w:rFonts w:ascii="新宋体" w:eastAsia="新宋体" w:hAnsi="新宋体" w:cs="新宋体"/>
              <w:sz w:val="28"/>
              <w:szCs w:val="28"/>
            </w:rPr>
          </w:pPr>
          <w:r>
            <w:rPr>
              <w:rFonts w:ascii="新宋体" w:eastAsia="新宋体" w:hAnsi="新宋体" w:cs="新宋体" w:hint="eastAsia"/>
              <w:color w:val="auto"/>
              <w:sz w:val="28"/>
              <w:szCs w:val="28"/>
              <w:u w:val="none"/>
            </w:rPr>
            <w:t>9. 周工作汇报</w:t>
          </w:r>
          <w:r>
            <w:rPr>
              <w:rFonts w:ascii="新宋体" w:eastAsia="新宋体" w:hAnsi="新宋体" w:cs="新宋体" w:hint="eastAsia"/>
              <w:color w:val="auto"/>
              <w:sz w:val="28"/>
              <w:szCs w:val="28"/>
              <w:u w:val="none"/>
            </w:rPr>
            <w:tab/>
          </w:r>
          <w:r>
            <w:rPr>
              <w:rFonts w:ascii="新宋体" w:eastAsia="新宋体" w:hAnsi="新宋体" w:cs="新宋体" w:hint="eastAsia"/>
              <w:color w:val="auto"/>
              <w:sz w:val="28"/>
              <w:szCs w:val="28"/>
              <w:u w:val="none"/>
            </w:rPr>
            <w:fldChar w:fldCharType="begin"/>
          </w:r>
          <w:r>
            <w:rPr>
              <w:rFonts w:ascii="新宋体" w:eastAsia="新宋体" w:hAnsi="新宋体" w:cs="新宋体" w:hint="eastAsia"/>
              <w:color w:val="auto"/>
              <w:sz w:val="28"/>
              <w:szCs w:val="28"/>
              <w:u w:val="none"/>
            </w:rPr>
            <w:instrText xml:space="preserve"> PAGEREF _Toc10028 </w:instrText>
          </w:r>
          <w:r>
            <w:rPr>
              <w:rFonts w:ascii="新宋体" w:eastAsia="新宋体" w:hAnsi="新宋体" w:cs="新宋体" w:hint="eastAsia"/>
              <w:color w:val="auto"/>
              <w:sz w:val="28"/>
              <w:szCs w:val="28"/>
              <w:u w:val="none"/>
            </w:rPr>
            <w:fldChar w:fldCharType="separate"/>
          </w:r>
          <w:r>
            <w:rPr>
              <w:rFonts w:ascii="新宋体" w:eastAsia="新宋体" w:hAnsi="新宋体" w:cs="新宋体" w:hint="eastAsia"/>
              <w:color w:val="auto"/>
              <w:sz w:val="28"/>
              <w:szCs w:val="28"/>
              <w:u w:val="none"/>
            </w:rPr>
            <w:t>39</w:t>
          </w:r>
          <w:r>
            <w:rPr>
              <w:rFonts w:ascii="新宋体" w:eastAsia="新宋体" w:hAnsi="新宋体" w:cs="新宋体" w:hint="eastAsia"/>
              <w:color w:val="auto"/>
              <w:sz w:val="28"/>
              <w:szCs w:val="28"/>
              <w:u w:val="none"/>
            </w:rPr>
            <w:fldChar w:fldCharType="end"/>
          </w:r>
        </w:p>
        <w:p>
          <w:pPr>
            <w:pStyle w:val="TOC1"/>
            <w:tabs>
              <w:tab w:val="right" w:leader="dot" w:pos="9637"/>
            </w:tabs>
            <w:spacing w:line="600" w:lineRule="exact"/>
            <w:rPr>
              <w:rFonts w:ascii="新宋体" w:eastAsia="新宋体" w:hAnsi="新宋体" w:cs="新宋体"/>
              <w:sz w:val="28"/>
              <w:szCs w:val="28"/>
            </w:rPr>
          </w:pPr>
          <w:r>
            <w:rPr>
              <w:rFonts w:ascii="新宋体" w:eastAsia="新宋体" w:hAnsi="新宋体" w:cs="新宋体" w:hint="eastAsia"/>
              <w:color w:val="auto"/>
              <w:sz w:val="28"/>
              <w:szCs w:val="28"/>
              <w:u w:val="none"/>
            </w:rPr>
            <w:t>10. 场地移交单</w:t>
          </w:r>
          <w:r>
            <w:rPr>
              <w:rFonts w:ascii="新宋体" w:eastAsia="新宋体" w:hAnsi="新宋体" w:cs="新宋体" w:hint="eastAsia"/>
              <w:color w:val="auto"/>
              <w:sz w:val="28"/>
              <w:szCs w:val="28"/>
              <w:u w:val="none"/>
            </w:rPr>
            <w:tab/>
          </w:r>
          <w:r>
            <w:rPr>
              <w:rFonts w:ascii="新宋体" w:eastAsia="新宋体" w:hAnsi="新宋体" w:cs="新宋体" w:hint="eastAsia"/>
              <w:color w:val="auto"/>
              <w:sz w:val="28"/>
              <w:szCs w:val="28"/>
              <w:u w:val="none"/>
            </w:rPr>
            <w:fldChar w:fldCharType="begin"/>
          </w:r>
          <w:r>
            <w:rPr>
              <w:rFonts w:ascii="新宋体" w:eastAsia="新宋体" w:hAnsi="新宋体" w:cs="新宋体" w:hint="eastAsia"/>
              <w:color w:val="auto"/>
              <w:sz w:val="28"/>
              <w:szCs w:val="28"/>
              <w:u w:val="none"/>
            </w:rPr>
            <w:instrText xml:space="preserve"> PAGEREF _Toc15854 </w:instrText>
          </w:r>
          <w:r>
            <w:rPr>
              <w:rFonts w:ascii="新宋体" w:eastAsia="新宋体" w:hAnsi="新宋体" w:cs="新宋体" w:hint="eastAsia"/>
              <w:color w:val="auto"/>
              <w:sz w:val="28"/>
              <w:szCs w:val="28"/>
              <w:u w:val="none"/>
            </w:rPr>
            <w:fldChar w:fldCharType="separate"/>
          </w:r>
          <w:r>
            <w:rPr>
              <w:rFonts w:ascii="新宋体" w:eastAsia="新宋体" w:hAnsi="新宋体" w:cs="新宋体" w:hint="eastAsia"/>
              <w:color w:val="auto"/>
              <w:sz w:val="28"/>
              <w:szCs w:val="28"/>
              <w:u w:val="none"/>
            </w:rPr>
            <w:t>39</w:t>
          </w:r>
          <w:r>
            <w:rPr>
              <w:rFonts w:ascii="新宋体" w:eastAsia="新宋体" w:hAnsi="新宋体" w:cs="新宋体" w:hint="eastAsia"/>
              <w:color w:val="auto"/>
              <w:sz w:val="28"/>
              <w:szCs w:val="28"/>
              <w:u w:val="none"/>
            </w:rPr>
            <w:fldChar w:fldCharType="end"/>
          </w:r>
        </w:p>
        <w:p>
          <w:pPr>
            <w:pStyle w:val="TOC1"/>
            <w:tabs>
              <w:tab w:val="right" w:leader="dot" w:pos="9637"/>
            </w:tabs>
            <w:spacing w:line="600" w:lineRule="exact"/>
            <w:rPr>
              <w:rFonts w:ascii="新宋体" w:eastAsia="新宋体" w:hAnsi="新宋体" w:cs="新宋体"/>
              <w:sz w:val="28"/>
              <w:szCs w:val="28"/>
            </w:rPr>
          </w:pPr>
          <w:r>
            <w:rPr>
              <w:rFonts w:ascii="新宋体" w:eastAsia="新宋体" w:hAnsi="新宋体" w:cs="新宋体" w:hint="eastAsia"/>
              <w:color w:val="auto"/>
              <w:sz w:val="28"/>
              <w:szCs w:val="28"/>
              <w:u w:val="none"/>
            </w:rPr>
            <w:t>11. 施工组织设计（方案）会审记录</w:t>
          </w:r>
          <w:r>
            <w:rPr>
              <w:rFonts w:ascii="新宋体" w:eastAsia="新宋体" w:hAnsi="新宋体" w:cs="新宋体" w:hint="eastAsia"/>
              <w:color w:val="auto"/>
              <w:sz w:val="28"/>
              <w:szCs w:val="28"/>
              <w:u w:val="none"/>
            </w:rPr>
            <w:tab/>
          </w:r>
          <w:r>
            <w:rPr>
              <w:rFonts w:ascii="新宋体" w:eastAsia="新宋体" w:hAnsi="新宋体" w:cs="新宋体" w:hint="eastAsia"/>
              <w:color w:val="auto"/>
              <w:sz w:val="28"/>
              <w:szCs w:val="28"/>
              <w:u w:val="none"/>
            </w:rPr>
            <w:fldChar w:fldCharType="begin"/>
          </w:r>
          <w:r>
            <w:rPr>
              <w:rFonts w:ascii="新宋体" w:eastAsia="新宋体" w:hAnsi="新宋体" w:cs="新宋体" w:hint="eastAsia"/>
              <w:color w:val="auto"/>
              <w:sz w:val="28"/>
              <w:szCs w:val="28"/>
              <w:u w:val="none"/>
            </w:rPr>
            <w:instrText xml:space="preserve"> PAGEREF _Toc8099 </w:instrText>
          </w:r>
          <w:r>
            <w:rPr>
              <w:rFonts w:ascii="新宋体" w:eastAsia="新宋体" w:hAnsi="新宋体" w:cs="新宋体" w:hint="eastAsia"/>
              <w:color w:val="auto"/>
              <w:sz w:val="28"/>
              <w:szCs w:val="28"/>
              <w:u w:val="none"/>
            </w:rPr>
            <w:fldChar w:fldCharType="separate"/>
          </w:r>
          <w:r>
            <w:rPr>
              <w:rFonts w:ascii="新宋体" w:eastAsia="新宋体" w:hAnsi="新宋体" w:cs="新宋体" w:hint="eastAsia"/>
              <w:color w:val="auto"/>
              <w:sz w:val="28"/>
              <w:szCs w:val="28"/>
              <w:u w:val="none"/>
            </w:rPr>
            <w:t>39</w:t>
          </w:r>
          <w:r>
            <w:rPr>
              <w:rFonts w:ascii="新宋体" w:eastAsia="新宋体" w:hAnsi="新宋体" w:cs="新宋体" w:hint="eastAsia"/>
              <w:color w:val="auto"/>
              <w:sz w:val="28"/>
              <w:szCs w:val="28"/>
              <w:u w:val="none"/>
            </w:rPr>
            <w:fldChar w:fldCharType="end"/>
          </w:r>
        </w:p>
        <w:p>
          <w:pPr>
            <w:pStyle w:val="TOC1"/>
            <w:tabs>
              <w:tab w:val="right" w:leader="dot" w:pos="9637"/>
            </w:tabs>
            <w:spacing w:line="600" w:lineRule="exact"/>
            <w:rPr>
              <w:rFonts w:ascii="新宋体" w:eastAsia="新宋体" w:hAnsi="新宋体" w:cs="新宋体"/>
              <w:sz w:val="28"/>
              <w:szCs w:val="28"/>
            </w:rPr>
          </w:pPr>
          <w:r>
            <w:rPr>
              <w:rFonts w:ascii="新宋体" w:eastAsia="新宋体" w:hAnsi="新宋体" w:cs="新宋体" w:hint="eastAsia"/>
              <w:color w:val="auto"/>
              <w:sz w:val="28"/>
              <w:szCs w:val="28"/>
              <w:u w:val="none"/>
            </w:rPr>
            <w:t>12. 工程材料进场检验记录</w:t>
          </w:r>
          <w:r>
            <w:rPr>
              <w:rFonts w:ascii="新宋体" w:eastAsia="新宋体" w:hAnsi="新宋体" w:cs="新宋体" w:hint="eastAsia"/>
              <w:color w:val="auto"/>
              <w:sz w:val="28"/>
              <w:szCs w:val="28"/>
              <w:u w:val="none"/>
            </w:rPr>
            <w:tab/>
          </w:r>
          <w:r>
            <w:rPr>
              <w:rFonts w:ascii="新宋体" w:eastAsia="新宋体" w:hAnsi="新宋体" w:cs="新宋体" w:hint="eastAsia"/>
              <w:color w:val="auto"/>
              <w:sz w:val="28"/>
              <w:szCs w:val="28"/>
              <w:u w:val="none"/>
            </w:rPr>
            <w:fldChar w:fldCharType="begin"/>
          </w:r>
          <w:r>
            <w:rPr>
              <w:rFonts w:ascii="新宋体" w:eastAsia="新宋体" w:hAnsi="新宋体" w:cs="新宋体" w:hint="eastAsia"/>
              <w:color w:val="auto"/>
              <w:sz w:val="28"/>
              <w:szCs w:val="28"/>
              <w:u w:val="none"/>
            </w:rPr>
            <w:instrText xml:space="preserve"> PAGEREF _Toc8128 </w:instrText>
          </w:r>
          <w:r>
            <w:rPr>
              <w:rFonts w:ascii="新宋体" w:eastAsia="新宋体" w:hAnsi="新宋体" w:cs="新宋体" w:hint="eastAsia"/>
              <w:color w:val="auto"/>
              <w:sz w:val="28"/>
              <w:szCs w:val="28"/>
              <w:u w:val="none"/>
            </w:rPr>
            <w:fldChar w:fldCharType="separate"/>
          </w:r>
          <w:r>
            <w:rPr>
              <w:rFonts w:ascii="新宋体" w:eastAsia="新宋体" w:hAnsi="新宋体" w:cs="新宋体" w:hint="eastAsia"/>
              <w:color w:val="auto"/>
              <w:sz w:val="28"/>
              <w:szCs w:val="28"/>
              <w:u w:val="none"/>
            </w:rPr>
            <w:t>39</w:t>
          </w:r>
          <w:r>
            <w:rPr>
              <w:rFonts w:ascii="新宋体" w:eastAsia="新宋体" w:hAnsi="新宋体" w:cs="新宋体" w:hint="eastAsia"/>
              <w:color w:val="auto"/>
              <w:sz w:val="28"/>
              <w:szCs w:val="28"/>
              <w:u w:val="none"/>
            </w:rPr>
            <w:fldChar w:fldCharType="end"/>
          </w:r>
        </w:p>
        <w:p>
          <w:pPr>
            <w:pStyle w:val="TOC1"/>
            <w:tabs>
              <w:tab w:val="right" w:leader="dot" w:pos="9637"/>
            </w:tabs>
            <w:spacing w:line="600" w:lineRule="exact"/>
            <w:rPr>
              <w:rFonts w:ascii="新宋体" w:eastAsia="新宋体" w:hAnsi="新宋体" w:cs="新宋体"/>
              <w:sz w:val="28"/>
              <w:szCs w:val="28"/>
            </w:rPr>
          </w:pPr>
          <w:r>
            <w:rPr>
              <w:rFonts w:ascii="新宋体" w:eastAsia="新宋体" w:hAnsi="新宋体" w:cs="新宋体" w:hint="eastAsia"/>
              <w:color w:val="auto"/>
              <w:sz w:val="28"/>
              <w:szCs w:val="28"/>
              <w:u w:val="none"/>
            </w:rPr>
            <w:t>13. 工程质量问题处理报告</w:t>
          </w:r>
          <w:r>
            <w:rPr>
              <w:rFonts w:ascii="新宋体" w:eastAsia="新宋体" w:hAnsi="新宋体" w:cs="新宋体" w:hint="eastAsia"/>
              <w:color w:val="auto"/>
              <w:sz w:val="28"/>
              <w:szCs w:val="28"/>
              <w:u w:val="none"/>
            </w:rPr>
            <w:tab/>
          </w:r>
          <w:r>
            <w:rPr>
              <w:rFonts w:ascii="新宋体" w:eastAsia="新宋体" w:hAnsi="新宋体" w:cs="新宋体" w:hint="eastAsia"/>
              <w:color w:val="auto"/>
              <w:sz w:val="28"/>
              <w:szCs w:val="28"/>
              <w:u w:val="none"/>
            </w:rPr>
            <w:fldChar w:fldCharType="begin"/>
          </w:r>
          <w:r>
            <w:rPr>
              <w:rFonts w:ascii="新宋体" w:eastAsia="新宋体" w:hAnsi="新宋体" w:cs="新宋体" w:hint="eastAsia"/>
              <w:color w:val="auto"/>
              <w:sz w:val="28"/>
              <w:szCs w:val="28"/>
              <w:u w:val="none"/>
            </w:rPr>
            <w:instrText xml:space="preserve"> PAGEREF _Toc10790 </w:instrText>
          </w:r>
          <w:r>
            <w:rPr>
              <w:rFonts w:ascii="新宋体" w:eastAsia="新宋体" w:hAnsi="新宋体" w:cs="新宋体" w:hint="eastAsia"/>
              <w:color w:val="auto"/>
              <w:sz w:val="28"/>
              <w:szCs w:val="28"/>
              <w:u w:val="none"/>
            </w:rPr>
            <w:fldChar w:fldCharType="separate"/>
          </w:r>
          <w:r>
            <w:rPr>
              <w:rFonts w:ascii="新宋体" w:eastAsia="新宋体" w:hAnsi="新宋体" w:cs="新宋体" w:hint="eastAsia"/>
              <w:color w:val="auto"/>
              <w:sz w:val="28"/>
              <w:szCs w:val="28"/>
              <w:u w:val="none"/>
            </w:rPr>
            <w:t>39</w:t>
          </w:r>
          <w:r>
            <w:rPr>
              <w:rFonts w:ascii="新宋体" w:eastAsia="新宋体" w:hAnsi="新宋体" w:cs="新宋体" w:hint="eastAsia"/>
              <w:color w:val="auto"/>
              <w:sz w:val="28"/>
              <w:szCs w:val="28"/>
              <w:u w:val="none"/>
            </w:rPr>
            <w:fldChar w:fldCharType="end"/>
          </w:r>
        </w:p>
        <w:p>
          <w:pPr>
            <w:pStyle w:val="TOC1"/>
            <w:tabs>
              <w:tab w:val="right" w:leader="dot" w:pos="9637"/>
            </w:tabs>
            <w:spacing w:line="600" w:lineRule="exact"/>
            <w:rPr>
              <w:rFonts w:ascii="新宋体" w:eastAsia="新宋体" w:hAnsi="新宋体" w:cs="新宋体"/>
              <w:sz w:val="28"/>
              <w:szCs w:val="28"/>
            </w:rPr>
          </w:pPr>
          <w:r>
            <w:rPr>
              <w:rFonts w:ascii="新宋体" w:eastAsia="新宋体" w:hAnsi="新宋体" w:cs="新宋体" w:hint="eastAsia"/>
              <w:color w:val="auto"/>
              <w:sz w:val="28"/>
              <w:szCs w:val="28"/>
              <w:u w:val="none"/>
            </w:rPr>
            <w:t>14. 工程进度计划审批表</w:t>
          </w:r>
          <w:r>
            <w:rPr>
              <w:rFonts w:ascii="新宋体" w:eastAsia="新宋体" w:hAnsi="新宋体" w:cs="新宋体" w:hint="eastAsia"/>
              <w:color w:val="auto"/>
              <w:sz w:val="28"/>
              <w:szCs w:val="28"/>
              <w:u w:val="none"/>
            </w:rPr>
            <w:tab/>
          </w:r>
          <w:r>
            <w:rPr>
              <w:rFonts w:ascii="新宋体" w:eastAsia="新宋体" w:hAnsi="新宋体" w:cs="新宋体" w:hint="eastAsia"/>
              <w:color w:val="auto"/>
              <w:sz w:val="28"/>
              <w:szCs w:val="28"/>
              <w:u w:val="none"/>
            </w:rPr>
            <w:fldChar w:fldCharType="begin"/>
          </w:r>
          <w:r>
            <w:rPr>
              <w:rFonts w:ascii="新宋体" w:eastAsia="新宋体" w:hAnsi="新宋体" w:cs="新宋体" w:hint="eastAsia"/>
              <w:color w:val="auto"/>
              <w:sz w:val="28"/>
              <w:szCs w:val="28"/>
              <w:u w:val="none"/>
            </w:rPr>
            <w:instrText xml:space="preserve"> PAGEREF _Toc15215 </w:instrText>
          </w:r>
          <w:r>
            <w:rPr>
              <w:rFonts w:ascii="新宋体" w:eastAsia="新宋体" w:hAnsi="新宋体" w:cs="新宋体" w:hint="eastAsia"/>
              <w:color w:val="auto"/>
              <w:sz w:val="28"/>
              <w:szCs w:val="28"/>
              <w:u w:val="none"/>
            </w:rPr>
            <w:fldChar w:fldCharType="separate"/>
          </w:r>
          <w:r>
            <w:rPr>
              <w:rFonts w:ascii="新宋体" w:eastAsia="新宋体" w:hAnsi="新宋体" w:cs="新宋体" w:hint="eastAsia"/>
              <w:color w:val="auto"/>
              <w:sz w:val="28"/>
              <w:szCs w:val="28"/>
              <w:u w:val="none"/>
            </w:rPr>
            <w:t>39</w:t>
          </w:r>
          <w:r>
            <w:rPr>
              <w:rFonts w:ascii="新宋体" w:eastAsia="新宋体" w:hAnsi="新宋体" w:cs="新宋体" w:hint="eastAsia"/>
              <w:color w:val="auto"/>
              <w:sz w:val="28"/>
              <w:szCs w:val="28"/>
              <w:u w:val="none"/>
            </w:rPr>
            <w:fldChar w:fldCharType="end"/>
          </w:r>
        </w:p>
        <w:p>
          <w:pPr>
            <w:pStyle w:val="TOC1"/>
            <w:tabs>
              <w:tab w:val="right" w:leader="dot" w:pos="9637"/>
            </w:tabs>
            <w:spacing w:line="600" w:lineRule="exact"/>
            <w:rPr>
              <w:rFonts w:ascii="新宋体" w:eastAsia="新宋体" w:hAnsi="新宋体" w:cs="新宋体"/>
              <w:sz w:val="28"/>
              <w:szCs w:val="28"/>
            </w:rPr>
          </w:pPr>
          <w:r>
            <w:rPr>
              <w:rFonts w:ascii="新宋体" w:eastAsia="新宋体" w:hAnsi="新宋体" w:cs="新宋体" w:hint="eastAsia"/>
              <w:color w:val="auto"/>
              <w:sz w:val="28"/>
              <w:szCs w:val="28"/>
              <w:u w:val="none"/>
            </w:rPr>
            <w:t>15. 设计变更核定审批表</w:t>
          </w:r>
          <w:r>
            <w:rPr>
              <w:rFonts w:ascii="新宋体" w:eastAsia="新宋体" w:hAnsi="新宋体" w:cs="新宋体" w:hint="eastAsia"/>
              <w:color w:val="auto"/>
              <w:sz w:val="28"/>
              <w:szCs w:val="28"/>
              <w:u w:val="none"/>
            </w:rPr>
            <w:tab/>
          </w:r>
          <w:r>
            <w:rPr>
              <w:rFonts w:ascii="新宋体" w:eastAsia="新宋体" w:hAnsi="新宋体" w:cs="新宋体" w:hint="eastAsia"/>
              <w:color w:val="auto"/>
              <w:sz w:val="28"/>
              <w:szCs w:val="28"/>
              <w:u w:val="none"/>
            </w:rPr>
            <w:fldChar w:fldCharType="begin"/>
          </w:r>
          <w:r>
            <w:rPr>
              <w:rFonts w:ascii="新宋体" w:eastAsia="新宋体" w:hAnsi="新宋体" w:cs="新宋体" w:hint="eastAsia"/>
              <w:color w:val="auto"/>
              <w:sz w:val="28"/>
              <w:szCs w:val="28"/>
              <w:u w:val="none"/>
            </w:rPr>
            <w:instrText xml:space="preserve"> PAGEREF _Toc17429 </w:instrText>
          </w:r>
          <w:r>
            <w:rPr>
              <w:rFonts w:ascii="新宋体" w:eastAsia="新宋体" w:hAnsi="新宋体" w:cs="新宋体" w:hint="eastAsia"/>
              <w:color w:val="auto"/>
              <w:sz w:val="28"/>
              <w:szCs w:val="28"/>
              <w:u w:val="none"/>
            </w:rPr>
            <w:fldChar w:fldCharType="separate"/>
          </w:r>
          <w:r>
            <w:rPr>
              <w:rFonts w:ascii="新宋体" w:eastAsia="新宋体" w:hAnsi="新宋体" w:cs="新宋体" w:hint="eastAsia"/>
              <w:color w:val="auto"/>
              <w:sz w:val="28"/>
              <w:szCs w:val="28"/>
              <w:u w:val="none"/>
            </w:rPr>
            <w:t>39</w:t>
          </w:r>
          <w:r>
            <w:rPr>
              <w:rFonts w:ascii="新宋体" w:eastAsia="新宋体" w:hAnsi="新宋体" w:cs="新宋体" w:hint="eastAsia"/>
              <w:color w:val="auto"/>
              <w:sz w:val="28"/>
              <w:szCs w:val="28"/>
              <w:u w:val="none"/>
            </w:rPr>
            <w:fldChar w:fldCharType="end"/>
          </w:r>
        </w:p>
        <w:p>
          <w:pPr>
            <w:pStyle w:val="TOC1"/>
            <w:tabs>
              <w:tab w:val="right" w:leader="dot" w:pos="9637"/>
            </w:tabs>
            <w:spacing w:line="600" w:lineRule="exact"/>
            <w:rPr>
              <w:rFonts w:ascii="新宋体" w:eastAsia="新宋体" w:hAnsi="新宋体" w:cs="新宋体"/>
              <w:sz w:val="28"/>
              <w:szCs w:val="28"/>
            </w:rPr>
          </w:pPr>
          <w:r>
            <w:rPr>
              <w:rFonts w:ascii="新宋体" w:eastAsia="新宋体" w:hAnsi="新宋体" w:cs="新宋体" w:hint="eastAsia"/>
              <w:color w:val="auto"/>
              <w:sz w:val="28"/>
              <w:szCs w:val="28"/>
              <w:u w:val="none"/>
            </w:rPr>
            <w:t>16. 建设工程质量（安全生产）事故报告</w:t>
          </w:r>
          <w:r>
            <w:rPr>
              <w:rFonts w:ascii="新宋体" w:eastAsia="新宋体" w:hAnsi="新宋体" w:cs="新宋体" w:hint="eastAsia"/>
              <w:color w:val="auto"/>
              <w:sz w:val="28"/>
              <w:szCs w:val="28"/>
              <w:u w:val="none"/>
            </w:rPr>
            <w:tab/>
          </w:r>
          <w:r>
            <w:rPr>
              <w:rFonts w:ascii="新宋体" w:eastAsia="新宋体" w:hAnsi="新宋体" w:cs="新宋体" w:hint="eastAsia"/>
              <w:color w:val="auto"/>
              <w:sz w:val="28"/>
              <w:szCs w:val="28"/>
              <w:u w:val="none"/>
            </w:rPr>
            <w:fldChar w:fldCharType="begin"/>
          </w:r>
          <w:r>
            <w:rPr>
              <w:rFonts w:ascii="新宋体" w:eastAsia="新宋体" w:hAnsi="新宋体" w:cs="新宋体" w:hint="eastAsia"/>
              <w:color w:val="auto"/>
              <w:sz w:val="28"/>
              <w:szCs w:val="28"/>
              <w:u w:val="none"/>
            </w:rPr>
            <w:instrText xml:space="preserve"> PAGEREF _Toc19156 </w:instrText>
          </w:r>
          <w:r>
            <w:rPr>
              <w:rFonts w:ascii="新宋体" w:eastAsia="新宋体" w:hAnsi="新宋体" w:cs="新宋体" w:hint="eastAsia"/>
              <w:color w:val="auto"/>
              <w:sz w:val="28"/>
              <w:szCs w:val="28"/>
              <w:u w:val="none"/>
            </w:rPr>
            <w:fldChar w:fldCharType="separate"/>
          </w:r>
          <w:r>
            <w:rPr>
              <w:rFonts w:ascii="新宋体" w:eastAsia="新宋体" w:hAnsi="新宋体" w:cs="新宋体" w:hint="eastAsia"/>
              <w:color w:val="auto"/>
              <w:sz w:val="28"/>
              <w:szCs w:val="28"/>
              <w:u w:val="none"/>
            </w:rPr>
            <w:t>39</w:t>
          </w:r>
          <w:r>
            <w:rPr>
              <w:rFonts w:ascii="新宋体" w:eastAsia="新宋体" w:hAnsi="新宋体" w:cs="新宋体" w:hint="eastAsia"/>
              <w:color w:val="auto"/>
              <w:sz w:val="28"/>
              <w:szCs w:val="28"/>
              <w:u w:val="none"/>
            </w:rPr>
            <w:fldChar w:fldCharType="end"/>
          </w:r>
        </w:p>
        <w:p>
          <w:pPr>
            <w:pStyle w:val="TOC1"/>
            <w:tabs>
              <w:tab w:val="right" w:leader="dot" w:pos="9637"/>
            </w:tabs>
            <w:spacing w:line="600" w:lineRule="exact"/>
            <w:rPr>
              <w:rFonts w:ascii="新宋体" w:eastAsia="新宋体" w:hAnsi="新宋体" w:cs="新宋体"/>
              <w:sz w:val="28"/>
              <w:szCs w:val="28"/>
            </w:rPr>
          </w:pPr>
          <w:r>
            <w:rPr>
              <w:rFonts w:ascii="新宋体" w:eastAsia="新宋体" w:hAnsi="新宋体" w:cs="新宋体" w:hint="eastAsia"/>
              <w:color w:val="auto"/>
              <w:sz w:val="28"/>
              <w:szCs w:val="28"/>
              <w:u w:val="none"/>
            </w:rPr>
            <w:t>17. 工程材料样品封样确认单</w:t>
          </w:r>
          <w:r>
            <w:rPr>
              <w:rFonts w:ascii="新宋体" w:eastAsia="新宋体" w:hAnsi="新宋体" w:cs="新宋体" w:hint="eastAsia"/>
              <w:color w:val="auto"/>
              <w:sz w:val="28"/>
              <w:szCs w:val="28"/>
              <w:u w:val="none"/>
            </w:rPr>
            <w:tab/>
          </w:r>
          <w:r>
            <w:rPr>
              <w:rFonts w:ascii="新宋体" w:eastAsia="新宋体" w:hAnsi="新宋体" w:cs="新宋体" w:hint="eastAsia"/>
              <w:color w:val="auto"/>
              <w:sz w:val="28"/>
              <w:szCs w:val="28"/>
              <w:u w:val="none"/>
            </w:rPr>
            <w:fldChar w:fldCharType="begin"/>
          </w:r>
          <w:r>
            <w:rPr>
              <w:rFonts w:ascii="新宋体" w:eastAsia="新宋体" w:hAnsi="新宋体" w:cs="新宋体" w:hint="eastAsia"/>
              <w:color w:val="auto"/>
              <w:sz w:val="28"/>
              <w:szCs w:val="28"/>
              <w:u w:val="none"/>
            </w:rPr>
            <w:instrText xml:space="preserve"> PAGEREF _Toc4597 </w:instrText>
          </w:r>
          <w:r>
            <w:rPr>
              <w:rFonts w:ascii="新宋体" w:eastAsia="新宋体" w:hAnsi="新宋体" w:cs="新宋体" w:hint="eastAsia"/>
              <w:color w:val="auto"/>
              <w:sz w:val="28"/>
              <w:szCs w:val="28"/>
              <w:u w:val="none"/>
            </w:rPr>
            <w:fldChar w:fldCharType="separate"/>
          </w:r>
          <w:r>
            <w:rPr>
              <w:rFonts w:ascii="新宋体" w:eastAsia="新宋体" w:hAnsi="新宋体" w:cs="新宋体" w:hint="eastAsia"/>
              <w:color w:val="auto"/>
              <w:sz w:val="28"/>
              <w:szCs w:val="28"/>
              <w:u w:val="none"/>
            </w:rPr>
            <w:t>39</w:t>
          </w:r>
          <w:r>
            <w:rPr>
              <w:rFonts w:ascii="新宋体" w:eastAsia="新宋体" w:hAnsi="新宋体" w:cs="新宋体" w:hint="eastAsia"/>
              <w:color w:val="auto"/>
              <w:sz w:val="28"/>
              <w:szCs w:val="28"/>
              <w:u w:val="none"/>
            </w:rPr>
            <w:fldChar w:fldCharType="end"/>
          </w:r>
        </w:p>
        <w:p>
          <w:pPr>
            <w:pStyle w:val="TOC1"/>
            <w:tabs>
              <w:tab w:val="right" w:leader="dot" w:pos="9637"/>
            </w:tabs>
            <w:spacing w:line="600" w:lineRule="exact"/>
            <w:rPr>
              <w:rFonts w:ascii="新宋体" w:eastAsia="新宋体" w:hAnsi="新宋体" w:cs="新宋体"/>
              <w:sz w:val="28"/>
              <w:szCs w:val="28"/>
            </w:rPr>
          </w:pPr>
          <w:r>
            <w:rPr>
              <w:rFonts w:ascii="新宋体" w:eastAsia="新宋体" w:hAnsi="新宋体" w:cs="新宋体" w:hint="eastAsia"/>
              <w:color w:val="auto"/>
              <w:sz w:val="28"/>
              <w:szCs w:val="28"/>
              <w:u w:val="none"/>
            </w:rPr>
            <w:t>18. 工程月度安全文明综合检查考核表</w:t>
          </w:r>
          <w:r>
            <w:rPr>
              <w:rFonts w:ascii="新宋体" w:eastAsia="新宋体" w:hAnsi="新宋体" w:cs="新宋体" w:hint="eastAsia"/>
              <w:color w:val="auto"/>
              <w:sz w:val="28"/>
              <w:szCs w:val="28"/>
              <w:u w:val="none"/>
            </w:rPr>
            <w:tab/>
          </w:r>
          <w:r>
            <w:rPr>
              <w:rFonts w:ascii="新宋体" w:eastAsia="新宋体" w:hAnsi="新宋体" w:cs="新宋体" w:hint="eastAsia"/>
              <w:color w:val="auto"/>
              <w:sz w:val="28"/>
              <w:szCs w:val="28"/>
              <w:u w:val="none"/>
            </w:rPr>
            <w:fldChar w:fldCharType="begin"/>
          </w:r>
          <w:r>
            <w:rPr>
              <w:rFonts w:ascii="新宋体" w:eastAsia="新宋体" w:hAnsi="新宋体" w:cs="新宋体" w:hint="eastAsia"/>
              <w:color w:val="auto"/>
              <w:sz w:val="28"/>
              <w:szCs w:val="28"/>
              <w:u w:val="none"/>
            </w:rPr>
            <w:instrText xml:space="preserve"> PAGEREF _Toc12839 </w:instrText>
          </w:r>
          <w:r>
            <w:rPr>
              <w:rFonts w:ascii="新宋体" w:eastAsia="新宋体" w:hAnsi="新宋体" w:cs="新宋体" w:hint="eastAsia"/>
              <w:color w:val="auto"/>
              <w:sz w:val="28"/>
              <w:szCs w:val="28"/>
              <w:u w:val="none"/>
            </w:rPr>
            <w:fldChar w:fldCharType="separate"/>
          </w:r>
          <w:r>
            <w:rPr>
              <w:rFonts w:ascii="新宋体" w:eastAsia="新宋体" w:hAnsi="新宋体" w:cs="新宋体" w:hint="eastAsia"/>
              <w:color w:val="auto"/>
              <w:sz w:val="28"/>
              <w:szCs w:val="28"/>
              <w:u w:val="none"/>
            </w:rPr>
            <w:t>39</w:t>
          </w:r>
          <w:r>
            <w:rPr>
              <w:rFonts w:ascii="新宋体" w:eastAsia="新宋体" w:hAnsi="新宋体" w:cs="新宋体" w:hint="eastAsia"/>
              <w:color w:val="auto"/>
              <w:sz w:val="28"/>
              <w:szCs w:val="28"/>
              <w:u w:val="none"/>
            </w:rPr>
            <w:fldChar w:fldCharType="end"/>
          </w:r>
        </w:p>
        <w:p>
          <w:pPr>
            <w:pStyle w:val="TOC1"/>
            <w:tabs>
              <w:tab w:val="right" w:leader="dot" w:pos="9637"/>
            </w:tabs>
            <w:spacing w:line="600" w:lineRule="exact"/>
            <w:rPr>
              <w:rFonts w:ascii="新宋体" w:eastAsia="新宋体" w:hAnsi="新宋体" w:cs="新宋体"/>
              <w:sz w:val="28"/>
              <w:szCs w:val="28"/>
            </w:rPr>
          </w:pPr>
          <w:r>
            <w:rPr>
              <w:rFonts w:ascii="新宋体" w:eastAsia="新宋体" w:hAnsi="新宋体" w:cs="新宋体" w:hint="eastAsia"/>
              <w:color w:val="auto"/>
              <w:sz w:val="28"/>
              <w:szCs w:val="28"/>
              <w:u w:val="none"/>
            </w:rPr>
            <w:t>19. 工程质量回访单</w:t>
          </w:r>
          <w:r>
            <w:rPr>
              <w:rFonts w:ascii="新宋体" w:eastAsia="新宋体" w:hAnsi="新宋体" w:cs="新宋体" w:hint="eastAsia"/>
              <w:color w:val="auto"/>
              <w:sz w:val="28"/>
              <w:szCs w:val="28"/>
              <w:u w:val="none"/>
            </w:rPr>
            <w:tab/>
          </w:r>
          <w:r>
            <w:rPr>
              <w:rFonts w:ascii="新宋体" w:eastAsia="新宋体" w:hAnsi="新宋体" w:cs="新宋体" w:hint="eastAsia"/>
              <w:color w:val="auto"/>
              <w:sz w:val="28"/>
              <w:szCs w:val="28"/>
              <w:u w:val="none"/>
            </w:rPr>
            <w:t>3</w:t>
          </w:r>
          <w:r>
            <w:rPr>
              <w:rFonts w:ascii="新宋体" w:eastAsia="新宋体" w:hAnsi="新宋体" w:cs="新宋体" w:hint="eastAsia"/>
              <w:bCs/>
              <w:sz w:val="28"/>
              <w:szCs w:val="28"/>
            </w:rPr>
            <w:t>9</w:t>
          </w:r>
        </w:p>
        <w:p>
          <w:pPr>
            <w:pStyle w:val="TOC1"/>
            <w:tabs>
              <w:tab w:val="right" w:leader="dot" w:pos="9637"/>
            </w:tabs>
            <w:spacing w:line="600" w:lineRule="exact"/>
            <w:rPr>
              <w:rFonts w:ascii="新宋体" w:eastAsia="新宋体" w:hAnsi="新宋体" w:cs="新宋体"/>
              <w:sz w:val="28"/>
              <w:szCs w:val="28"/>
            </w:rPr>
          </w:pPr>
          <w:r>
            <w:rPr>
              <w:rFonts w:ascii="新宋体" w:eastAsia="新宋体" w:hAnsi="新宋体" w:cs="新宋体" w:hint="eastAsia"/>
              <w:color w:val="auto"/>
              <w:sz w:val="28"/>
              <w:szCs w:val="28"/>
              <w:u w:val="none"/>
            </w:rPr>
            <w:t>20. 竣工图检查表</w:t>
          </w:r>
          <w:r>
            <w:rPr>
              <w:rFonts w:ascii="新宋体" w:eastAsia="新宋体" w:hAnsi="新宋体" w:cs="新宋体" w:hint="eastAsia"/>
              <w:color w:val="auto"/>
              <w:sz w:val="28"/>
              <w:szCs w:val="28"/>
              <w:u w:val="none"/>
            </w:rPr>
            <w:tab/>
          </w:r>
          <w:r>
            <w:rPr>
              <w:rFonts w:ascii="新宋体" w:eastAsia="新宋体" w:hAnsi="新宋体" w:cs="新宋体" w:hint="eastAsia"/>
              <w:color w:val="auto"/>
              <w:sz w:val="28"/>
              <w:szCs w:val="28"/>
              <w:u w:val="none"/>
            </w:rPr>
            <w:t>4</w:t>
          </w:r>
          <w:r>
            <w:rPr>
              <w:rFonts w:ascii="新宋体" w:eastAsia="新宋体" w:hAnsi="新宋体" w:cs="新宋体" w:hint="eastAsia"/>
              <w:bCs/>
              <w:sz w:val="28"/>
              <w:szCs w:val="28"/>
            </w:rPr>
            <w:t>0</w:t>
          </w:r>
        </w:p>
        <w:p>
          <w:pPr>
            <w:pStyle w:val="TOC1"/>
            <w:tabs>
              <w:tab w:val="right" w:leader="dot" w:pos="9637"/>
            </w:tabs>
            <w:spacing w:line="600" w:lineRule="exact"/>
            <w:rPr>
              <w:rFonts w:ascii="新宋体" w:eastAsia="新宋体" w:hAnsi="新宋体" w:cs="新宋体"/>
              <w:sz w:val="28"/>
              <w:szCs w:val="28"/>
            </w:rPr>
          </w:pPr>
          <w:r>
            <w:rPr>
              <w:rFonts w:ascii="新宋体" w:eastAsia="新宋体" w:hAnsi="新宋体" w:cs="新宋体" w:hint="eastAsia"/>
              <w:color w:val="auto"/>
              <w:sz w:val="28"/>
              <w:szCs w:val="28"/>
              <w:u w:val="none"/>
            </w:rPr>
            <w:t>21. 封样材料设备登记台账</w:t>
          </w:r>
          <w:r>
            <w:rPr>
              <w:rFonts w:ascii="新宋体" w:eastAsia="新宋体" w:hAnsi="新宋体" w:cs="新宋体" w:hint="eastAsia"/>
              <w:color w:val="auto"/>
              <w:sz w:val="28"/>
              <w:szCs w:val="28"/>
              <w:u w:val="none"/>
            </w:rPr>
            <w:tab/>
          </w:r>
          <w:r>
            <w:rPr>
              <w:rFonts w:ascii="新宋体" w:eastAsia="新宋体" w:hAnsi="新宋体" w:cs="新宋体" w:hint="eastAsia"/>
              <w:color w:val="auto"/>
              <w:sz w:val="28"/>
              <w:szCs w:val="28"/>
              <w:u w:val="none"/>
            </w:rPr>
            <w:t>4</w:t>
          </w:r>
          <w:r>
            <w:rPr>
              <w:rFonts w:ascii="新宋体" w:eastAsia="新宋体" w:hAnsi="新宋体" w:cs="新宋体" w:hint="eastAsia"/>
              <w:bCs/>
              <w:sz w:val="28"/>
              <w:szCs w:val="28"/>
            </w:rPr>
            <w:t>0</w:t>
          </w:r>
        </w:p>
        <w:p>
          <w:pPr>
            <w:pStyle w:val="TOC1"/>
            <w:tabs>
              <w:tab w:val="right" w:leader="dot" w:pos="9637"/>
            </w:tabs>
            <w:spacing w:line="600" w:lineRule="exact"/>
            <w:rPr>
              <w:rFonts w:ascii="新宋体" w:eastAsia="新宋体" w:hAnsi="新宋体" w:cs="新宋体"/>
              <w:sz w:val="28"/>
              <w:szCs w:val="28"/>
            </w:rPr>
          </w:pPr>
          <w:r>
            <w:rPr>
              <w:rFonts w:ascii="新宋体" w:eastAsia="新宋体" w:hAnsi="新宋体" w:cs="新宋体" w:hint="eastAsia"/>
              <w:color w:val="auto"/>
              <w:sz w:val="28"/>
              <w:szCs w:val="28"/>
              <w:u w:val="none"/>
            </w:rPr>
            <w:t>22. 承建商资源评价表</w:t>
          </w:r>
          <w:r>
            <w:rPr>
              <w:rFonts w:ascii="新宋体" w:eastAsia="新宋体" w:hAnsi="新宋体" w:cs="新宋体" w:hint="eastAsia"/>
              <w:color w:val="auto"/>
              <w:sz w:val="28"/>
              <w:szCs w:val="28"/>
              <w:u w:val="none"/>
            </w:rPr>
            <w:tab/>
          </w:r>
          <w:r>
            <w:rPr>
              <w:rFonts w:ascii="新宋体" w:eastAsia="新宋体" w:hAnsi="新宋体" w:cs="新宋体" w:hint="eastAsia"/>
              <w:color w:val="auto"/>
              <w:sz w:val="28"/>
              <w:szCs w:val="28"/>
              <w:u w:val="none"/>
            </w:rPr>
            <w:t>4</w:t>
          </w:r>
          <w:r>
            <w:rPr>
              <w:rFonts w:ascii="新宋体" w:eastAsia="新宋体" w:hAnsi="新宋体" w:cs="新宋体" w:hint="eastAsia"/>
              <w:bCs/>
              <w:sz w:val="28"/>
              <w:szCs w:val="28"/>
            </w:rPr>
            <w:t>0</w:t>
          </w:r>
        </w:p>
        <w:p>
          <w:pPr>
            <w:spacing w:line="600" w:lineRule="exact"/>
            <w:rPr>
              <w:rFonts w:ascii="新宋体" w:eastAsia="新宋体" w:hAnsi="新宋体"/>
              <w:b/>
              <w:bCs/>
              <w:sz w:val="44"/>
              <w:szCs w:val="44"/>
            </w:rPr>
            <w:sectPr>
              <w:headerReference w:type="default" r:id="rId11"/>
              <w:footerReference w:type="default" r:id="rId12"/>
              <w:type w:val="nextPage"/>
              <w:pgSz w:w="11906" w:h="16838"/>
              <w:pgMar w:top="1134" w:right="851" w:bottom="851" w:left="1418" w:header="851" w:footer="992" w:gutter="0"/>
              <w:pgNumType w:start="4"/>
              <w:cols w:num="1" w:space="720"/>
              <w:titlePg w:val="0"/>
              <w:docGrid w:type="lines" w:linePitch="312" w:charSpace="0"/>
            </w:sectPr>
          </w:pPr>
          <w:r>
            <w:rPr>
              <w:rFonts w:ascii="新宋体" w:eastAsia="新宋体" w:hAnsi="新宋体" w:cs="新宋体" w:hint="eastAsia"/>
              <w:bCs/>
              <w:sz w:val="28"/>
              <w:szCs w:val="28"/>
            </w:rPr>
            <w:fldChar w:fldCharType="end"/>
          </w:r>
        </w:p>
      </w:sdtContent>
    </w:sdt>
    <w:p>
      <w:pPr>
        <w:spacing w:line="360" w:lineRule="auto"/>
        <w:jc w:val="center"/>
        <w:outlineLvl w:val="0"/>
        <w:rPr>
          <w:rFonts w:ascii="新宋体" w:eastAsia="新宋体" w:hAnsi="新宋体"/>
          <w:b/>
          <w:bCs/>
          <w:sz w:val="44"/>
          <w:szCs w:val="44"/>
        </w:rPr>
      </w:pPr>
      <w:bookmarkStart w:id="3" w:name="_Toc29041"/>
      <w:r>
        <w:rPr>
          <w:rFonts w:ascii="新宋体" w:eastAsia="新宋体" w:hAnsi="新宋体" w:hint="eastAsia"/>
          <w:b/>
          <w:bCs/>
          <w:sz w:val="44"/>
          <w:szCs w:val="44"/>
        </w:rPr>
        <w:t>前  言</w:t>
      </w:r>
      <w:bookmarkEnd w:id="1"/>
      <w:bookmarkEnd w:id="2"/>
      <w:bookmarkEnd w:id="3"/>
    </w:p>
    <w:p>
      <w:pPr>
        <w:snapToGrid w:val="0"/>
        <w:spacing w:line="360" w:lineRule="auto"/>
        <w:rPr>
          <w:rFonts w:ascii="新宋体" w:eastAsia="新宋体" w:hAnsi="新宋体"/>
          <w:b/>
          <w:bCs/>
          <w:sz w:val="28"/>
          <w:szCs w:val="28"/>
        </w:rPr>
      </w:pPr>
    </w:p>
    <w:p>
      <w:pPr>
        <w:snapToGrid w:val="0"/>
        <w:spacing w:line="360" w:lineRule="auto"/>
        <w:rPr>
          <w:rFonts w:ascii="新宋体" w:eastAsia="新宋体" w:hAnsi="新宋体"/>
          <w:b/>
          <w:bCs/>
          <w:sz w:val="28"/>
          <w:szCs w:val="28"/>
        </w:rPr>
      </w:pPr>
    </w:p>
    <w:p>
      <w:pPr>
        <w:snapToGrid w:val="0"/>
        <w:spacing w:line="360" w:lineRule="auto"/>
        <w:rPr>
          <w:rFonts w:ascii="新宋体" w:eastAsia="新宋体" w:hAnsi="新宋体"/>
          <w:sz w:val="32"/>
          <w:szCs w:val="32"/>
        </w:rPr>
      </w:pPr>
      <w:r>
        <w:rPr>
          <w:rFonts w:ascii="新宋体" w:eastAsia="新宋体" w:hAnsi="新宋体" w:hint="eastAsia"/>
          <w:sz w:val="28"/>
          <w:szCs w:val="28"/>
        </w:rPr>
        <w:t xml:space="preserve">   </w:t>
      </w:r>
      <w:r>
        <w:rPr>
          <w:rFonts w:ascii="新宋体" w:eastAsia="新宋体" w:hAnsi="新宋体" w:hint="eastAsia"/>
          <w:sz w:val="32"/>
          <w:szCs w:val="32"/>
        </w:rPr>
        <w:t xml:space="preserve"> 为保证工程建设的顺利进行，加强工程施工管理，实现各施工单位对建设单位合同内承诺的工期、质量、安全、文明等各项施工现场管理目标，确保现场管理的规范化、标准化、程序化，提高工程总体管理水平，在施工过程中，施工单位除应严格按现行的施工规范施工外，还应遵循本工程管理手册开展工作。     </w:t>
      </w:r>
    </w:p>
    <w:p>
      <w:pPr>
        <w:snapToGrid w:val="0"/>
        <w:spacing w:line="360" w:lineRule="auto"/>
        <w:rPr>
          <w:rFonts w:ascii="新宋体" w:eastAsia="新宋体" w:hAnsi="新宋体"/>
          <w:sz w:val="32"/>
          <w:szCs w:val="32"/>
        </w:rPr>
      </w:pPr>
      <w:r>
        <w:rPr>
          <w:rFonts w:ascii="新宋体" w:eastAsia="新宋体" w:hAnsi="新宋体" w:hint="eastAsia"/>
          <w:sz w:val="32"/>
          <w:szCs w:val="32"/>
        </w:rPr>
        <w:t xml:space="preserve">    编制依据是：国家和山东省有关建筑施工的法规、标准、规范以及建设单位与各施工单位所签订的合同。</w:t>
      </w:r>
    </w:p>
    <w:p>
      <w:pPr>
        <w:snapToGrid w:val="0"/>
        <w:spacing w:line="360" w:lineRule="auto"/>
        <w:rPr>
          <w:rFonts w:ascii="新宋体" w:eastAsia="新宋体" w:hAnsi="新宋体"/>
          <w:sz w:val="32"/>
          <w:szCs w:val="32"/>
        </w:rPr>
      </w:pPr>
      <w:r>
        <w:rPr>
          <w:rFonts w:ascii="新宋体" w:eastAsia="新宋体" w:hAnsi="新宋体" w:hint="eastAsia"/>
          <w:sz w:val="32"/>
          <w:szCs w:val="32"/>
        </w:rPr>
        <w:t xml:space="preserve">    </w:t>
      </w:r>
      <w:r>
        <w:rPr>
          <w:rFonts w:asciiTheme="majorEastAsia" w:eastAsiaTheme="majorEastAsia" w:hAnsiTheme="majorEastAsia" w:cstheme="majorEastAsia" w:hint="eastAsia"/>
          <w:sz w:val="32"/>
          <w:szCs w:val="32"/>
        </w:rPr>
        <w:t>现场</w:t>
      </w:r>
      <w:r>
        <w:rPr>
          <w:rFonts w:ascii="黑体" w:eastAsia="黑体" w:hAnsi="新宋体" w:hint="eastAsia"/>
          <w:sz w:val="32"/>
          <w:szCs w:val="32"/>
        </w:rPr>
        <w:t xml:space="preserve">  </w:t>
      </w:r>
      <w:r>
        <w:rPr>
          <w:rFonts w:ascii="新宋体" w:eastAsia="新宋体" w:hAnsi="新宋体" w:hint="eastAsia"/>
          <w:sz w:val="32"/>
          <w:szCs w:val="32"/>
        </w:rPr>
        <w:t>是指在工程地界红线范围内进行土建、安装、装饰、管线、园林绿化、室外工程、各专业配套工程等所有施工活动的场所。</w:t>
      </w:r>
    </w:p>
    <w:p>
      <w:pPr>
        <w:snapToGrid w:val="0"/>
        <w:spacing w:line="360" w:lineRule="auto"/>
        <w:rPr>
          <w:rFonts w:ascii="新宋体" w:eastAsia="新宋体" w:hAnsi="新宋体"/>
          <w:sz w:val="32"/>
          <w:szCs w:val="32"/>
        </w:rPr>
      </w:pPr>
      <w:r>
        <w:rPr>
          <w:rFonts w:ascii="新宋体" w:eastAsia="新宋体" w:hAnsi="新宋体" w:hint="eastAsia"/>
          <w:sz w:val="32"/>
          <w:szCs w:val="32"/>
        </w:rPr>
        <w:t xml:space="preserve">    本管理手册自各施工单位与建设单位签订合同之日起开始执行，直至工程竣工备案结束并交付物业管理公司为止。本管理手册将作为施工合同的附件同样具有与合同同等的法律效力。</w:t>
      </w:r>
    </w:p>
    <w:p>
      <w:pPr>
        <w:snapToGrid w:val="0"/>
        <w:spacing w:line="360" w:lineRule="auto"/>
        <w:ind w:firstLine="555"/>
        <w:rPr>
          <w:rFonts w:ascii="新宋体" w:eastAsia="新宋体" w:hAnsi="新宋体"/>
          <w:sz w:val="32"/>
          <w:szCs w:val="32"/>
        </w:rPr>
      </w:pPr>
    </w:p>
    <w:p>
      <w:pPr>
        <w:snapToGrid w:val="0"/>
        <w:spacing w:line="360" w:lineRule="auto"/>
        <w:ind w:firstLine="555"/>
        <w:rPr>
          <w:rFonts w:ascii="新宋体" w:eastAsia="新宋体" w:hAnsi="新宋体"/>
          <w:sz w:val="28"/>
          <w:szCs w:val="28"/>
        </w:rPr>
      </w:pPr>
    </w:p>
    <w:p>
      <w:pPr>
        <w:snapToGrid w:val="0"/>
        <w:spacing w:line="360" w:lineRule="auto"/>
        <w:ind w:firstLine="555"/>
        <w:rPr>
          <w:rFonts w:ascii="新宋体" w:eastAsia="新宋体" w:hAnsi="新宋体"/>
          <w:sz w:val="28"/>
          <w:szCs w:val="28"/>
        </w:rPr>
      </w:pPr>
    </w:p>
    <w:p>
      <w:pPr>
        <w:snapToGrid w:val="0"/>
        <w:spacing w:line="360" w:lineRule="auto"/>
        <w:ind w:firstLine="555"/>
        <w:rPr>
          <w:rFonts w:ascii="新宋体" w:eastAsia="新宋体" w:hAnsi="新宋体"/>
          <w:sz w:val="28"/>
          <w:szCs w:val="28"/>
        </w:rPr>
      </w:pPr>
    </w:p>
    <w:p>
      <w:pPr>
        <w:snapToGrid w:val="0"/>
        <w:spacing w:line="360" w:lineRule="auto"/>
        <w:ind w:firstLine="555"/>
        <w:rPr>
          <w:rFonts w:ascii="新宋体" w:eastAsia="新宋体" w:hAnsi="新宋体"/>
          <w:sz w:val="28"/>
          <w:szCs w:val="28"/>
        </w:rPr>
      </w:pPr>
    </w:p>
    <w:p>
      <w:pPr>
        <w:snapToGrid w:val="0"/>
        <w:spacing w:line="360" w:lineRule="auto"/>
        <w:ind w:firstLine="555"/>
        <w:rPr>
          <w:rFonts w:ascii="新宋体" w:eastAsia="新宋体" w:hAnsi="新宋体"/>
          <w:sz w:val="28"/>
          <w:szCs w:val="28"/>
        </w:rPr>
      </w:pPr>
    </w:p>
    <w:p>
      <w:pPr>
        <w:spacing w:line="360" w:lineRule="auto"/>
        <w:rPr>
          <w:rFonts w:ascii="新宋体" w:eastAsia="新宋体" w:hAnsi="新宋体"/>
          <w:b/>
          <w:bCs/>
          <w:sz w:val="36"/>
          <w:szCs w:val="36"/>
        </w:rPr>
      </w:pPr>
    </w:p>
    <w:p>
      <w:pPr>
        <w:spacing w:line="360" w:lineRule="auto"/>
        <w:rPr>
          <w:rFonts w:ascii="新宋体" w:eastAsia="新宋体" w:hAnsi="新宋体"/>
          <w:b/>
          <w:bCs/>
          <w:sz w:val="36"/>
          <w:szCs w:val="36"/>
        </w:rPr>
      </w:pPr>
    </w:p>
    <w:p>
      <w:pPr>
        <w:spacing w:line="360" w:lineRule="auto"/>
        <w:rPr>
          <w:rFonts w:ascii="新宋体" w:eastAsia="新宋体" w:hAnsi="新宋体"/>
          <w:b/>
          <w:bCs/>
          <w:sz w:val="36"/>
          <w:szCs w:val="36"/>
        </w:rPr>
        <w:sectPr>
          <w:headerReference w:type="default" r:id="rId13"/>
          <w:footerReference w:type="default" r:id="rId14"/>
          <w:type w:val="nextPage"/>
          <w:pgSz w:w="11906" w:h="16838"/>
          <w:pgMar w:top="1134" w:right="851" w:bottom="851" w:left="1418" w:header="851" w:footer="992" w:gutter="0"/>
          <w:pgNumType w:start="5"/>
          <w:cols w:num="1" w:space="720"/>
          <w:titlePg w:val="0"/>
          <w:docGrid w:type="lines" w:linePitch="312" w:charSpace="0"/>
        </w:sectPr>
      </w:pPr>
    </w:p>
    <w:p>
      <w:pPr>
        <w:pStyle w:val="Heading3"/>
        <w:rPr>
          <w:rFonts w:ascii="新宋体" w:eastAsia="新宋体" w:hAnsi="新宋体" w:cs="新宋体"/>
          <w:bCs/>
          <w:sz w:val="36"/>
          <w:szCs w:val="36"/>
        </w:rPr>
      </w:pPr>
      <w:bookmarkStart w:id="4" w:name="_Toc28490"/>
      <w:bookmarkStart w:id="5" w:name="_Toc28277"/>
      <w:r>
        <w:rPr>
          <w:rFonts w:ascii="新宋体" w:eastAsia="新宋体" w:hAnsi="新宋体" w:cs="新宋体" w:hint="eastAsia"/>
          <w:sz w:val="36"/>
          <w:szCs w:val="36"/>
        </w:rPr>
        <w:t>一、工程管理制度</w:t>
      </w:r>
      <w:bookmarkEnd w:id="4"/>
      <w:bookmarkEnd w:id="5"/>
    </w:p>
    <w:p>
      <w:pPr>
        <w:spacing w:line="500" w:lineRule="exact"/>
        <w:rPr>
          <w:rFonts w:ascii="新宋体" w:eastAsia="新宋体" w:hAnsi="新宋体"/>
          <w:b/>
          <w:bCs/>
          <w:sz w:val="36"/>
          <w:szCs w:val="36"/>
        </w:rPr>
      </w:pPr>
    </w:p>
    <w:p>
      <w:pPr>
        <w:spacing w:line="500" w:lineRule="exact"/>
        <w:outlineLvl w:val="1"/>
        <w:rPr>
          <w:rFonts w:ascii="新宋体" w:eastAsia="新宋体" w:hAnsi="新宋体"/>
          <w:szCs w:val="21"/>
        </w:rPr>
      </w:pPr>
      <w:bookmarkStart w:id="6" w:name="_Toc2807"/>
      <w:bookmarkStart w:id="7" w:name="_Toc27538"/>
      <w:bookmarkStart w:id="8" w:name="_Toc27967"/>
      <w:r>
        <w:rPr>
          <w:rFonts w:ascii="新宋体" w:eastAsia="新宋体" w:hAnsi="新宋体" w:hint="eastAsia"/>
          <w:b/>
          <w:bCs/>
          <w:sz w:val="28"/>
          <w:szCs w:val="28"/>
        </w:rPr>
        <w:t>1、开工前准备工作制度</w:t>
      </w:r>
      <w:bookmarkEnd w:id="6"/>
      <w:bookmarkEnd w:id="7"/>
      <w:bookmarkEnd w:id="8"/>
    </w:p>
    <w:p>
      <w:pPr>
        <w:spacing w:line="500" w:lineRule="exact"/>
        <w:rPr>
          <w:rFonts w:ascii="新宋体" w:eastAsia="新宋体" w:hAnsi="新宋体"/>
          <w:szCs w:val="21"/>
          <w:u w:val="single"/>
        </w:rPr>
      </w:pPr>
      <w:r>
        <w:rPr>
          <w:rFonts w:ascii="新宋体" w:eastAsia="新宋体" w:hAnsi="新宋体" w:hint="eastAsia"/>
          <w:szCs w:val="21"/>
        </w:rPr>
        <w:t>1.1在</w:t>
      </w:r>
      <w:r>
        <w:rPr>
          <w:rFonts w:ascii="新宋体" w:eastAsia="新宋体" w:hAnsi="新宋体" w:hint="eastAsia"/>
          <w:b/>
          <w:bCs/>
          <w:color w:val="FF0000"/>
          <w:szCs w:val="21"/>
        </w:rPr>
        <w:t>正式开工后5日内</w:t>
      </w:r>
      <w:r>
        <w:rPr>
          <w:rFonts w:ascii="新宋体" w:eastAsia="新宋体" w:hAnsi="新宋体" w:hint="eastAsia"/>
          <w:szCs w:val="21"/>
        </w:rPr>
        <w:t>（开工日期以开工令为准），施工单位必须向监理及建设单位工程部</w:t>
      </w:r>
      <w:r>
        <w:rPr>
          <w:rFonts w:ascii="新宋体" w:eastAsia="新宋体" w:hAnsi="新宋体" w:hint="eastAsia"/>
          <w:b/>
          <w:bCs/>
          <w:color w:val="FF0000"/>
          <w:szCs w:val="21"/>
        </w:rPr>
        <w:t>递交本工程的管理架构表、项目管理人员名单及其专业技术职称、上岗证书复印件及联系方式，现场管理人员</w:t>
      </w:r>
      <w:r>
        <w:rPr>
          <w:rFonts w:ascii="新宋体" w:eastAsia="新宋体" w:hAnsi="新宋体" w:hint="eastAsia"/>
          <w:szCs w:val="21"/>
        </w:rPr>
        <w:t>必须与上报职称资料等对应。</w:t>
      </w:r>
    </w:p>
    <w:p>
      <w:pPr>
        <w:pStyle w:val="NormalWeb"/>
        <w:topLinePunct/>
        <w:spacing w:before="0" w:beforeAutospacing="0" w:after="0" w:afterAutospacing="0" w:line="500" w:lineRule="exact"/>
        <w:rPr>
          <w:rFonts w:ascii="新宋体" w:eastAsia="新宋体" w:hAnsi="新宋体"/>
          <w:szCs w:val="21"/>
        </w:rPr>
      </w:pPr>
      <w:r>
        <w:rPr>
          <w:rFonts w:ascii="新宋体" w:eastAsia="新宋体" w:hAnsi="新宋体" w:hint="eastAsia"/>
          <w:szCs w:val="21"/>
        </w:rPr>
        <w:t>1.2在</w:t>
      </w:r>
      <w:r>
        <w:rPr>
          <w:rFonts w:ascii="新宋体" w:eastAsia="新宋体" w:hAnsi="新宋体" w:hint="eastAsia"/>
          <w:b/>
          <w:bCs/>
          <w:color w:val="FF0000"/>
          <w:szCs w:val="21"/>
        </w:rPr>
        <w:t>正式</w:t>
      </w:r>
      <w:r>
        <w:rPr>
          <w:rFonts w:hint="eastAsia"/>
          <w:b/>
          <w:bCs/>
          <w:color w:val="FF0000"/>
        </w:rPr>
        <w:t>开工后10日内</w:t>
      </w:r>
      <w:r>
        <w:rPr>
          <w:rFonts w:ascii="新宋体" w:eastAsia="新宋体" w:hAnsi="新宋体" w:hint="eastAsia"/>
          <w:szCs w:val="21"/>
        </w:rPr>
        <w:t>，施工单位必须向建设单位、监理单位</w:t>
      </w:r>
      <w:r>
        <w:rPr>
          <w:rFonts w:ascii="新宋体" w:eastAsia="新宋体" w:hAnsi="新宋体" w:hint="eastAsia"/>
          <w:b/>
          <w:bCs/>
          <w:color w:val="FF0000"/>
          <w:szCs w:val="21"/>
        </w:rPr>
        <w:t>提交内部审核完成的施工组织设计</w:t>
      </w:r>
      <w:r>
        <w:rPr>
          <w:b/>
          <w:bCs/>
          <w:color w:val="FF0000"/>
        </w:rPr>
        <w:t>(</w:t>
      </w:r>
      <w:r>
        <w:rPr>
          <w:rFonts w:hint="eastAsia"/>
          <w:b/>
          <w:bCs/>
          <w:color w:val="FF0000"/>
        </w:rPr>
        <w:t>施工方案</w:t>
      </w:r>
      <w:r>
        <w:rPr>
          <w:b/>
          <w:bCs/>
          <w:color w:val="FF0000"/>
        </w:rPr>
        <w:t>)</w:t>
      </w:r>
      <w:r>
        <w:rPr>
          <w:rFonts w:hint="eastAsia"/>
          <w:b/>
          <w:bCs/>
          <w:color w:val="FF0000"/>
        </w:rPr>
        <w:t>和进度计划</w:t>
      </w:r>
      <w:r>
        <w:rPr>
          <w:rFonts w:hint="eastAsia"/>
          <w:b/>
          <w:bCs/>
          <w:color w:val="FF0000"/>
          <w:kern w:val="2"/>
        </w:rPr>
        <w:t>及</w:t>
      </w:r>
      <w:r>
        <w:rPr>
          <w:rFonts w:ascii="新宋体" w:eastAsia="新宋体" w:hAnsi="新宋体" w:hint="eastAsia"/>
          <w:b/>
          <w:bCs/>
          <w:color w:val="FF0000"/>
          <w:szCs w:val="21"/>
        </w:rPr>
        <w:t>主要设备、材料清单、用量及到货计划、劳动力安排。</w:t>
      </w:r>
    </w:p>
    <w:p>
      <w:pPr>
        <w:pStyle w:val="NormalWeb"/>
        <w:topLinePunct/>
        <w:spacing w:before="0" w:beforeAutospacing="0" w:after="0" w:afterAutospacing="0" w:line="500" w:lineRule="exact"/>
        <w:rPr>
          <w:b/>
          <w:bCs/>
          <w:color w:val="FF0000"/>
          <w:kern w:val="2"/>
        </w:rPr>
      </w:pPr>
      <w:r>
        <w:rPr>
          <w:rFonts w:hint="eastAsia"/>
        </w:rPr>
        <w:t>1.3在正式开工前按照建设单位要求</w:t>
      </w:r>
      <w:r>
        <w:rPr>
          <w:rFonts w:hint="eastAsia"/>
          <w:b/>
          <w:bCs/>
          <w:color w:val="FF0000"/>
        </w:rPr>
        <w:t>学习移动质检软件</w:t>
      </w:r>
      <w:r>
        <w:rPr>
          <w:rFonts w:hint="eastAsia"/>
        </w:rPr>
        <w:t>，在验收过程中严格执行软件验收操作。</w:t>
      </w:r>
      <w:r>
        <w:rPr>
          <w:rFonts w:hint="eastAsia"/>
          <w:b/>
          <w:bCs/>
          <w:color w:val="FF0000"/>
        </w:rPr>
        <w:t>固定质检人员负责软件操作验收。</w:t>
      </w:r>
    </w:p>
    <w:p>
      <w:pPr>
        <w:spacing w:line="500" w:lineRule="exact"/>
        <w:rPr>
          <w:rFonts w:ascii="新宋体" w:eastAsia="新宋体" w:hAnsi="新宋体"/>
          <w:szCs w:val="21"/>
        </w:rPr>
      </w:pPr>
      <w:r>
        <w:rPr>
          <w:rFonts w:ascii="新宋体" w:eastAsia="新宋体" w:hAnsi="新宋体" w:hint="eastAsia"/>
          <w:szCs w:val="21"/>
        </w:rPr>
        <w:t>1.4</w:t>
      </w:r>
      <w:r>
        <w:rPr>
          <w:rFonts w:ascii="新宋体" w:eastAsia="新宋体" w:hAnsi="新宋体" w:hint="eastAsia"/>
          <w:szCs w:val="21"/>
          <w:u w:val="single" w:color="FF0000"/>
        </w:rPr>
        <w:t>上述工作内容施工单位未按规定时间完成，建设单位有权暂停施工，并进行5000元 -1万元的处罚，由此所造成的一切工期损失由施工单位负责，并按合同约定追究施工单位违约金。</w:t>
      </w:r>
    </w:p>
    <w:p>
      <w:pPr>
        <w:spacing w:line="500" w:lineRule="exact"/>
        <w:outlineLvl w:val="1"/>
        <w:rPr>
          <w:rFonts w:ascii="新宋体" w:eastAsia="新宋体" w:hAnsi="新宋体"/>
          <w:b/>
          <w:bCs/>
          <w:sz w:val="28"/>
          <w:szCs w:val="28"/>
        </w:rPr>
      </w:pPr>
      <w:bookmarkStart w:id="9" w:name="_Toc16587"/>
      <w:bookmarkStart w:id="10" w:name="_Toc27249"/>
      <w:bookmarkStart w:id="11" w:name="_Toc22528"/>
      <w:r>
        <w:rPr>
          <w:rFonts w:ascii="新宋体" w:eastAsia="新宋体" w:hAnsi="新宋体" w:hint="eastAsia"/>
          <w:b/>
          <w:bCs/>
          <w:sz w:val="28"/>
          <w:szCs w:val="28"/>
        </w:rPr>
        <w:t>2、签字和收发文制度</w:t>
      </w:r>
      <w:bookmarkEnd w:id="9"/>
      <w:bookmarkEnd w:id="10"/>
      <w:bookmarkEnd w:id="11"/>
    </w:p>
    <w:p>
      <w:pPr>
        <w:spacing w:line="500" w:lineRule="exact"/>
        <w:ind w:left="21" w:leftChars="10"/>
        <w:rPr>
          <w:rFonts w:ascii="新宋体" w:eastAsia="新宋体" w:hAnsi="新宋体"/>
          <w:szCs w:val="21"/>
        </w:rPr>
      </w:pPr>
      <w:r>
        <w:rPr>
          <w:rFonts w:ascii="新宋体" w:eastAsia="新宋体" w:hAnsi="新宋体" w:hint="eastAsia"/>
          <w:szCs w:val="21"/>
        </w:rPr>
        <w:t>2.1建设单位、施工单位双方的往来信函、通知、图纸等</w:t>
      </w:r>
      <w:r>
        <w:rPr>
          <w:rFonts w:ascii="新宋体" w:eastAsia="新宋体" w:hAnsi="新宋体" w:hint="eastAsia"/>
          <w:b/>
          <w:bCs/>
          <w:color w:val="FF0000"/>
          <w:szCs w:val="21"/>
        </w:rPr>
        <w:t>文件都必须以书面通知为准</w:t>
      </w:r>
      <w:r>
        <w:rPr>
          <w:rFonts w:ascii="新宋体" w:eastAsia="新宋体" w:hAnsi="新宋体" w:hint="eastAsia"/>
          <w:szCs w:val="21"/>
        </w:rPr>
        <w:t>，并予以签收确认，紧急情况下建设单位可以</w:t>
      </w:r>
      <w:r>
        <w:rPr>
          <w:rFonts w:ascii="新宋体" w:eastAsia="新宋体" w:hAnsi="新宋体" w:hint="eastAsia"/>
          <w:b/>
          <w:bCs/>
          <w:color w:val="FF0000"/>
          <w:szCs w:val="21"/>
        </w:rPr>
        <w:t>口头通知</w:t>
      </w:r>
      <w:r>
        <w:rPr>
          <w:rFonts w:ascii="新宋体" w:eastAsia="新宋体" w:hAnsi="新宋体" w:hint="eastAsia"/>
          <w:szCs w:val="21"/>
        </w:rPr>
        <w:t>，施工单位同时付诸实施，但</w:t>
      </w:r>
      <w:r>
        <w:rPr>
          <w:rFonts w:ascii="新宋体" w:eastAsia="新宋体" w:hAnsi="新宋体" w:hint="eastAsia"/>
          <w:b/>
          <w:bCs/>
          <w:color w:val="FF0000"/>
          <w:szCs w:val="21"/>
        </w:rPr>
        <w:t>必须在口头通知后48小时内书面补发</w:t>
      </w:r>
      <w:r>
        <w:rPr>
          <w:rFonts w:ascii="新宋体" w:eastAsia="新宋体" w:hAnsi="新宋体" w:hint="eastAsia"/>
          <w:szCs w:val="21"/>
        </w:rPr>
        <w:t>。施工单位有义务督促建设单位下发书面通知，或上报工作联系函要求明确原口头通知内容。</w:t>
      </w:r>
    </w:p>
    <w:p>
      <w:pPr>
        <w:spacing w:line="500" w:lineRule="exact"/>
        <w:ind w:left="21" w:leftChars="10"/>
        <w:rPr>
          <w:rFonts w:ascii="新宋体" w:eastAsia="新宋体" w:hAnsi="新宋体"/>
          <w:szCs w:val="21"/>
        </w:rPr>
      </w:pPr>
      <w:r>
        <w:rPr>
          <w:rFonts w:ascii="新宋体" w:eastAsia="新宋体" w:hAnsi="新宋体" w:hint="eastAsia"/>
          <w:szCs w:val="21"/>
        </w:rPr>
        <w:t>2.2建设单位、施工单位双方指定专门人员负责收发文的登记、备案和分发（建设单位由工程部文员负责）。建设单位和施工单位</w:t>
      </w:r>
      <w:r>
        <w:rPr>
          <w:rFonts w:ascii="新宋体" w:eastAsia="新宋体" w:hAnsi="新宋体" w:hint="eastAsia"/>
          <w:b/>
          <w:bCs/>
          <w:color w:val="FF0000"/>
          <w:szCs w:val="21"/>
        </w:rPr>
        <w:t>各方文员不得以任何理由拒收文件</w:t>
      </w:r>
      <w:r>
        <w:rPr>
          <w:rFonts w:ascii="新宋体" w:eastAsia="新宋体" w:hAnsi="新宋体" w:hint="eastAsia"/>
          <w:szCs w:val="21"/>
        </w:rPr>
        <w:t>（文件格式等符合要求），建设单位或施工单位未将资料经过文员登记，</w:t>
      </w:r>
      <w:r>
        <w:rPr>
          <w:rFonts w:ascii="新宋体" w:eastAsia="新宋体" w:hAnsi="新宋体" w:hint="eastAsia"/>
          <w:b/>
          <w:bCs/>
          <w:color w:val="FF0000"/>
          <w:szCs w:val="21"/>
        </w:rPr>
        <w:t>直接传递给现场工程师</w:t>
      </w:r>
      <w:r>
        <w:rPr>
          <w:rFonts w:ascii="新宋体" w:eastAsia="新宋体" w:hAnsi="新宋体" w:hint="eastAsia"/>
          <w:szCs w:val="21"/>
        </w:rPr>
        <w:t>（如现场签证，不得直接交给工程师等），该</w:t>
      </w:r>
      <w:r>
        <w:rPr>
          <w:rFonts w:ascii="新宋体" w:eastAsia="新宋体" w:hAnsi="新宋体" w:hint="eastAsia"/>
          <w:b/>
          <w:bCs/>
          <w:color w:val="FF0000"/>
          <w:szCs w:val="21"/>
        </w:rPr>
        <w:t>文件视为无效</w:t>
      </w:r>
      <w:r>
        <w:rPr>
          <w:rFonts w:ascii="新宋体" w:eastAsia="新宋体" w:hAnsi="新宋体" w:hint="eastAsia"/>
          <w:szCs w:val="21"/>
        </w:rPr>
        <w:t>。</w:t>
      </w:r>
    </w:p>
    <w:p>
      <w:pPr>
        <w:spacing w:line="500" w:lineRule="exact"/>
        <w:ind w:left="21" w:leftChars="10"/>
        <w:rPr>
          <w:rFonts w:ascii="新宋体" w:eastAsia="新宋体" w:hAnsi="新宋体"/>
          <w:szCs w:val="21"/>
        </w:rPr>
      </w:pPr>
      <w:r>
        <w:rPr>
          <w:rFonts w:ascii="新宋体" w:eastAsia="新宋体" w:hAnsi="新宋体" w:hint="eastAsia"/>
          <w:szCs w:val="21"/>
        </w:rPr>
        <w:t>2.3</w:t>
      </w:r>
      <w:r>
        <w:rPr>
          <w:rFonts w:ascii="新宋体" w:eastAsia="新宋体" w:hAnsi="新宋体" w:hint="eastAsia"/>
          <w:szCs w:val="21"/>
          <w:u w:val="single" w:color="FF0000"/>
        </w:rPr>
        <w:t>对上述2条不按规定办理的，建设单位有权视情节的轻重每次处施工单位100－300元违约金索赔，对于重要文件视其情节轻重，处施工单位1000元违约金索赔。</w:t>
      </w:r>
    </w:p>
    <w:p>
      <w:pPr>
        <w:spacing w:line="500" w:lineRule="exact"/>
        <w:outlineLvl w:val="1"/>
        <w:rPr>
          <w:rFonts w:ascii="新宋体" w:eastAsia="新宋体" w:hAnsi="新宋体"/>
          <w:b/>
          <w:bCs/>
          <w:sz w:val="28"/>
          <w:szCs w:val="28"/>
        </w:rPr>
      </w:pPr>
      <w:bookmarkStart w:id="12" w:name="_Toc8528"/>
      <w:bookmarkStart w:id="13" w:name="_Toc21283"/>
      <w:r>
        <w:rPr>
          <w:rFonts w:ascii="新宋体" w:eastAsia="新宋体" w:hAnsi="新宋体" w:hint="eastAsia"/>
          <w:b/>
          <w:bCs/>
          <w:sz w:val="28"/>
          <w:szCs w:val="28"/>
        </w:rPr>
        <w:t>3、工程材料、设备封样管理办法</w:t>
      </w:r>
      <w:bookmarkEnd w:id="12"/>
      <w:bookmarkEnd w:id="13"/>
    </w:p>
    <w:p>
      <w:pPr>
        <w:spacing w:line="480" w:lineRule="exact"/>
        <w:rPr>
          <w:rFonts w:ascii="新宋体" w:eastAsia="新宋体" w:hAnsi="新宋体" w:cs="新宋体"/>
          <w:bCs/>
          <w:color w:val="323232"/>
          <w:spacing w:val="13"/>
          <w:szCs w:val="21"/>
          <w:shd w:val="clear" w:color="auto" w:fill="FFFFFF"/>
        </w:rPr>
      </w:pPr>
      <w:r>
        <w:rPr>
          <w:rFonts w:ascii="新宋体" w:eastAsia="新宋体" w:hAnsi="新宋体" w:cs="新宋体" w:hint="eastAsia"/>
          <w:bCs/>
          <w:color w:val="323232"/>
          <w:spacing w:val="13"/>
          <w:szCs w:val="21"/>
          <w:shd w:val="clear" w:color="auto" w:fill="FFFFFF"/>
        </w:rPr>
        <w:t>3.1总则</w:t>
      </w:r>
    </w:p>
    <w:p>
      <w:pPr>
        <w:widowControl/>
        <w:spacing w:line="480" w:lineRule="exact"/>
        <w:rPr>
          <w:rFonts w:ascii="新宋体" w:eastAsia="新宋体" w:hAnsi="新宋体" w:cs="新宋体"/>
          <w:color w:val="000000"/>
          <w:spacing w:val="-4"/>
          <w:szCs w:val="21"/>
          <w:shd w:val="clear" w:color="auto" w:fill="FFFFFF"/>
        </w:rPr>
        <w:sectPr>
          <w:headerReference w:type="default" r:id="rId15"/>
          <w:footerReference w:type="default" r:id="rId16"/>
          <w:type w:val="nextPage"/>
          <w:pgSz w:w="11906" w:h="16838"/>
          <w:pgMar w:top="1134" w:right="851" w:bottom="851" w:left="1418" w:header="851" w:footer="992" w:gutter="0"/>
          <w:pgNumType w:start="6"/>
          <w:cols w:num="1" w:space="720"/>
          <w:titlePg w:val="0"/>
          <w:docGrid w:type="lines" w:linePitch="312" w:charSpace="0"/>
        </w:sectPr>
      </w:pPr>
      <w:r>
        <w:rPr>
          <w:rFonts w:ascii="新宋体" w:eastAsia="新宋体" w:hAnsi="新宋体" w:cs="新宋体" w:hint="eastAsia"/>
          <w:bCs/>
          <w:color w:val="323232"/>
          <w:spacing w:val="13"/>
          <w:szCs w:val="21"/>
          <w:shd w:val="clear" w:color="auto" w:fill="FFFFFF"/>
        </w:rPr>
        <w:t>3.1.1</w:t>
      </w:r>
      <w:r>
        <w:rPr>
          <w:rFonts w:ascii="新宋体" w:eastAsia="新宋体" w:hAnsi="新宋体" w:cs="新宋体" w:hint="eastAsia"/>
          <w:color w:val="000000"/>
          <w:spacing w:val="-4"/>
          <w:szCs w:val="21"/>
          <w:shd w:val="clear" w:color="auto" w:fill="FFFFFF"/>
        </w:rPr>
        <w:t>为了保证工程采购和使用材料的性能、</w:t>
      </w:r>
      <w:r>
        <w:rPr>
          <w:rFonts w:ascii="新宋体" w:eastAsia="新宋体" w:hAnsi="新宋体" w:cs="新宋体" w:hint="eastAsia"/>
          <w:color w:val="000000"/>
          <w:spacing w:val="-5"/>
          <w:szCs w:val="21"/>
          <w:shd w:val="clear" w:color="auto" w:fill="FFFFFF"/>
        </w:rPr>
        <w:t>技术标准和产品质量</w:t>
      </w:r>
      <w:r>
        <w:rPr>
          <w:rFonts w:ascii="新宋体" w:eastAsia="新宋体" w:hAnsi="新宋体" w:cs="新宋体" w:hint="eastAsia"/>
          <w:color w:val="000000"/>
          <w:spacing w:val="-4"/>
          <w:szCs w:val="21"/>
          <w:shd w:val="clear" w:color="auto" w:fill="FFFFFF"/>
        </w:rPr>
        <w:t>等各方面符合设计标准和合同要求，</w:t>
      </w:r>
      <w:r>
        <w:rPr>
          <w:rFonts w:ascii="新宋体" w:eastAsia="新宋体" w:hAnsi="新宋体" w:cs="新宋体" w:hint="eastAsia"/>
          <w:color w:val="000000"/>
          <w:spacing w:val="-3"/>
          <w:szCs w:val="21"/>
          <w:shd w:val="clear" w:color="auto" w:fill="FFFFFF"/>
        </w:rPr>
        <w:t>坚持施工质量从源头控制，</w:t>
      </w:r>
      <w:r>
        <w:rPr>
          <w:rFonts w:ascii="新宋体" w:eastAsia="新宋体" w:hAnsi="新宋体" w:cs="新宋体" w:hint="eastAsia"/>
          <w:color w:val="000000"/>
          <w:spacing w:val="-5"/>
          <w:szCs w:val="21"/>
          <w:shd w:val="clear" w:color="auto" w:fill="FFFFFF"/>
        </w:rPr>
        <w:t>严格控制供应的建筑材料、设备和封样产</w:t>
      </w:r>
      <w:r>
        <w:rPr>
          <w:rFonts w:ascii="新宋体" w:eastAsia="新宋体" w:hAnsi="新宋体" w:cs="新宋体" w:hint="eastAsia"/>
          <w:color w:val="000000"/>
          <w:spacing w:val="-23"/>
          <w:szCs w:val="21"/>
          <w:shd w:val="clear" w:color="auto" w:fill="FFFFFF"/>
        </w:rPr>
        <w:t>品一致，杜绝假冒伪劣、低品质等建筑材料、设备等进入施工现场，保证某某</w:t>
      </w:r>
      <w:r>
        <w:rPr>
          <w:rFonts w:ascii="新宋体" w:eastAsia="新宋体" w:hAnsi="新宋体" w:cs="新宋体" w:hint="eastAsia"/>
          <w:color w:val="000000"/>
          <w:spacing w:val="-5"/>
          <w:szCs w:val="21"/>
          <w:shd w:val="clear" w:color="auto" w:fill="FFFFFF"/>
        </w:rPr>
        <w:t>工程的建设质量，确保施工材料性能、外观及实体施工质量，</w:t>
      </w:r>
      <w:r>
        <w:rPr>
          <w:rFonts w:ascii="新宋体" w:eastAsia="新宋体" w:hAnsi="新宋体" w:cs="新宋体" w:hint="eastAsia"/>
          <w:color w:val="000000"/>
          <w:spacing w:val="-4"/>
          <w:szCs w:val="21"/>
          <w:shd w:val="clear" w:color="auto" w:fill="FFFFFF"/>
        </w:rPr>
        <w:t>特制定建筑材料、设备封样管理办法。</w:t>
      </w:r>
    </w:p>
    <w:p>
      <w:pPr>
        <w:widowControl/>
        <w:spacing w:line="480" w:lineRule="exact"/>
        <w:rPr>
          <w:rFonts w:ascii="新宋体" w:eastAsia="新宋体" w:hAnsi="新宋体" w:cs="新宋体"/>
          <w:color w:val="000000"/>
          <w:spacing w:val="-4"/>
          <w:szCs w:val="21"/>
          <w:shd w:val="clear" w:color="auto" w:fill="FFFFFF"/>
        </w:rPr>
      </w:pPr>
      <w:r>
        <w:rPr>
          <w:rFonts w:ascii="新宋体" w:eastAsia="新宋体" w:hAnsi="新宋体" w:cs="新宋体" w:hint="eastAsia"/>
          <w:color w:val="000000"/>
          <w:spacing w:val="-4"/>
          <w:szCs w:val="21"/>
          <w:shd w:val="clear" w:color="auto" w:fill="FFFFFF"/>
        </w:rPr>
        <w:t>3.1.2</w:t>
      </w:r>
      <w:r>
        <w:rPr>
          <w:rFonts w:ascii="新宋体" w:eastAsia="新宋体" w:hAnsi="新宋体" w:cs="新宋体" w:hint="eastAsia"/>
          <w:color w:val="000000"/>
          <w:spacing w:val="4"/>
          <w:szCs w:val="21"/>
          <w:shd w:val="clear" w:color="auto" w:fill="FFFFFF"/>
        </w:rPr>
        <w:t>本办法适用于甲供、甲定乙供材料、设备和其它需要确认的工程材料、设备的封</w:t>
      </w:r>
      <w:r>
        <w:rPr>
          <w:rFonts w:ascii="新宋体" w:eastAsia="新宋体" w:hAnsi="新宋体" w:cs="新宋体" w:hint="eastAsia"/>
          <w:color w:val="000000"/>
          <w:szCs w:val="21"/>
          <w:shd w:val="clear" w:color="auto" w:fill="FFFFFF"/>
        </w:rPr>
        <w:t>样管理，项目部负责在</w:t>
      </w:r>
      <w:r>
        <w:rPr>
          <w:rFonts w:ascii="新宋体" w:eastAsia="新宋体" w:hAnsi="新宋体" w:cs="新宋体" w:hint="eastAsia"/>
          <w:b/>
          <w:bCs/>
          <w:color w:val="FF0000"/>
          <w:szCs w:val="21"/>
          <w:shd w:val="clear" w:color="auto" w:fill="FFFFFF"/>
        </w:rPr>
        <w:t>项目开工前编制完整的封样材料清单</w:t>
      </w:r>
      <w:r>
        <w:rPr>
          <w:rFonts w:ascii="新宋体" w:eastAsia="新宋体" w:hAnsi="新宋体" w:cs="新宋体" w:hint="eastAsia"/>
          <w:color w:val="000000"/>
          <w:szCs w:val="21"/>
          <w:shd w:val="clear" w:color="auto" w:fill="FFFFFF"/>
        </w:rPr>
        <w:t>。</w:t>
      </w:r>
    </w:p>
    <w:p>
      <w:pPr>
        <w:widowControl/>
        <w:spacing w:line="480" w:lineRule="exact"/>
        <w:rPr>
          <w:rFonts w:ascii="新宋体" w:eastAsia="新宋体" w:hAnsi="新宋体" w:cs="新宋体"/>
          <w:color w:val="000000"/>
          <w:spacing w:val="-4"/>
          <w:szCs w:val="21"/>
          <w:shd w:val="clear" w:color="auto" w:fill="FFFFFF"/>
        </w:rPr>
      </w:pPr>
      <w:r>
        <w:rPr>
          <w:rFonts w:ascii="新宋体" w:eastAsia="新宋体" w:hAnsi="新宋体" w:cs="新宋体" w:hint="eastAsia"/>
          <w:color w:val="000000"/>
          <w:szCs w:val="21"/>
          <w:shd w:val="clear" w:color="auto" w:fill="FFFFFF"/>
        </w:rPr>
        <w:t>3.1.3</w:t>
      </w:r>
      <w:r>
        <w:rPr>
          <w:rFonts w:ascii="新宋体" w:eastAsia="新宋体" w:hAnsi="新宋体" w:cs="新宋体" w:hint="eastAsia"/>
          <w:color w:val="000000"/>
          <w:spacing w:val="4"/>
          <w:szCs w:val="21"/>
          <w:shd w:val="clear" w:color="auto" w:fill="FFFFFF"/>
        </w:rPr>
        <w:t>材料、设备封样应确保样品实物和配件以及相应的技术资料、检测</w:t>
      </w:r>
      <w:r>
        <w:rPr>
          <w:rFonts w:ascii="新宋体" w:eastAsia="新宋体" w:hAnsi="新宋体" w:cs="新宋体" w:hint="eastAsia"/>
          <w:color w:val="000000"/>
          <w:szCs w:val="21"/>
          <w:shd w:val="clear" w:color="auto" w:fill="FFFFFF"/>
        </w:rPr>
        <w:t>报告、</w:t>
      </w:r>
      <w:r>
        <w:rPr>
          <w:rFonts w:ascii="新宋体" w:eastAsia="新宋体" w:hAnsi="新宋体" w:cs="新宋体" w:hint="eastAsia"/>
          <w:color w:val="000000"/>
          <w:spacing w:val="-4"/>
          <w:szCs w:val="21"/>
          <w:shd w:val="clear" w:color="auto" w:fill="FFFFFF"/>
        </w:rPr>
        <w:t>合格证书、</w:t>
      </w:r>
      <w:r>
        <w:rPr>
          <w:rFonts w:ascii="新宋体" w:eastAsia="新宋体" w:hAnsi="新宋体" w:cs="新宋体" w:hint="eastAsia"/>
          <w:color w:val="000000"/>
          <w:spacing w:val="-7"/>
          <w:szCs w:val="21"/>
          <w:shd w:val="clear" w:color="auto" w:fill="FFFFFF"/>
        </w:rPr>
        <w:t>厂家资质、</w:t>
      </w:r>
      <w:r>
        <w:rPr>
          <w:rFonts w:ascii="新宋体" w:eastAsia="新宋体" w:hAnsi="新宋体" w:cs="新宋体" w:hint="eastAsia"/>
          <w:color w:val="000000"/>
          <w:spacing w:val="-5"/>
          <w:szCs w:val="21"/>
          <w:shd w:val="clear" w:color="auto" w:fill="FFFFFF"/>
        </w:rPr>
        <w:t>服务承诺、</w:t>
      </w:r>
      <w:r>
        <w:rPr>
          <w:rFonts w:ascii="新宋体" w:eastAsia="新宋体" w:hAnsi="新宋体" w:cs="新宋体" w:hint="eastAsia"/>
          <w:color w:val="000000"/>
          <w:spacing w:val="-4"/>
          <w:szCs w:val="21"/>
          <w:shd w:val="clear" w:color="auto" w:fill="FFFFFF"/>
        </w:rPr>
        <w:t>标识质量等与设计标准和合同要求一致。</w:t>
      </w:r>
    </w:p>
    <w:p>
      <w:pPr>
        <w:widowControl/>
        <w:spacing w:line="480" w:lineRule="exact"/>
        <w:rPr>
          <w:rFonts w:ascii="新宋体" w:eastAsia="新宋体" w:hAnsi="新宋体" w:cs="新宋体"/>
          <w:color w:val="000000"/>
          <w:spacing w:val="-4"/>
          <w:szCs w:val="21"/>
          <w:shd w:val="clear" w:color="auto" w:fill="FFFFFF"/>
        </w:rPr>
      </w:pPr>
      <w:r>
        <w:rPr>
          <w:rFonts w:ascii="新宋体" w:eastAsia="新宋体" w:hAnsi="新宋体" w:cs="新宋体" w:hint="eastAsia"/>
          <w:color w:val="000000"/>
          <w:spacing w:val="-4"/>
          <w:szCs w:val="21"/>
          <w:shd w:val="clear" w:color="auto" w:fill="FFFFFF"/>
        </w:rPr>
        <w:t>3.2内容</w:t>
      </w:r>
    </w:p>
    <w:p>
      <w:pPr>
        <w:widowControl/>
        <w:spacing w:line="480" w:lineRule="exact"/>
        <w:rPr>
          <w:rFonts w:ascii="新宋体" w:eastAsia="新宋体" w:hAnsi="新宋体" w:cs="新宋体"/>
          <w:color w:val="000000"/>
          <w:spacing w:val="-4"/>
          <w:szCs w:val="21"/>
          <w:shd w:val="clear" w:color="auto" w:fill="FFFFFF"/>
        </w:rPr>
      </w:pPr>
      <w:r>
        <w:rPr>
          <w:rFonts w:ascii="新宋体" w:eastAsia="新宋体" w:hAnsi="新宋体" w:cs="新宋体" w:hint="eastAsia"/>
          <w:color w:val="000000"/>
          <w:spacing w:val="-4"/>
          <w:szCs w:val="21"/>
          <w:shd w:val="clear" w:color="auto" w:fill="FFFFFF"/>
        </w:rPr>
        <w:t>3.2.1封样流程</w:t>
      </w:r>
    </w:p>
    <w:p>
      <w:pPr>
        <w:widowControl/>
        <w:spacing w:line="480" w:lineRule="exact"/>
        <w:rPr>
          <w:rFonts w:ascii="新宋体" w:eastAsia="新宋体" w:hAnsi="新宋体" w:cs="新宋体"/>
          <w:color w:val="000000"/>
          <w:spacing w:val="-5"/>
          <w:szCs w:val="21"/>
          <w:shd w:val="clear" w:color="auto" w:fill="FFFFFF"/>
        </w:rPr>
      </w:pPr>
      <w:r>
        <w:rPr>
          <w:rFonts w:ascii="新宋体" w:eastAsia="新宋体" w:hAnsi="新宋体" w:cs="新宋体" w:hint="eastAsia"/>
          <w:color w:val="000000"/>
          <w:spacing w:val="-5"/>
          <w:szCs w:val="21"/>
          <w:shd w:val="clear" w:color="auto" w:fill="FFFFFF"/>
        </w:rPr>
        <w:t>①承包商提供样品。</w:t>
      </w:r>
    </w:p>
    <w:p>
      <w:pPr>
        <w:widowControl/>
        <w:spacing w:line="480" w:lineRule="exact"/>
        <w:rPr>
          <w:rFonts w:ascii="新宋体" w:eastAsia="新宋体" w:hAnsi="新宋体" w:cs="新宋体"/>
          <w:color w:val="000000"/>
          <w:spacing w:val="-5"/>
          <w:szCs w:val="21"/>
          <w:shd w:val="clear" w:color="auto" w:fill="FFFFFF"/>
        </w:rPr>
      </w:pPr>
      <w:r>
        <w:rPr>
          <w:rFonts w:ascii="新宋体" w:eastAsia="新宋体" w:hAnsi="新宋体" w:cs="新宋体" w:hint="eastAsia"/>
          <w:color w:val="000000"/>
          <w:spacing w:val="-3"/>
          <w:szCs w:val="21"/>
          <w:shd w:val="clear" w:color="auto" w:fill="FFFFFF"/>
        </w:rPr>
        <w:t>②建设单位</w:t>
      </w:r>
      <w:r>
        <w:rPr>
          <w:rFonts w:ascii="新宋体" w:eastAsia="新宋体" w:hAnsi="新宋体" w:cs="新宋体" w:hint="eastAsia"/>
          <w:color w:val="000000"/>
          <w:szCs w:val="21"/>
          <w:shd w:val="clear" w:color="auto" w:fill="FFFFFF"/>
        </w:rPr>
        <w:t>/</w:t>
      </w:r>
      <w:r>
        <w:rPr>
          <w:rFonts w:ascii="新宋体" w:eastAsia="新宋体" w:hAnsi="新宋体" w:cs="新宋体" w:hint="eastAsia"/>
          <w:color w:val="000000"/>
          <w:spacing w:val="-5"/>
          <w:szCs w:val="21"/>
          <w:shd w:val="clear" w:color="auto" w:fill="FFFFFF"/>
        </w:rPr>
        <w:t>监理单位根据设计标准和合同要求对样品提出审核意见。</w:t>
      </w:r>
    </w:p>
    <w:p>
      <w:pPr>
        <w:widowControl/>
        <w:spacing w:line="480" w:lineRule="exact"/>
        <w:rPr>
          <w:rFonts w:ascii="新宋体" w:eastAsia="新宋体" w:hAnsi="新宋体" w:cs="新宋体"/>
          <w:color w:val="000000"/>
          <w:spacing w:val="-4"/>
          <w:szCs w:val="21"/>
          <w:shd w:val="clear" w:color="auto" w:fill="FFFFFF"/>
        </w:rPr>
      </w:pPr>
      <w:r>
        <w:rPr>
          <w:rFonts w:ascii="新宋体" w:eastAsia="新宋体" w:hAnsi="新宋体" w:cs="新宋体" w:hint="eastAsia"/>
          <w:color w:val="000000"/>
          <w:spacing w:val="-4"/>
          <w:szCs w:val="21"/>
          <w:shd w:val="clear" w:color="auto" w:fill="FFFFFF"/>
        </w:rPr>
        <w:t>③各相关方确认封样。</w:t>
      </w:r>
    </w:p>
    <w:p>
      <w:pPr>
        <w:widowControl/>
        <w:spacing w:line="480" w:lineRule="exact"/>
        <w:rPr>
          <w:rFonts w:ascii="新宋体" w:eastAsia="新宋体" w:hAnsi="新宋体" w:cs="新宋体"/>
          <w:color w:val="000000"/>
          <w:spacing w:val="-5"/>
          <w:szCs w:val="21"/>
          <w:shd w:val="clear" w:color="auto" w:fill="FFFFFF"/>
        </w:rPr>
      </w:pPr>
      <w:r>
        <w:rPr>
          <w:rFonts w:ascii="新宋体" w:eastAsia="新宋体" w:hAnsi="新宋体" w:cs="新宋体" w:hint="eastAsia"/>
          <w:color w:val="000000"/>
          <w:spacing w:val="-5"/>
          <w:szCs w:val="21"/>
          <w:shd w:val="clear" w:color="auto" w:fill="FFFFFF"/>
        </w:rPr>
        <w:t>④履行封样手续。</w:t>
      </w:r>
    </w:p>
    <w:p>
      <w:pPr>
        <w:widowControl/>
        <w:spacing w:line="480" w:lineRule="exact"/>
        <w:rPr>
          <w:rFonts w:ascii="新宋体" w:eastAsia="新宋体" w:hAnsi="新宋体" w:cs="新宋体"/>
          <w:color w:val="000000"/>
          <w:spacing w:val="-5"/>
          <w:szCs w:val="21"/>
          <w:shd w:val="clear" w:color="auto" w:fill="FFFFFF"/>
        </w:rPr>
      </w:pPr>
      <w:r>
        <w:rPr>
          <w:rFonts w:ascii="新宋体" w:eastAsia="新宋体" w:hAnsi="新宋体" w:cs="新宋体" w:hint="eastAsia"/>
          <w:color w:val="000000"/>
          <w:spacing w:val="-5"/>
          <w:szCs w:val="21"/>
          <w:shd w:val="clear" w:color="auto" w:fill="FFFFFF"/>
        </w:rPr>
        <w:t>⑤样品送入封样室，封样负责人封样保管。</w:t>
      </w:r>
    </w:p>
    <w:p>
      <w:pPr>
        <w:widowControl/>
        <w:spacing w:before="76" w:after="46" w:line="480" w:lineRule="exact"/>
        <w:ind w:right="1726"/>
        <w:jc w:val="left"/>
        <w:rPr>
          <w:rFonts w:ascii="新宋体" w:eastAsia="新宋体" w:hAnsi="新宋体" w:cs="新宋体"/>
          <w:color w:val="000000"/>
          <w:spacing w:val="-5"/>
          <w:szCs w:val="21"/>
          <w:shd w:val="clear" w:color="auto" w:fill="FFFFFF"/>
        </w:rPr>
      </w:pPr>
      <w:r>
        <w:rPr>
          <w:rFonts w:ascii="新宋体" w:eastAsia="新宋体" w:hAnsi="新宋体" w:cs="新宋体" w:hint="eastAsia"/>
          <w:color w:val="000000"/>
          <w:spacing w:val="-5"/>
          <w:szCs w:val="21"/>
          <w:shd w:val="clear" w:color="auto" w:fill="FFFFFF"/>
        </w:rPr>
        <w:t>⑥建立封样材料管理台帐并标识。</w:t>
      </w:r>
    </w:p>
    <w:p>
      <w:pPr>
        <w:widowControl/>
        <w:spacing w:before="76" w:after="46" w:line="480" w:lineRule="exact"/>
        <w:ind w:right="1726"/>
        <w:jc w:val="left"/>
        <w:rPr>
          <w:rFonts w:ascii="新宋体" w:eastAsia="新宋体" w:hAnsi="新宋体" w:cs="新宋体"/>
          <w:color w:val="000000"/>
          <w:spacing w:val="-4"/>
          <w:szCs w:val="21"/>
          <w:shd w:val="clear" w:color="auto" w:fill="FFFFFF"/>
        </w:rPr>
      </w:pPr>
      <w:r>
        <w:rPr>
          <w:rFonts w:ascii="新宋体" w:eastAsia="新宋体" w:hAnsi="新宋体" w:cs="新宋体" w:hint="eastAsia"/>
          <w:color w:val="000000"/>
          <w:spacing w:val="-5"/>
          <w:szCs w:val="21"/>
          <w:shd w:val="clear" w:color="auto" w:fill="FFFFFF"/>
        </w:rPr>
        <w:t>3.2.2</w:t>
      </w:r>
      <w:r>
        <w:rPr>
          <w:rFonts w:ascii="新宋体" w:eastAsia="新宋体" w:hAnsi="新宋体" w:cs="新宋体" w:hint="eastAsia"/>
          <w:color w:val="000000"/>
          <w:spacing w:val="-4"/>
          <w:szCs w:val="21"/>
          <w:shd w:val="clear" w:color="auto" w:fill="FFFFFF"/>
        </w:rPr>
        <w:t>封样第一负责人为项目工程负责人，具体负责人为项目资料员。</w:t>
      </w:r>
    </w:p>
    <w:p>
      <w:pPr>
        <w:widowControl/>
        <w:spacing w:before="76" w:after="46" w:line="480" w:lineRule="exact"/>
        <w:ind w:right="1726"/>
        <w:jc w:val="left"/>
        <w:rPr>
          <w:rFonts w:ascii="新宋体" w:eastAsia="新宋体" w:hAnsi="新宋体" w:cs="新宋体"/>
          <w:color w:val="000000"/>
          <w:spacing w:val="-4"/>
          <w:szCs w:val="21"/>
          <w:shd w:val="clear" w:color="auto" w:fill="FFFFFF"/>
        </w:rPr>
      </w:pPr>
      <w:r>
        <w:rPr>
          <w:rFonts w:ascii="新宋体" w:eastAsia="新宋体" w:hAnsi="新宋体" w:cs="新宋体" w:hint="eastAsia"/>
          <w:color w:val="000000"/>
          <w:spacing w:val="-4"/>
          <w:szCs w:val="21"/>
          <w:shd w:val="clear" w:color="auto" w:fill="FFFFFF"/>
        </w:rPr>
        <w:t>3.2.3封样负责人职责：</w:t>
      </w:r>
    </w:p>
    <w:p>
      <w:pPr>
        <w:widowControl/>
        <w:spacing w:before="76" w:after="46" w:line="480" w:lineRule="exact"/>
        <w:ind w:left="210" w:hanging="210" w:hangingChars="100"/>
        <w:jc w:val="left"/>
        <w:rPr>
          <w:rFonts w:ascii="新宋体" w:eastAsia="新宋体" w:hAnsi="新宋体" w:cs="新宋体"/>
          <w:color w:val="000000"/>
          <w:szCs w:val="21"/>
          <w:shd w:val="clear" w:color="auto" w:fill="FFFFFF"/>
        </w:rPr>
      </w:pPr>
      <w:r>
        <w:rPr>
          <w:rFonts w:ascii="新宋体" w:eastAsia="新宋体" w:hAnsi="新宋体" w:cs="新宋体" w:hint="eastAsia"/>
          <w:color w:val="000000"/>
          <w:spacing w:val="-5"/>
          <w:szCs w:val="21"/>
          <w:shd w:val="clear" w:color="auto" w:fill="FFFFFF"/>
        </w:rPr>
        <w:t>①负责对所封样品的管理与日常维护，</w:t>
      </w:r>
      <w:r>
        <w:rPr>
          <w:rFonts w:ascii="新宋体" w:eastAsia="新宋体" w:hAnsi="新宋体" w:cs="新宋体" w:hint="eastAsia"/>
          <w:color w:val="000000"/>
          <w:spacing w:val="-6"/>
          <w:szCs w:val="21"/>
          <w:shd w:val="clear" w:color="auto" w:fill="FFFFFF"/>
        </w:rPr>
        <w:t>并确保所封样品不被更换</w:t>
      </w:r>
      <w:r>
        <w:rPr>
          <w:rFonts w:ascii="新宋体" w:eastAsia="新宋体" w:hAnsi="新宋体" w:cs="新宋体" w:hint="eastAsia"/>
          <w:color w:val="000000"/>
          <w:szCs w:val="21"/>
          <w:shd w:val="clear" w:color="auto" w:fill="FFFFFF"/>
        </w:rPr>
        <w:t>和损坏。</w:t>
      </w:r>
    </w:p>
    <w:p>
      <w:pPr>
        <w:widowControl/>
        <w:spacing w:before="76" w:after="46" w:line="480" w:lineRule="exact"/>
        <w:ind w:right="1726"/>
        <w:jc w:val="left"/>
        <w:rPr>
          <w:rFonts w:ascii="新宋体" w:eastAsia="新宋体" w:hAnsi="新宋体" w:cs="新宋体"/>
          <w:color w:val="000000"/>
          <w:spacing w:val="-6"/>
          <w:szCs w:val="21"/>
          <w:shd w:val="clear" w:color="auto" w:fill="FFFFFF"/>
        </w:rPr>
      </w:pPr>
      <w:r>
        <w:rPr>
          <w:rFonts w:ascii="新宋体" w:eastAsia="新宋体" w:hAnsi="新宋体" w:cs="新宋体" w:hint="eastAsia"/>
          <w:color w:val="000000"/>
          <w:spacing w:val="-6"/>
          <w:szCs w:val="21"/>
          <w:shd w:val="clear" w:color="auto" w:fill="FFFFFF"/>
        </w:rPr>
        <w:t>②未经领导批准，严禁私自让其他人员进入封样室。</w:t>
      </w:r>
    </w:p>
    <w:p>
      <w:pPr>
        <w:widowControl/>
        <w:spacing w:before="76" w:after="46" w:line="480" w:lineRule="exact"/>
        <w:ind w:right="1726"/>
        <w:jc w:val="left"/>
        <w:rPr>
          <w:rFonts w:ascii="新宋体" w:eastAsia="新宋体" w:hAnsi="新宋体" w:cs="新宋体"/>
          <w:color w:val="000000"/>
          <w:spacing w:val="-4"/>
          <w:szCs w:val="21"/>
          <w:shd w:val="clear" w:color="auto" w:fill="FFFFFF"/>
        </w:rPr>
      </w:pPr>
      <w:r>
        <w:rPr>
          <w:rFonts w:ascii="新宋体" w:eastAsia="新宋体" w:hAnsi="新宋体" w:cs="新宋体" w:hint="eastAsia"/>
          <w:color w:val="000000"/>
          <w:spacing w:val="-6"/>
          <w:szCs w:val="21"/>
          <w:shd w:val="clear" w:color="auto" w:fill="FFFFFF"/>
        </w:rPr>
        <w:t>3.2.4</w:t>
      </w:r>
      <w:r>
        <w:rPr>
          <w:rFonts w:ascii="新宋体" w:eastAsia="新宋体" w:hAnsi="新宋体" w:cs="新宋体" w:hint="eastAsia"/>
          <w:color w:val="000000"/>
          <w:spacing w:val="-4"/>
          <w:szCs w:val="21"/>
          <w:shd w:val="clear" w:color="auto" w:fill="FFFFFF"/>
        </w:rPr>
        <w:t>封样室管理规定：</w:t>
      </w:r>
    </w:p>
    <w:p>
      <w:pPr>
        <w:widowControl/>
        <w:spacing w:before="76" w:after="46" w:line="480" w:lineRule="exact"/>
        <w:ind w:right="1726"/>
        <w:jc w:val="left"/>
        <w:rPr>
          <w:rFonts w:ascii="新宋体" w:eastAsia="新宋体" w:hAnsi="新宋体" w:cs="新宋体"/>
          <w:color w:val="000000"/>
          <w:spacing w:val="-6"/>
          <w:szCs w:val="21"/>
          <w:shd w:val="clear" w:color="auto" w:fill="FFFFFF"/>
        </w:rPr>
      </w:pPr>
      <w:r>
        <w:rPr>
          <w:rFonts w:ascii="新宋体" w:eastAsia="新宋体" w:hAnsi="新宋体" w:cs="新宋体" w:hint="eastAsia"/>
          <w:color w:val="000000"/>
          <w:spacing w:val="-6"/>
          <w:szCs w:val="21"/>
          <w:shd w:val="clear" w:color="auto" w:fill="FFFFFF"/>
        </w:rPr>
        <w:t>①封样室钥匙由封样负责人掌管。</w:t>
      </w:r>
    </w:p>
    <w:p>
      <w:pPr>
        <w:widowControl/>
        <w:spacing w:before="76" w:after="46" w:line="480" w:lineRule="exact"/>
        <w:ind w:left="210" w:hanging="210" w:hangingChars="100"/>
        <w:jc w:val="left"/>
        <w:rPr>
          <w:rFonts w:ascii="新宋体" w:eastAsia="新宋体" w:hAnsi="新宋体" w:cs="新宋体"/>
          <w:color w:val="000000"/>
          <w:spacing w:val="-6"/>
          <w:szCs w:val="21"/>
          <w:shd w:val="clear" w:color="auto" w:fill="FFFFFF"/>
        </w:rPr>
      </w:pPr>
      <w:r>
        <w:rPr>
          <w:rFonts w:ascii="新宋体" w:eastAsia="新宋体" w:hAnsi="新宋体" w:cs="新宋体" w:hint="eastAsia"/>
          <w:color w:val="000000"/>
          <w:spacing w:val="-6"/>
          <w:szCs w:val="21"/>
          <w:shd w:val="clear" w:color="auto" w:fill="FFFFFF"/>
        </w:rPr>
        <w:t>②没有书面允许并登记，任何人不得私自将封样样品带出封样室。</w:t>
      </w:r>
    </w:p>
    <w:p>
      <w:pPr>
        <w:widowControl/>
        <w:spacing w:before="76" w:after="46" w:line="480" w:lineRule="exact"/>
        <w:jc w:val="left"/>
        <w:rPr>
          <w:rFonts w:ascii="新宋体" w:eastAsia="新宋体" w:hAnsi="新宋体" w:cs="新宋体"/>
          <w:color w:val="000000"/>
          <w:szCs w:val="21"/>
          <w:shd w:val="clear" w:color="auto" w:fill="FFFFFF"/>
        </w:rPr>
      </w:pPr>
      <w:r>
        <w:rPr>
          <w:rFonts w:ascii="新宋体" w:eastAsia="新宋体" w:hAnsi="新宋体" w:cs="新宋体" w:hint="eastAsia"/>
          <w:color w:val="000000"/>
          <w:spacing w:val="-6"/>
          <w:szCs w:val="21"/>
          <w:shd w:val="clear" w:color="auto" w:fill="FFFFFF"/>
        </w:rPr>
        <w:t>③进入封样室查看样品，必须有封样负责人陪同，</w:t>
      </w:r>
      <w:r>
        <w:rPr>
          <w:rFonts w:ascii="新宋体" w:eastAsia="新宋体" w:hAnsi="新宋体" w:cs="新宋体" w:hint="eastAsia"/>
          <w:color w:val="000000"/>
          <w:spacing w:val="-3"/>
          <w:szCs w:val="21"/>
          <w:shd w:val="clear" w:color="auto" w:fill="FFFFFF"/>
        </w:rPr>
        <w:t>并履行登记手</w:t>
      </w:r>
      <w:r>
        <w:rPr>
          <w:rFonts w:ascii="新宋体" w:eastAsia="新宋体" w:hAnsi="新宋体" w:cs="新宋体" w:hint="eastAsia"/>
          <w:color w:val="000000"/>
          <w:szCs w:val="21"/>
          <w:shd w:val="clear" w:color="auto" w:fill="FFFFFF"/>
        </w:rPr>
        <w:t>续。</w:t>
      </w:r>
    </w:p>
    <w:p>
      <w:pPr>
        <w:widowControl/>
        <w:spacing w:before="76" w:after="46" w:line="480" w:lineRule="exact"/>
        <w:jc w:val="left"/>
        <w:rPr>
          <w:rFonts w:ascii="新宋体" w:eastAsia="新宋体" w:hAnsi="新宋体" w:cs="新宋体"/>
          <w:color w:val="000000"/>
          <w:spacing w:val="-4"/>
          <w:szCs w:val="21"/>
          <w:shd w:val="clear" w:color="auto" w:fill="FFFFFF"/>
        </w:rPr>
      </w:pPr>
      <w:r>
        <w:rPr>
          <w:rFonts w:ascii="新宋体" w:eastAsia="新宋体" w:hAnsi="新宋体" w:cs="新宋体" w:hint="eastAsia"/>
          <w:color w:val="000000"/>
          <w:spacing w:val="-5"/>
          <w:szCs w:val="21"/>
          <w:shd w:val="clear" w:color="auto" w:fill="FFFFFF"/>
        </w:rPr>
        <w:t>④</w:t>
      </w:r>
      <w:r>
        <w:rPr>
          <w:rFonts w:ascii="新宋体" w:eastAsia="新宋体" w:hAnsi="新宋体" w:cs="新宋体" w:hint="eastAsia"/>
          <w:color w:val="000000"/>
          <w:spacing w:val="-6"/>
          <w:szCs w:val="21"/>
          <w:shd w:val="clear" w:color="auto" w:fill="FFFFFF"/>
        </w:rPr>
        <w:t>进入封样室的材料、设备必须分部门、分专业、分用途进行装袋摆放，摆放要整齐，并做好标识。</w:t>
      </w:r>
    </w:p>
    <w:p>
      <w:pPr>
        <w:widowControl/>
        <w:spacing w:before="76" w:after="46" w:line="480" w:lineRule="exact"/>
        <w:jc w:val="left"/>
        <w:rPr>
          <w:rFonts w:ascii="新宋体" w:eastAsia="新宋体" w:hAnsi="新宋体" w:cs="新宋体"/>
          <w:color w:val="000000"/>
          <w:spacing w:val="-5"/>
          <w:szCs w:val="21"/>
          <w:shd w:val="clear" w:color="auto" w:fill="FFFFFF"/>
        </w:rPr>
      </w:pPr>
      <w:r>
        <w:rPr>
          <w:rFonts w:ascii="新宋体" w:eastAsia="新宋体" w:hAnsi="新宋体" w:cs="新宋体" w:hint="eastAsia"/>
          <w:color w:val="000000"/>
          <w:spacing w:val="-4"/>
          <w:szCs w:val="21"/>
          <w:shd w:val="clear" w:color="auto" w:fill="FFFFFF"/>
        </w:rPr>
        <w:t>3.2.5</w:t>
      </w:r>
      <w:r>
        <w:rPr>
          <w:rFonts w:ascii="新宋体" w:eastAsia="新宋体" w:hAnsi="新宋体" w:cs="新宋体" w:hint="eastAsia"/>
          <w:color w:val="000000"/>
          <w:spacing w:val="4"/>
          <w:szCs w:val="21"/>
          <w:shd w:val="clear" w:color="auto" w:fill="FFFFFF"/>
        </w:rPr>
        <w:t>材料设备标识：此标识贴在样品上或放在样品袋内，并上面有样品厂家、施</w:t>
      </w:r>
      <w:r>
        <w:rPr>
          <w:rFonts w:ascii="新宋体" w:eastAsia="新宋体" w:hAnsi="新宋体" w:cs="新宋体" w:hint="eastAsia"/>
          <w:color w:val="000000"/>
          <w:spacing w:val="-5"/>
          <w:szCs w:val="21"/>
          <w:shd w:val="clear" w:color="auto" w:fill="FFFFFF"/>
        </w:rPr>
        <w:t>工单位、监理单位三方的盖章和签字，封样标示详见附表：HES-XC-B-015工程材料样品封样确认单。</w:t>
      </w:r>
    </w:p>
    <w:p>
      <w:pPr>
        <w:widowControl/>
        <w:spacing w:before="76" w:after="46" w:line="480" w:lineRule="exact"/>
        <w:jc w:val="left"/>
        <w:rPr>
          <w:rFonts w:ascii="新宋体" w:eastAsia="新宋体" w:hAnsi="新宋体" w:cs="新宋体"/>
          <w:color w:val="000000"/>
          <w:spacing w:val="-5"/>
          <w:szCs w:val="21"/>
          <w:shd w:val="clear" w:color="auto" w:fill="FFFFFF"/>
        </w:rPr>
      </w:pPr>
      <w:r>
        <w:rPr>
          <w:rFonts w:ascii="新宋体" w:eastAsia="新宋体" w:hAnsi="新宋体" w:cs="新宋体" w:hint="eastAsia"/>
          <w:color w:val="000000"/>
          <w:spacing w:val="-5"/>
          <w:szCs w:val="21"/>
          <w:shd w:val="clear" w:color="auto" w:fill="FFFFFF"/>
        </w:rPr>
        <w:t>3.2.6材料设备登记台账详见附表：HES-XC-B-020材料设备登记台账。</w:t>
      </w:r>
    </w:p>
    <w:p>
      <w:pPr>
        <w:widowControl/>
        <w:spacing w:before="76" w:after="46" w:line="480" w:lineRule="exact"/>
        <w:jc w:val="left"/>
        <w:rPr>
          <w:rFonts w:ascii="新宋体" w:eastAsia="新宋体" w:hAnsi="新宋体" w:cs="新宋体"/>
          <w:color w:val="000000"/>
          <w:spacing w:val="-5"/>
          <w:szCs w:val="21"/>
          <w:shd w:val="clear" w:color="auto" w:fill="FFFFFF"/>
        </w:rPr>
        <w:sectPr>
          <w:headerReference w:type="default" r:id="rId17"/>
          <w:footerReference w:type="default" r:id="rId18"/>
          <w:type w:val="nextPage"/>
          <w:pgSz w:w="11906" w:h="16838"/>
          <w:pgMar w:top="1134" w:right="851" w:bottom="851" w:left="1418" w:header="851" w:footer="992" w:gutter="0"/>
          <w:pgNumType w:start="7"/>
          <w:cols w:num="1" w:space="720"/>
          <w:titlePg w:val="0"/>
          <w:docGrid w:type="lines" w:linePitch="312" w:charSpace="0"/>
        </w:sectPr>
      </w:pPr>
      <w:r>
        <w:rPr>
          <w:rFonts w:ascii="新宋体" w:eastAsia="新宋体" w:hAnsi="新宋体" w:cs="新宋体" w:hint="eastAsia"/>
          <w:color w:val="000000"/>
          <w:spacing w:val="-5"/>
          <w:szCs w:val="21"/>
          <w:shd w:val="clear" w:color="auto" w:fill="FFFFFF"/>
        </w:rPr>
        <w:t>3.2.7封样的使用：应确保厂家后续到货与相应所封样品一致。</w:t>
      </w:r>
    </w:p>
    <w:p>
      <w:pPr>
        <w:widowControl/>
        <w:spacing w:before="76" w:after="46" w:line="480" w:lineRule="exact"/>
        <w:jc w:val="left"/>
        <w:rPr>
          <w:rFonts w:ascii="新宋体" w:eastAsia="新宋体" w:hAnsi="新宋体" w:cs="新宋体"/>
          <w:color w:val="000000"/>
          <w:spacing w:val="-6"/>
          <w:szCs w:val="21"/>
        </w:rPr>
      </w:pPr>
      <w:r>
        <w:rPr>
          <w:rFonts w:ascii="新宋体" w:eastAsia="新宋体" w:hAnsi="新宋体" w:cs="新宋体" w:hint="eastAsia"/>
          <w:color w:val="000000"/>
          <w:spacing w:val="-6"/>
          <w:szCs w:val="21"/>
          <w:shd w:val="clear" w:color="auto" w:fill="FFFFFF"/>
        </w:rPr>
        <w:t>①确认程序：</w:t>
      </w:r>
      <w:r>
        <w:rPr>
          <w:rFonts w:ascii="新宋体" w:eastAsia="新宋体" w:hAnsi="新宋体" w:cs="新宋体" w:hint="eastAsia"/>
          <w:color w:val="000000"/>
          <w:spacing w:val="-5"/>
          <w:szCs w:val="21"/>
          <w:shd w:val="clear" w:color="auto" w:fill="FFFFFF"/>
        </w:rPr>
        <w:t>使用的材料确认后，</w:t>
      </w:r>
      <w:r>
        <w:rPr>
          <w:rFonts w:ascii="新宋体" w:eastAsia="新宋体" w:hAnsi="新宋体" w:cs="新宋体" w:hint="eastAsia"/>
          <w:color w:val="000000"/>
          <w:spacing w:val="-4"/>
          <w:szCs w:val="21"/>
          <w:shd w:val="clear" w:color="auto" w:fill="FFFFFF"/>
        </w:rPr>
        <w:t>施工单位应把样品报到监理单</w:t>
      </w:r>
      <w:r>
        <w:rPr>
          <w:rFonts w:ascii="新宋体" w:eastAsia="新宋体" w:hAnsi="新宋体" w:cs="新宋体" w:hint="eastAsia"/>
          <w:color w:val="000000"/>
          <w:szCs w:val="21"/>
          <w:shd w:val="clear" w:color="auto" w:fill="FFFFFF"/>
        </w:rPr>
        <w:t>位</w:t>
      </w:r>
      <w:r>
        <w:rPr>
          <w:rFonts w:ascii="新宋体" w:eastAsia="新宋体" w:hAnsi="新宋体" w:cs="新宋体" w:hint="eastAsia"/>
          <w:color w:val="000000"/>
          <w:spacing w:val="-4"/>
          <w:szCs w:val="21"/>
          <w:shd w:val="clear" w:color="auto" w:fill="FFFFFF"/>
        </w:rPr>
        <w:t>及甲方的技术部、工程部、成本合约部</w:t>
      </w:r>
      <w:r>
        <w:rPr>
          <w:rFonts w:ascii="新宋体" w:eastAsia="新宋体" w:hAnsi="新宋体" w:cs="新宋体" w:hint="eastAsia"/>
          <w:color w:val="000000"/>
          <w:spacing w:val="-2"/>
          <w:szCs w:val="21"/>
          <w:shd w:val="clear" w:color="auto" w:fill="FFFFFF"/>
        </w:rPr>
        <w:t>，</w:t>
      </w:r>
      <w:r>
        <w:rPr>
          <w:rFonts w:ascii="新宋体" w:eastAsia="新宋体" w:hAnsi="新宋体" w:cs="新宋体" w:hint="eastAsia"/>
          <w:color w:val="000000"/>
          <w:spacing w:val="-5"/>
          <w:szCs w:val="21"/>
          <w:shd w:val="clear" w:color="auto" w:fill="FFFFFF"/>
        </w:rPr>
        <w:t>几方根据设计要求共同认定。</w:t>
      </w:r>
      <w:r>
        <w:rPr>
          <w:rFonts w:ascii="新宋体" w:eastAsia="新宋体" w:hAnsi="新宋体" w:cs="新宋体" w:hint="eastAsia"/>
          <w:color w:val="000000"/>
          <w:spacing w:val="-4"/>
          <w:szCs w:val="21"/>
          <w:shd w:val="clear" w:color="auto" w:fill="FFFFFF"/>
        </w:rPr>
        <w:t>几方共同在材料样品确认单上签字认可后，该批材料准予进场，</w:t>
      </w:r>
      <w:r>
        <w:rPr>
          <w:rFonts w:ascii="新宋体" w:eastAsia="新宋体" w:hAnsi="新宋体" w:cs="新宋体" w:hint="eastAsia"/>
          <w:color w:val="000000"/>
          <w:spacing w:val="-13"/>
          <w:szCs w:val="21"/>
          <w:shd w:val="clear" w:color="auto" w:fill="FFFFFF"/>
        </w:rPr>
        <w:t>材料</w:t>
      </w:r>
      <w:r>
        <w:rPr>
          <w:rFonts w:ascii="新宋体" w:eastAsia="新宋体" w:hAnsi="新宋体" w:cs="新宋体" w:hint="eastAsia"/>
          <w:color w:val="000000"/>
          <w:spacing w:val="-5"/>
          <w:szCs w:val="21"/>
          <w:shd w:val="clear" w:color="auto" w:fill="FFFFFF"/>
        </w:rPr>
        <w:t>进场后进行样品与材料比对，合格后方可使用。</w:t>
      </w:r>
    </w:p>
    <w:p>
      <w:pPr>
        <w:widowControl/>
        <w:spacing w:before="76" w:after="46" w:line="480" w:lineRule="exact"/>
        <w:ind w:right="1726"/>
        <w:jc w:val="left"/>
        <w:rPr>
          <w:rFonts w:ascii="新宋体" w:eastAsia="新宋体" w:hAnsi="新宋体" w:cs="新宋体"/>
          <w:color w:val="000000"/>
          <w:spacing w:val="-6"/>
          <w:szCs w:val="21"/>
          <w:shd w:val="clear" w:color="auto" w:fill="FFFFFF"/>
        </w:rPr>
      </w:pPr>
      <w:r>
        <w:rPr>
          <w:rFonts w:ascii="新宋体" w:eastAsia="新宋体" w:hAnsi="新宋体" w:cs="新宋体" w:hint="eastAsia"/>
          <w:color w:val="000000"/>
          <w:spacing w:val="-6"/>
          <w:szCs w:val="21"/>
          <w:shd w:val="clear" w:color="auto" w:fill="FFFFFF"/>
        </w:rPr>
        <w:t>②确认流程：</w:t>
      </w:r>
    </w:p>
    <w:p>
      <w:pPr>
        <w:widowControl/>
        <w:spacing w:before="76" w:after="46"/>
        <w:ind w:right="1726"/>
        <w:jc w:val="left"/>
        <w:rPr>
          <w:rFonts w:ascii="新宋体" w:eastAsia="新宋体" w:hAnsi="新宋体" w:cs="新宋体"/>
          <w:bCs/>
          <w:color w:val="000000"/>
          <w:spacing w:val="12"/>
          <w:szCs w:val="21"/>
          <w:shd w:val="clear" w:color="auto" w:fill="FFFFFF"/>
        </w:rPr>
      </w:pPr>
    </w:p>
    <w:p>
      <w:pPr>
        <w:widowControl/>
        <w:spacing w:before="76" w:after="46"/>
        <w:ind w:right="1726"/>
        <w:jc w:val="left"/>
        <w:rPr>
          <w:rFonts w:ascii="宋体" w:hAnsi="宋体" w:cs="宋体"/>
          <w:b/>
          <w:color w:val="000000"/>
          <w:spacing w:val="12"/>
          <w:sz w:val="28"/>
          <w:szCs w:val="28"/>
          <w:shd w:val="clear" w:color="auto" w:fill="FFFFFF"/>
        </w:rPr>
      </w:pPr>
      <w:r>
        <w:rPr>
          <w:rFonts w:ascii="新宋体" w:eastAsia="新宋体" w:hAnsi="新宋体" w:cs="新宋体" w:hint="eastAsia"/>
          <w:bCs/>
          <w:color w:val="000000"/>
          <w:spacing w:val="12"/>
          <w:szCs w:val="21"/>
          <w:shd w:val="clear" w:color="auto" w:fill="FFFFFF"/>
        </w:rPr>
        <w:t>甲控材料、设备管理流程图</w:t>
      </w:r>
    </w:p>
    <w:p>
      <w:pPr>
        <w:widowControl/>
        <w:spacing w:before="76" w:after="46"/>
        <w:ind w:right="1726"/>
        <w:jc w:val="left"/>
        <w:rPr>
          <w:rFonts w:ascii="宋体" w:hAnsi="宋体" w:cs="宋体"/>
          <w:b/>
          <w:color w:val="000000"/>
          <w:spacing w:val="12"/>
          <w:sz w:val="28"/>
          <w:szCs w:val="28"/>
          <w:shd w:val="clear" w:color="auto" w:fill="FFFFFF"/>
        </w:rPr>
      </w:pPr>
      <w:r>
        <w:rPr>
          <w:sz w:val="28"/>
        </w:rPr>
        <mc:AlternateContent>
          <mc:Choice Requires="wps">
            <w:drawing>
              <wp:anchor distT="0" distB="0" distL="114300" distR="114300" simplePos="0" relativeHeight="251702272" behindDoc="0" locked="0" layoutInCell="1" allowOverlap="1">
                <wp:simplePos x="0" y="0"/>
                <wp:positionH relativeFrom="column">
                  <wp:posOffset>2686050</wp:posOffset>
                </wp:positionH>
                <wp:positionV relativeFrom="paragraph">
                  <wp:posOffset>4714875</wp:posOffset>
                </wp:positionV>
                <wp:extent cx="1214120" cy="297180"/>
                <wp:effectExtent l="0" t="0" r="0" b="0"/>
                <wp:wrapNone/>
                <wp:docPr id="45" name="文本框 4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14120" cy="29718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ascii="新宋体" w:eastAsia="新宋体" w:hAnsi="新宋体" w:cs="新宋体"/>
                                <w:szCs w:val="21"/>
                              </w:rPr>
                            </w:pPr>
                            <w:r>
                              <w:rPr>
                                <w:rFonts w:ascii="新宋体" w:eastAsia="新宋体" w:hAnsi="新宋体" w:cs="新宋体" w:hint="eastAsia"/>
                                <w:szCs w:val="21"/>
                              </w:rPr>
                              <w:t>报相关单位</w:t>
                            </w:r>
                          </w:p>
                          <w:p>
                            <w:pPr>
                              <w:rPr>
                                <w:rFonts w:eastAsiaTheme="minorEastAsia"/>
                              </w:rPr>
                            </w:pPr>
                          </w:p>
                        </w:txbxContent>
                      </wps:txbx>
                      <wps:bodyPr rot="0" spcFirstLastPara="0" vertOverflow="overflow" horzOverflow="overflow" vert="horz" wrap="square" lIns="91440" tIns="45720" rIns="91440" bIns="45720"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45" o:spid="_x0000_s1025" type="#_x0000_t202" style="width:95.6pt;height:23.4pt;margin-top:371.25pt;margin-left:211.5pt;mso-wrap-distance-bottom:0;mso-wrap-distance-left:9pt;mso-wrap-distance-right:9pt;mso-wrap-distance-top:0;position:absolute;v-text-anchor:top;z-index:251701248" filled="f" fillcolor="this" stroked="f" strokeweight="0.5pt">
                <v:textbox>
                  <w:txbxContent>
                    <w:p>
                      <w:pPr>
                        <w:jc w:val="center"/>
                        <w:rPr>
                          <w:rFonts w:ascii="新宋体" w:eastAsia="新宋体" w:hAnsi="新宋体" w:cs="新宋体"/>
                          <w:szCs w:val="21"/>
                        </w:rPr>
                      </w:pPr>
                      <w:r>
                        <w:rPr>
                          <w:rFonts w:ascii="新宋体" w:eastAsia="新宋体" w:hAnsi="新宋体" w:cs="新宋体" w:hint="eastAsia"/>
                          <w:szCs w:val="21"/>
                        </w:rPr>
                        <w:t>报相关单位</w:t>
                      </w:r>
                    </w:p>
                    <w:p>
                      <w:pPr>
                        <w:rPr>
                          <w:rFonts w:eastAsiaTheme="minorEastAsia"/>
                        </w:rPr>
                      </w:pPr>
                    </w:p>
                  </w:txbxContent>
                </v:textbox>
              </v:shape>
            </w:pict>
          </mc:Fallback>
        </mc:AlternateContent>
      </w:r>
      <w:r>
        <w:rPr>
          <w:sz w:val="28"/>
        </w:rPr>
        <mc:AlternateContent>
          <mc:Choice Requires="wps">
            <w:drawing>
              <wp:anchor distT="0" distB="0" distL="114300" distR="114300" simplePos="0" relativeHeight="251700224" behindDoc="0" locked="0" layoutInCell="1" allowOverlap="1">
                <wp:simplePos x="0" y="0"/>
                <wp:positionH relativeFrom="column">
                  <wp:posOffset>4389755</wp:posOffset>
                </wp:positionH>
                <wp:positionV relativeFrom="paragraph">
                  <wp:posOffset>3103245</wp:posOffset>
                </wp:positionV>
                <wp:extent cx="494665" cy="297180"/>
                <wp:effectExtent l="0" t="0" r="635" b="7620"/>
                <wp:wrapNone/>
                <wp:docPr id="46" name="文本框 46"/>
                <wp:cNvGraphicFramePr/>
                <a:graphic xmlns:a="http://schemas.openxmlformats.org/drawingml/2006/main">
                  <a:graphicData uri="http://schemas.microsoft.com/office/word/2010/wordprocessingShape">
                    <wps:wsp xmlns:wps="http://schemas.microsoft.com/office/word/2010/wordprocessingShape">
                      <wps:cNvSpPr txBox="1"/>
                      <wps:spPr>
                        <a:xfrm>
                          <a:off x="5601335" y="5690235"/>
                          <a:ext cx="494665" cy="297180"/>
                        </a:xfrm>
                        <a:prstGeom prst="rect">
                          <a:avLst/>
                        </a:prstGeom>
                        <a:solidFill>
                          <a:schemeClr val="bg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ascii="新宋体" w:eastAsia="新宋体" w:hAnsi="新宋体" w:cs="新宋体"/>
                              </w:rPr>
                            </w:pPr>
                            <w:r>
                              <w:rPr>
                                <w:rFonts w:ascii="新宋体" w:eastAsia="新宋体" w:hAnsi="新宋体" w:cs="新宋体" w:hint="eastAsia"/>
                              </w:rPr>
                              <w:t>合格</w:t>
                            </w:r>
                          </w:p>
                        </w:txbxContent>
                      </wps:txbx>
                      <wps:bodyPr rot="0" spcFirstLastPara="0" vertOverflow="overflow" horzOverflow="overflow" vert="horz" wrap="square" lIns="91440" tIns="45720" rIns="91440" bIns="45720" numCol="1" spcCol="0" rtlCol="0" fromWordArt="0" anchor="t" anchorCtr="0" forceAA="0" compatLnSpc="1"/>
                    </wps:wsp>
                  </a:graphicData>
                </a:graphic>
              </wp:anchor>
            </w:drawing>
          </mc:Choice>
          <mc:Fallback>
            <w:pict>
              <v:shape id="文本框 46" o:spid="_x0000_s1026" type="#_x0000_t202" style="width:38.95pt;height:23.4pt;margin-top:244.35pt;margin-left:345.65pt;mso-wrap-distance-bottom:0;mso-wrap-distance-left:9pt;mso-wrap-distance-right:9pt;mso-wrap-distance-top:0;position:absolute;v-text-anchor:top;z-index:251699200" fillcolor="white" stroked="f" strokeweight="0.5pt">
                <v:textbox>
                  <w:txbxContent>
                    <w:p>
                      <w:pPr>
                        <w:rPr>
                          <w:rFonts w:ascii="新宋体" w:eastAsia="新宋体" w:hAnsi="新宋体" w:cs="新宋体"/>
                        </w:rPr>
                      </w:pPr>
                      <w:r>
                        <w:rPr>
                          <w:rFonts w:ascii="新宋体" w:eastAsia="新宋体" w:hAnsi="新宋体" w:cs="新宋体" w:hint="eastAsia"/>
                        </w:rPr>
                        <w:t>合格</w:t>
                      </w:r>
                    </w:p>
                  </w:txbxContent>
                </v:textbox>
              </v:shape>
            </w:pict>
          </mc:Fallback>
        </mc:AlternateContent>
      </w:r>
      <w:r>
        <w:rPr>
          <w:sz w:val="28"/>
        </w:rPr>
        <mc:AlternateContent>
          <mc:Choice Requires="wps">
            <w:drawing>
              <wp:anchor distT="0" distB="0" distL="114300" distR="114300" simplePos="0" relativeHeight="251698176" behindDoc="0" locked="0" layoutInCell="1" allowOverlap="1">
                <wp:simplePos x="0" y="0"/>
                <wp:positionH relativeFrom="column">
                  <wp:posOffset>4347845</wp:posOffset>
                </wp:positionH>
                <wp:positionV relativeFrom="paragraph">
                  <wp:posOffset>3427095</wp:posOffset>
                </wp:positionV>
                <wp:extent cx="499110" cy="0"/>
                <wp:effectExtent l="0" t="48895" r="15240" b="65405"/>
                <wp:wrapNone/>
                <wp:docPr id="47" name="直接箭头连接符 47"/>
                <wp:cNvGraphicFramePr/>
                <a:graphic xmlns:a="http://schemas.openxmlformats.org/drawingml/2006/main">
                  <a:graphicData uri="http://schemas.microsoft.com/office/word/2010/wordprocessingShape">
                    <wps:wsp xmlns:wps="http://schemas.microsoft.com/office/word/2010/wordprocessingShape">
                      <wps:cNvCnPr/>
                      <wps:spPr>
                        <a:xfrm>
                          <a:off x="5490845" y="6052185"/>
                          <a:ext cx="499110" cy="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type id="_x0000_t32" coordsize="21600,21600" o:spt="32" o:oned="t" path="m,l21600,21600e" filled="f">
                <v:path arrowok="t" fillok="f" o:connecttype="none"/>
                <o:lock v:ext="edit" shapetype="t"/>
              </v:shapetype>
              <v:shape id="直接箭头连接符 47" o:spid="_x0000_s1027" type="#_x0000_t32" style="width:39.3pt;height:0;margin-top:269.85pt;margin-left:342.35pt;mso-wrap-distance-bottom:0;mso-wrap-distance-left:9pt;mso-wrap-distance-right:9pt;mso-wrap-distance-top:0;position:absolute;v-text-anchor:top;z-index:251697152" fillcolor="this" stroked="t" strokecolor="black" strokeweight="0.5pt">
                <v:stroke endarrow="open"/>
              </v:shape>
            </w:pict>
          </mc:Fallback>
        </mc:AlternateContent>
      </w:r>
      <w:r>
        <w:rPr>
          <w:sz w:val="28"/>
        </w:rPr>
        <mc:AlternateContent>
          <mc:Choice Requires="wps">
            <w:drawing>
              <wp:anchor distT="0" distB="0" distL="114300" distR="114300" simplePos="0" relativeHeight="251696128" behindDoc="0" locked="0" layoutInCell="1" allowOverlap="1">
                <wp:simplePos x="0" y="0"/>
                <wp:positionH relativeFrom="column">
                  <wp:posOffset>1094105</wp:posOffset>
                </wp:positionH>
                <wp:positionV relativeFrom="paragraph">
                  <wp:posOffset>3076575</wp:posOffset>
                </wp:positionV>
                <wp:extent cx="617220" cy="297180"/>
                <wp:effectExtent l="0" t="0" r="0" b="0"/>
                <wp:wrapNone/>
                <wp:docPr id="48" name="文本框 48"/>
                <wp:cNvGraphicFramePr/>
                <a:graphic xmlns:a="http://schemas.openxmlformats.org/drawingml/2006/main">
                  <a:graphicData uri="http://schemas.microsoft.com/office/word/2010/wordprocessingShape">
                    <wps:wsp xmlns:wps="http://schemas.microsoft.com/office/word/2010/wordprocessingShape">
                      <wps:cNvSpPr txBox="1"/>
                      <wps:spPr>
                        <a:xfrm>
                          <a:off x="1353185" y="6882765"/>
                          <a:ext cx="617220" cy="29718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eastAsiaTheme="minorEastAsia"/>
                              </w:rPr>
                            </w:pPr>
                            <w:r>
                              <w:rPr>
                                <w:rFonts w:hint="eastAsia"/>
                              </w:rPr>
                              <w:t>不合格</w:t>
                            </w:r>
                          </w:p>
                        </w:txbxContent>
                      </wps:txbx>
                      <wps:bodyPr rot="0" spcFirstLastPara="0" vertOverflow="overflow" horzOverflow="overflow" vert="horz" wrap="square" lIns="91440" tIns="45720" rIns="91440" bIns="45720" numCol="1" spcCol="0" rtlCol="0" fromWordArt="0" anchor="t" anchorCtr="0" forceAA="0" compatLnSpc="1"/>
                    </wps:wsp>
                  </a:graphicData>
                </a:graphic>
              </wp:anchor>
            </w:drawing>
          </mc:Choice>
          <mc:Fallback>
            <w:pict>
              <v:shape id="文本框 48" o:spid="_x0000_s1028" type="#_x0000_t202" style="width:48.6pt;height:23.4pt;margin-top:242.25pt;margin-left:86.15pt;mso-wrap-distance-bottom:0;mso-wrap-distance-left:9pt;mso-wrap-distance-right:9pt;mso-wrap-distance-top:0;position:absolute;v-text-anchor:top;z-index:251695104" filled="f" fillcolor="this" stroked="f" strokeweight="0.5pt">
                <v:textbox>
                  <w:txbxContent>
                    <w:p>
                      <w:pPr>
                        <w:rPr>
                          <w:rFonts w:eastAsiaTheme="minorEastAsia"/>
                        </w:rPr>
                      </w:pPr>
                      <w:r>
                        <w:rPr>
                          <w:rFonts w:hint="eastAsia"/>
                        </w:rPr>
                        <w:t>不合格</w:t>
                      </w:r>
                    </w:p>
                  </w:txbxContent>
                </v:textbox>
              </v:shape>
            </w:pict>
          </mc:Fallback>
        </mc:AlternateContent>
      </w:r>
      <w:r>
        <w:rPr>
          <w:sz w:val="28"/>
        </w:rPr>
        <mc:AlternateContent>
          <mc:Choice Requires="wps">
            <w:drawing>
              <wp:anchor distT="0" distB="0" distL="114300" distR="114300" simplePos="0" relativeHeight="251694080" behindDoc="0" locked="0" layoutInCell="1" allowOverlap="1">
                <wp:simplePos x="0" y="0"/>
                <wp:positionH relativeFrom="column">
                  <wp:posOffset>2903855</wp:posOffset>
                </wp:positionH>
                <wp:positionV relativeFrom="paragraph">
                  <wp:posOffset>4692015</wp:posOffset>
                </wp:positionV>
                <wp:extent cx="0" cy="388620"/>
                <wp:effectExtent l="48895" t="0" r="65405" b="11430"/>
                <wp:wrapNone/>
                <wp:docPr id="49" name="直接箭头连接符 49"/>
                <wp:cNvGraphicFramePr/>
                <a:graphic xmlns:a="http://schemas.openxmlformats.org/drawingml/2006/main">
                  <a:graphicData uri="http://schemas.microsoft.com/office/word/2010/wordprocessingShape">
                    <wps:wsp xmlns:wps="http://schemas.microsoft.com/office/word/2010/wordprocessingShape">
                      <wps:cNvCnPr/>
                      <wps:spPr>
                        <a:xfrm>
                          <a:off x="0" y="0"/>
                          <a:ext cx="0" cy="38862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直接箭头连接符 49" o:spid="_x0000_s1029" type="#_x0000_t32" style="width:0;height:30.6pt;margin-top:369.45pt;margin-left:228.65pt;mso-wrap-distance-bottom:0;mso-wrap-distance-left:9pt;mso-wrap-distance-right:9pt;mso-wrap-distance-top:0;position:absolute;v-text-anchor:top;z-index:251693056" fillcolor="this" stroked="t" strokecolor="black" strokeweight="0.5pt">
                <v:stroke endarrow="open"/>
              </v:shape>
            </w:pict>
          </mc:Fallback>
        </mc:AlternateContent>
      </w:r>
      <w:r>
        <w:rPr>
          <w:sz w:val="28"/>
        </w:rPr>
        <mc:AlternateContent>
          <mc:Choice Requires="wps">
            <w:drawing>
              <wp:anchor distT="0" distB="0" distL="114300" distR="114300" simplePos="0" relativeHeight="251692032" behindDoc="0" locked="0" layoutInCell="1" allowOverlap="1">
                <wp:simplePos x="0" y="0"/>
                <wp:positionH relativeFrom="column">
                  <wp:posOffset>1124585</wp:posOffset>
                </wp:positionH>
                <wp:positionV relativeFrom="paragraph">
                  <wp:posOffset>3427095</wp:posOffset>
                </wp:positionV>
                <wp:extent cx="594360" cy="0"/>
                <wp:effectExtent l="0" t="48895" r="15240" b="65405"/>
                <wp:wrapNone/>
                <wp:docPr id="50" name="直接箭头连接符 50"/>
                <wp:cNvGraphicFramePr/>
                <a:graphic xmlns:a="http://schemas.openxmlformats.org/drawingml/2006/main">
                  <a:graphicData uri="http://schemas.microsoft.com/office/word/2010/wordprocessingShape">
                    <wps:wsp xmlns:wps="http://schemas.microsoft.com/office/word/2010/wordprocessingShape">
                      <wps:cNvCnPr/>
                      <wps:spPr>
                        <a:xfrm flipH="1">
                          <a:off x="2267585" y="6052185"/>
                          <a:ext cx="594360" cy="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直接箭头连接符 50" o:spid="_x0000_s1030" type="#_x0000_t32" style="width:46.8pt;height:0;margin-top:269.85pt;margin-left:88.55pt;flip:x;mso-wrap-distance-bottom:0;mso-wrap-distance-left:9pt;mso-wrap-distance-right:9pt;mso-wrap-distance-top:0;position:absolute;v-text-anchor:top;z-index:251691008" fillcolor="this" stroked="t" strokecolor="black" strokeweight="0.5pt">
                <v:stroke endarrow="open"/>
              </v:shape>
            </w:pict>
          </mc:Fallback>
        </mc:AlternateContent>
      </w:r>
      <w:r>
        <w:rPr>
          <w:sz w:val="28"/>
        </w:rPr>
        <mc:AlternateContent>
          <mc:Choice Requires="wps">
            <w:drawing>
              <wp:anchor distT="0" distB="0" distL="114300" distR="114300" simplePos="0" relativeHeight="251661312" behindDoc="0" locked="0" layoutInCell="1" allowOverlap="1">
                <wp:simplePos x="0" y="0"/>
                <wp:positionH relativeFrom="column">
                  <wp:posOffset>-216535</wp:posOffset>
                </wp:positionH>
                <wp:positionV relativeFrom="paragraph">
                  <wp:posOffset>3099435</wp:posOffset>
                </wp:positionV>
                <wp:extent cx="1289050" cy="678180"/>
                <wp:effectExtent l="6350" t="6350" r="19050" b="20320"/>
                <wp:wrapNone/>
                <wp:docPr id="51" name="矩形 51"/>
                <wp:cNvGraphicFramePr/>
                <a:graphic xmlns:a="http://schemas.openxmlformats.org/drawingml/2006/main">
                  <a:graphicData uri="http://schemas.microsoft.com/office/word/2010/wordprocessingShape">
                    <wps:wsp xmlns:wps="http://schemas.microsoft.com/office/word/2010/wordprocessingShape">
                      <wps:cNvSpPr/>
                      <wps:spPr>
                        <a:xfrm>
                          <a:off x="0" y="0"/>
                          <a:ext cx="1289050" cy="678180"/>
                        </a:xfrm>
                        <a:prstGeom prst="rect">
                          <a:avLst/>
                        </a:prstGeom>
                      </wps:spPr>
                      <wps:style>
                        <a:lnRef idx="2">
                          <a:schemeClr val="accent6"/>
                        </a:lnRef>
                        <a:fillRef idx="1">
                          <a:schemeClr val="lt1"/>
                        </a:fillRef>
                        <a:effectRef idx="0">
                          <a:schemeClr val="accent6"/>
                        </a:effectRef>
                        <a:fontRef idx="minor">
                          <a:schemeClr val="dk1"/>
                        </a:fontRef>
                      </wps:style>
                      <wps:txbx>
                        <w:txbxContent>
                          <w:p>
                            <w:pPr>
                              <w:jc w:val="center"/>
                              <w:rPr>
                                <w:rFonts w:ascii="新宋体" w:eastAsia="新宋体" w:hAnsi="新宋体" w:cs="新宋体"/>
                                <w:szCs w:val="21"/>
                              </w:rPr>
                            </w:pPr>
                            <w:r>
                              <w:rPr>
                                <w:rFonts w:ascii="新宋体" w:eastAsia="新宋体" w:hAnsi="新宋体" w:cs="新宋体" w:hint="eastAsia"/>
                                <w:szCs w:val="21"/>
                              </w:rPr>
                              <w:t>材料退场</w:t>
                            </w:r>
                          </w:p>
                        </w:txbxContent>
                      </wps:txbx>
                      <wps:bodyPr rot="0" spcFirstLastPara="0" vertOverflow="overflow" horzOverflow="overflow" vert="horz" wrap="square" lIns="91440" tIns="45720" rIns="91440" bIns="45720" numCol="1" spcCol="0" rtlCol="0" fromWordArt="0" anchor="ctr" anchorCtr="0" forceAA="0" compatLnSpc="1"/>
                    </wps:wsp>
                  </a:graphicData>
                </a:graphic>
              </wp:anchor>
            </w:drawing>
          </mc:Choice>
          <mc:Fallback>
            <w:pict>
              <v:shape id="矩形 51" o:spid="_x0000_s1031" type="#_x0000_t202" style="width:101.5pt;height:53.4pt;margin-top:244.05pt;margin-left:-17.05pt;mso-wrap-distance-bottom:0;mso-wrap-distance-left:9pt;mso-wrap-distance-right:9pt;mso-wrap-distance-top:0;position:absolute;v-text-anchor:middle;z-index:251660288" fillcolor="white" stroked="t" strokecolor="#70ad47" strokeweight="1pt">
                <v:textbox>
                  <w:txbxContent>
                    <w:p>
                      <w:pPr>
                        <w:jc w:val="center"/>
                        <w:rPr>
                          <w:rFonts w:ascii="新宋体" w:eastAsia="新宋体" w:hAnsi="新宋体" w:cs="新宋体"/>
                          <w:szCs w:val="21"/>
                        </w:rPr>
                      </w:pPr>
                      <w:r>
                        <w:rPr>
                          <w:rFonts w:ascii="新宋体" w:eastAsia="新宋体" w:hAnsi="新宋体" w:cs="新宋体" w:hint="eastAsia"/>
                          <w:szCs w:val="21"/>
                        </w:rPr>
                        <w:t>材料退场</w:t>
                      </w:r>
                    </w:p>
                  </w:txbxContent>
                </v:textbox>
              </v:shape>
            </w:pict>
          </mc:Fallback>
        </mc:AlternateContent>
      </w:r>
      <w:r>
        <w:rPr>
          <w:sz w:val="28"/>
        </w:rPr>
        <mc:AlternateContent>
          <mc:Choice Requires="wps">
            <w:drawing>
              <wp:anchor distT="0" distB="0" distL="114300" distR="114300" simplePos="0" relativeHeight="251689984" behindDoc="0" locked="0" layoutInCell="1" allowOverlap="1">
                <wp:simplePos x="0" y="0"/>
                <wp:positionH relativeFrom="column">
                  <wp:posOffset>2926715</wp:posOffset>
                </wp:positionH>
                <wp:positionV relativeFrom="paragraph">
                  <wp:posOffset>3716655</wp:posOffset>
                </wp:positionV>
                <wp:extent cx="0" cy="388620"/>
                <wp:effectExtent l="48895" t="0" r="65405" b="11430"/>
                <wp:wrapNone/>
                <wp:docPr id="52" name="直接箭头连接符 52"/>
                <wp:cNvGraphicFramePr/>
                <a:graphic xmlns:a="http://schemas.openxmlformats.org/drawingml/2006/main">
                  <a:graphicData uri="http://schemas.microsoft.com/office/word/2010/wordprocessingShape">
                    <wps:wsp xmlns:wps="http://schemas.microsoft.com/office/word/2010/wordprocessingShape">
                      <wps:cNvCnPr/>
                      <wps:spPr>
                        <a:xfrm>
                          <a:off x="0" y="0"/>
                          <a:ext cx="0" cy="38862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直接箭头连接符 52" o:spid="_x0000_s1032" type="#_x0000_t32" style="width:0;height:30.6pt;margin-top:292.65pt;margin-left:230.45pt;mso-wrap-distance-bottom:0;mso-wrap-distance-left:9pt;mso-wrap-distance-right:9pt;mso-wrap-distance-top:0;position:absolute;v-text-anchor:top;z-index:251688960" fillcolor="this" stroked="t" strokecolor="black" strokeweight="0.5pt">
                <v:stroke endarrow="open"/>
              </v:shape>
            </w:pict>
          </mc:Fallback>
        </mc:AlternateContent>
      </w:r>
      <w:r>
        <w:rPr>
          <w:sz w:val="28"/>
        </w:rPr>
        <mc:AlternateContent>
          <mc:Choice Requires="wps">
            <w:drawing>
              <wp:anchor distT="0" distB="0" distL="114300" distR="114300" simplePos="0" relativeHeight="251687936" behindDoc="0" locked="0" layoutInCell="1" allowOverlap="1">
                <wp:simplePos x="0" y="0"/>
                <wp:positionH relativeFrom="column">
                  <wp:posOffset>2949575</wp:posOffset>
                </wp:positionH>
                <wp:positionV relativeFrom="paragraph">
                  <wp:posOffset>2718435</wp:posOffset>
                </wp:positionV>
                <wp:extent cx="0" cy="388620"/>
                <wp:effectExtent l="48895" t="0" r="65405" b="11430"/>
                <wp:wrapNone/>
                <wp:docPr id="53" name="直接箭头连接符 53"/>
                <wp:cNvGraphicFramePr/>
                <a:graphic xmlns:a="http://schemas.openxmlformats.org/drawingml/2006/main">
                  <a:graphicData uri="http://schemas.microsoft.com/office/word/2010/wordprocessingShape">
                    <wps:wsp xmlns:wps="http://schemas.microsoft.com/office/word/2010/wordprocessingShape">
                      <wps:cNvCnPr/>
                      <wps:spPr>
                        <a:xfrm>
                          <a:off x="0" y="0"/>
                          <a:ext cx="0" cy="38862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直接箭头连接符 53" o:spid="_x0000_s1033" type="#_x0000_t32" style="width:0;height:30.6pt;margin-top:214.05pt;margin-left:232.25pt;mso-wrap-distance-bottom:0;mso-wrap-distance-left:9pt;mso-wrap-distance-right:9pt;mso-wrap-distance-top:0;position:absolute;v-text-anchor:top;z-index:251686912" fillcolor="this" stroked="t" strokecolor="black" strokeweight="0.5pt">
                <v:stroke endarrow="open"/>
              </v:shape>
            </w:pict>
          </mc:Fallback>
        </mc:AlternateContent>
      </w:r>
      <w:r>
        <w:rPr>
          <w:sz w:val="28"/>
        </w:rPr>
        <mc:AlternateContent>
          <mc:Choice Requires="wps">
            <w:drawing>
              <wp:anchor distT="0" distB="0" distL="114300" distR="114300" simplePos="0" relativeHeight="251677696" behindDoc="0" locked="0" layoutInCell="1" allowOverlap="1">
                <wp:simplePos x="0" y="0"/>
                <wp:positionH relativeFrom="column">
                  <wp:posOffset>2957195</wp:posOffset>
                </wp:positionH>
                <wp:positionV relativeFrom="paragraph">
                  <wp:posOffset>737235</wp:posOffset>
                </wp:positionV>
                <wp:extent cx="0" cy="388620"/>
                <wp:effectExtent l="48895" t="0" r="65405" b="11430"/>
                <wp:wrapNone/>
                <wp:docPr id="54" name="直接箭头连接符 54"/>
                <wp:cNvGraphicFramePr/>
                <a:graphic xmlns:a="http://schemas.openxmlformats.org/drawingml/2006/main">
                  <a:graphicData uri="http://schemas.microsoft.com/office/word/2010/wordprocessingShape">
                    <wps:wsp xmlns:wps="http://schemas.microsoft.com/office/word/2010/wordprocessingShape">
                      <wps:cNvCnPr/>
                      <wps:spPr>
                        <a:xfrm>
                          <a:off x="4176395" y="3362325"/>
                          <a:ext cx="0" cy="38862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直接箭头连接符 54" o:spid="_x0000_s1034" type="#_x0000_t32" style="width:0;height:30.6pt;margin-top:58.05pt;margin-left:232.85pt;mso-wrap-distance-bottom:0;mso-wrap-distance-left:9pt;mso-wrap-distance-right:9pt;mso-wrap-distance-top:0;position:absolute;v-text-anchor:top;z-index:251676672" fillcolor="this" stroked="t" strokecolor="black" strokeweight="0.5pt">
                <v:stroke endarrow="open"/>
              </v:shape>
            </w:pict>
          </mc:Fallback>
        </mc:AlternateContent>
      </w:r>
      <w:r>
        <w:rPr>
          <w:sz w:val="28"/>
        </w:rPr>
        <mc:AlternateContent>
          <mc:Choice Requires="wps">
            <w:drawing>
              <wp:anchor distT="0" distB="0" distL="114300" distR="114300" simplePos="0" relativeHeight="251685888" behindDoc="0" locked="0" layoutInCell="1" allowOverlap="1">
                <wp:simplePos x="0" y="0"/>
                <wp:positionH relativeFrom="column">
                  <wp:posOffset>2964815</wp:posOffset>
                </wp:positionH>
                <wp:positionV relativeFrom="paragraph">
                  <wp:posOffset>1750695</wp:posOffset>
                </wp:positionV>
                <wp:extent cx="0" cy="388620"/>
                <wp:effectExtent l="48895" t="0" r="65405" b="11430"/>
                <wp:wrapNone/>
                <wp:docPr id="55" name="直接箭头连接符 55"/>
                <wp:cNvGraphicFramePr/>
                <a:graphic xmlns:a="http://schemas.openxmlformats.org/drawingml/2006/main">
                  <a:graphicData uri="http://schemas.microsoft.com/office/word/2010/wordprocessingShape">
                    <wps:wsp xmlns:wps="http://schemas.microsoft.com/office/word/2010/wordprocessingShape">
                      <wps:cNvCnPr/>
                      <wps:spPr>
                        <a:xfrm>
                          <a:off x="0" y="0"/>
                          <a:ext cx="0" cy="38862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直接箭头连接符 55" o:spid="_x0000_s1035" type="#_x0000_t32" style="width:0;height:30.6pt;margin-top:137.85pt;margin-left:233.45pt;mso-wrap-distance-bottom:0;mso-wrap-distance-left:9pt;mso-wrap-distance-right:9pt;mso-wrap-distance-top:0;position:absolute;v-text-anchor:top;z-index:251684864" fillcolor="this" stroked="t" strokecolor="black" strokeweight="0.5pt">
                <v:stroke endarrow="open"/>
              </v:shape>
            </w:pict>
          </mc:Fallback>
        </mc:AlternateContent>
      </w:r>
      <w:r>
        <w:rPr>
          <w:sz w:val="28"/>
        </w:rPr>
        <mc:AlternateContent>
          <mc:Choice Requires="wps">
            <w:drawing>
              <wp:anchor distT="0" distB="0" distL="114300" distR="114300" simplePos="0" relativeHeight="251683840" behindDoc="0" locked="0" layoutInCell="1" allowOverlap="1">
                <wp:simplePos x="0" y="0"/>
                <wp:positionH relativeFrom="column">
                  <wp:posOffset>1108710</wp:posOffset>
                </wp:positionH>
                <wp:positionV relativeFrom="paragraph">
                  <wp:posOffset>2416810</wp:posOffset>
                </wp:positionV>
                <wp:extent cx="579755" cy="4445"/>
                <wp:effectExtent l="0" t="45085" r="10795" b="64770"/>
                <wp:wrapNone/>
                <wp:docPr id="56" name="直接箭头连接符 56"/>
                <wp:cNvGraphicFramePr/>
                <a:graphic xmlns:a="http://schemas.openxmlformats.org/drawingml/2006/main">
                  <a:graphicData uri="http://schemas.microsoft.com/office/word/2010/wordprocessingShape">
                    <wps:wsp xmlns:wps="http://schemas.microsoft.com/office/word/2010/wordprocessingShape">
                      <wps:cNvCnPr/>
                      <wps:spPr>
                        <a:xfrm>
                          <a:off x="2251710" y="5041900"/>
                          <a:ext cx="579755" cy="4445"/>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直接箭头连接符 56" o:spid="_x0000_s1036" type="#_x0000_t32" style="width:45.65pt;height:0.35pt;margin-top:190.3pt;margin-left:87.3pt;mso-wrap-distance-bottom:0;mso-wrap-distance-left:9pt;mso-wrap-distance-right:9pt;mso-wrap-distance-top:0;position:absolute;v-text-anchor:top;z-index:251682816" fillcolor="this" stroked="t" strokecolor="black" strokeweight="0.5pt">
                <v:stroke endarrow="open"/>
              </v:shape>
            </w:pict>
          </mc:Fallback>
        </mc:AlternateContent>
      </w:r>
      <w:r>
        <w:rPr>
          <w:sz w:val="28"/>
        </w:rPr>
        <mc:AlternateContent>
          <mc:Choice Requires="wps">
            <w:drawing>
              <wp:anchor distT="0" distB="0" distL="114300" distR="114300" simplePos="0" relativeHeight="251681792" behindDoc="0" locked="0" layoutInCell="1" allowOverlap="1">
                <wp:simplePos x="0" y="0"/>
                <wp:positionH relativeFrom="column">
                  <wp:posOffset>446405</wp:posOffset>
                </wp:positionH>
                <wp:positionV relativeFrom="paragraph">
                  <wp:posOffset>1468755</wp:posOffset>
                </wp:positionV>
                <wp:extent cx="0" cy="464820"/>
                <wp:effectExtent l="48895" t="0" r="65405" b="11430"/>
                <wp:wrapNone/>
                <wp:docPr id="57" name="直接箭头连接符 57"/>
                <wp:cNvGraphicFramePr/>
                <a:graphic xmlns:a="http://schemas.openxmlformats.org/drawingml/2006/main">
                  <a:graphicData uri="http://schemas.microsoft.com/office/word/2010/wordprocessingShape">
                    <wps:wsp xmlns:wps="http://schemas.microsoft.com/office/word/2010/wordprocessingShape">
                      <wps:cNvCnPr/>
                      <wps:spPr>
                        <a:xfrm>
                          <a:off x="1589405" y="4139565"/>
                          <a:ext cx="0" cy="46482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直接箭头连接符 57" o:spid="_x0000_s1037" type="#_x0000_t32" style="width:0;height:36.6pt;margin-top:115.65pt;margin-left:35.15pt;mso-wrap-distance-bottom:0;mso-wrap-distance-left:9pt;mso-wrap-distance-right:9pt;mso-wrap-distance-top:0;position:absolute;v-text-anchor:top;z-index:251680768" fillcolor="this" stroked="t" strokecolor="black" strokeweight="0.5pt">
                <v:stroke endarrow="open"/>
              </v:shape>
            </w:pict>
          </mc:Fallback>
        </mc:AlternateContent>
      </w:r>
      <w:r>
        <w:rPr>
          <w:sz w:val="28"/>
        </w:rPr>
        <mc:AlternateContent>
          <mc:Choice Requires="wps">
            <w:drawing>
              <wp:anchor distT="0" distB="0" distL="114300" distR="114300" simplePos="0" relativeHeight="251679744" behindDoc="0" locked="0" layoutInCell="1" allowOverlap="1">
                <wp:simplePos x="0" y="0"/>
                <wp:positionH relativeFrom="column">
                  <wp:posOffset>446405</wp:posOffset>
                </wp:positionH>
                <wp:positionV relativeFrom="paragraph">
                  <wp:posOffset>1468755</wp:posOffset>
                </wp:positionV>
                <wp:extent cx="1264920" cy="0"/>
                <wp:effectExtent l="0" t="0" r="0" b="0"/>
                <wp:wrapNone/>
                <wp:docPr id="58" name="直接连接符 58"/>
                <wp:cNvGraphicFramePr/>
                <a:graphic xmlns:a="http://schemas.openxmlformats.org/drawingml/2006/main">
                  <a:graphicData uri="http://schemas.microsoft.com/office/word/2010/wordprocessingShape">
                    <wps:wsp xmlns:wps="http://schemas.microsoft.com/office/word/2010/wordprocessingShape">
                      <wps:cNvCnPr/>
                      <wps:spPr>
                        <a:xfrm flipH="1">
                          <a:off x="1589405" y="4093845"/>
                          <a:ext cx="126492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58" o:spid="_x0000_s1038" style="flip:x;mso-wrap-distance-bottom:0;mso-wrap-distance-left:9pt;mso-wrap-distance-right:9pt;mso-wrap-distance-top:0;position:absolute;v-text-anchor:top;z-index:251678720" from="35.15pt,115.65pt" to="134.75pt,115.65pt" fillcolor="this" stroked="t" strokecolor="black" strokeweight="0.5pt"/>
            </w:pict>
          </mc:Fallback>
        </mc:AlternateContent>
      </w:r>
      <w:r>
        <w:rPr>
          <w:sz w:val="28"/>
        </w:rPr>
        <mc:AlternateContent>
          <mc:Choice Requires="wps">
            <w:drawing>
              <wp:anchor distT="0" distB="0" distL="114300" distR="114300" simplePos="0" relativeHeight="251659264" behindDoc="1" locked="0" layoutInCell="1" allowOverlap="1">
                <wp:simplePos x="0" y="0"/>
                <wp:positionH relativeFrom="column">
                  <wp:posOffset>-247015</wp:posOffset>
                </wp:positionH>
                <wp:positionV relativeFrom="paragraph">
                  <wp:posOffset>1994535</wp:posOffset>
                </wp:positionV>
                <wp:extent cx="1355725" cy="843915"/>
                <wp:effectExtent l="6350" t="6350" r="9525" b="6985"/>
                <wp:wrapTight wrapText="bothSides">
                  <wp:wrapPolygon>
                    <wp:start x="-101" y="-163"/>
                    <wp:lineTo x="-101" y="21291"/>
                    <wp:lineTo x="21448" y="21291"/>
                    <wp:lineTo x="21448" y="-163"/>
                    <wp:lineTo x="-101" y="-163"/>
                  </wp:wrapPolygon>
                </wp:wrapTight>
                <wp:docPr id="59" name="矩形 59"/>
                <wp:cNvGraphicFramePr/>
                <a:graphic xmlns:a="http://schemas.openxmlformats.org/drawingml/2006/main">
                  <a:graphicData uri="http://schemas.microsoft.com/office/word/2010/wordprocessingShape">
                    <wps:wsp xmlns:wps="http://schemas.microsoft.com/office/word/2010/wordprocessingShape">
                      <wps:cNvSpPr/>
                      <wps:spPr>
                        <a:xfrm>
                          <a:off x="1185545" y="3377565"/>
                          <a:ext cx="1355725" cy="843915"/>
                        </a:xfrm>
                        <a:prstGeom prst="rect">
                          <a:avLst/>
                        </a:prstGeom>
                      </wps:spPr>
                      <wps:style>
                        <a:lnRef idx="2">
                          <a:schemeClr val="accent6"/>
                        </a:lnRef>
                        <a:fillRef idx="1">
                          <a:schemeClr val="lt1"/>
                        </a:fillRef>
                        <a:effectRef idx="0">
                          <a:schemeClr val="accent6"/>
                        </a:effectRef>
                        <a:fontRef idx="minor">
                          <a:schemeClr val="dk1"/>
                        </a:fontRef>
                      </wps:style>
                      <wps:txbx>
                        <w:txbxContent>
                          <w:p>
                            <w:pPr>
                              <w:jc w:val="center"/>
                              <w:rPr>
                                <w:rFonts w:ascii="新宋体" w:eastAsia="新宋体" w:hAnsi="新宋体" w:cs="新宋体"/>
                                <w:szCs w:val="21"/>
                              </w:rPr>
                            </w:pPr>
                            <w:r>
                              <w:rPr>
                                <w:rFonts w:ascii="新宋体" w:eastAsia="新宋体" w:hAnsi="新宋体" w:cs="新宋体" w:hint="eastAsia"/>
                                <w:szCs w:val="21"/>
                              </w:rPr>
                              <w:t>材料封样相关人一起封样确认</w:t>
                            </w:r>
                          </w:p>
                        </w:txbxContent>
                      </wps:txbx>
                      <wps:bodyPr rot="0" spcFirstLastPara="0" vertOverflow="overflow" horzOverflow="overflow" vert="horz" wrap="square" lIns="91440" tIns="45720" rIns="91440" bIns="45720" numCol="1" spcCol="0" rtlCol="0" fromWordArt="0" anchor="ctr" anchorCtr="0" forceAA="0" compatLnSpc="1"/>
                    </wps:wsp>
                  </a:graphicData>
                </a:graphic>
              </wp:anchor>
            </w:drawing>
          </mc:Choice>
          <mc:Fallback>
            <w:pict>
              <v:shape id="矩形 59" o:spid="_x0000_s1039" type="#_x0000_t202" style="width:106.75pt;height:66.45pt;margin-top:157.05pt;margin-left:-19.45pt;mso-wrap-distance-bottom:0;mso-wrap-distance-left:9pt;mso-wrap-distance-right:9pt;mso-wrap-distance-top:0;position:absolute;v-text-anchor:middle;z-index:-251658240" wrapcoords="-101 -163 -101 21291 21448 21291 21448 -163" fillcolor="white" stroked="t" strokecolor="#70ad47" strokeweight="1pt">
                <v:textbox>
                  <w:txbxContent>
                    <w:p>
                      <w:pPr>
                        <w:jc w:val="center"/>
                        <w:rPr>
                          <w:rFonts w:ascii="新宋体" w:eastAsia="新宋体" w:hAnsi="新宋体" w:cs="新宋体"/>
                          <w:szCs w:val="21"/>
                        </w:rPr>
                      </w:pPr>
                      <w:r>
                        <w:rPr>
                          <w:rFonts w:ascii="新宋体" w:eastAsia="新宋体" w:hAnsi="新宋体" w:cs="新宋体" w:hint="eastAsia"/>
                          <w:szCs w:val="21"/>
                        </w:rPr>
                        <w:t>材料封样相关人一起封样确认</w:t>
                      </w:r>
                    </w:p>
                  </w:txbxContent>
                </v:textbox>
                <w10:wrap type="tight"/>
              </v:shape>
            </w:pict>
          </mc:Fallback>
        </mc:AlternateContent>
      </w:r>
      <w:r>
        <w:rPr>
          <w:sz w:val="28"/>
        </w:rPr>
        <mc:AlternateContent>
          <mc:Choice Requires="wps">
            <w:drawing>
              <wp:anchor distT="0" distB="0" distL="114300" distR="114300" simplePos="0" relativeHeight="251675648" behindDoc="0" locked="0" layoutInCell="1" allowOverlap="1">
                <wp:simplePos x="0" y="0"/>
                <wp:positionH relativeFrom="column">
                  <wp:posOffset>1726565</wp:posOffset>
                </wp:positionH>
                <wp:positionV relativeFrom="paragraph">
                  <wp:posOffset>5172075</wp:posOffset>
                </wp:positionV>
                <wp:extent cx="2628900" cy="594360"/>
                <wp:effectExtent l="6350" t="6350" r="12700" b="8890"/>
                <wp:wrapNone/>
                <wp:docPr id="60" name="矩形 60"/>
                <wp:cNvGraphicFramePr/>
                <a:graphic xmlns:a="http://schemas.openxmlformats.org/drawingml/2006/main">
                  <a:graphicData uri="http://schemas.microsoft.com/office/word/2010/wordprocessingShape">
                    <wps:wsp xmlns:wps="http://schemas.microsoft.com/office/word/2010/wordprocessingShape">
                      <wps:cNvSpPr/>
                      <wps:spPr>
                        <a:xfrm>
                          <a:off x="0" y="0"/>
                          <a:ext cx="2628900" cy="594360"/>
                        </a:xfrm>
                        <a:prstGeom prst="rect">
                          <a:avLst/>
                        </a:prstGeom>
                      </wps:spPr>
                      <wps:style>
                        <a:lnRef idx="2">
                          <a:schemeClr val="accent6"/>
                        </a:lnRef>
                        <a:fillRef idx="1">
                          <a:schemeClr val="lt1"/>
                        </a:fillRef>
                        <a:effectRef idx="0">
                          <a:schemeClr val="accent6"/>
                        </a:effectRef>
                        <a:fontRef idx="minor">
                          <a:schemeClr val="dk1"/>
                        </a:fontRef>
                      </wps:style>
                      <wps:txbx>
                        <w:txbxContent>
                          <w:p>
                            <w:pPr>
                              <w:jc w:val="center"/>
                              <w:rPr>
                                <w:rFonts w:ascii="新宋体" w:eastAsia="新宋体" w:hAnsi="新宋体" w:cs="新宋体"/>
                                <w:szCs w:val="21"/>
                              </w:rPr>
                            </w:pPr>
                            <w:r>
                              <w:rPr>
                                <w:rFonts w:ascii="新宋体" w:eastAsia="新宋体" w:hAnsi="新宋体" w:cs="新宋体" w:hint="eastAsia"/>
                                <w:szCs w:val="21"/>
                              </w:rPr>
                              <w:t>承包单位使用</w:t>
                            </w:r>
                          </w:p>
                        </w:txbxContent>
                      </wps:txbx>
                      <wps:bodyPr rot="0" spcFirstLastPara="0" vertOverflow="overflow" horzOverflow="overflow" vert="horz" wrap="square" lIns="91440" tIns="45720" rIns="91440" bIns="45720" numCol="1" spcCol="0" rtlCol="0" fromWordArt="0" anchor="ctr" anchorCtr="0" forceAA="0" compatLnSpc="1"/>
                    </wps:wsp>
                  </a:graphicData>
                </a:graphic>
              </wp:anchor>
            </w:drawing>
          </mc:Choice>
          <mc:Fallback>
            <w:pict>
              <v:shape id="矩形 60" o:spid="_x0000_s1040" type="#_x0000_t202" style="width:207pt;height:46.8pt;margin-top:407.25pt;margin-left:135.95pt;mso-wrap-distance-bottom:0;mso-wrap-distance-left:9pt;mso-wrap-distance-right:9pt;mso-wrap-distance-top:0;position:absolute;v-text-anchor:middle;z-index:251674624" fillcolor="white" stroked="t" strokecolor="#70ad47" strokeweight="1pt">
                <v:textbox>
                  <w:txbxContent>
                    <w:p>
                      <w:pPr>
                        <w:jc w:val="center"/>
                        <w:rPr>
                          <w:rFonts w:ascii="新宋体" w:eastAsia="新宋体" w:hAnsi="新宋体" w:cs="新宋体"/>
                          <w:szCs w:val="21"/>
                        </w:rPr>
                      </w:pPr>
                      <w:r>
                        <w:rPr>
                          <w:rFonts w:ascii="新宋体" w:eastAsia="新宋体" w:hAnsi="新宋体" w:cs="新宋体" w:hint="eastAsia"/>
                          <w:szCs w:val="21"/>
                        </w:rPr>
                        <w:t>承包单位使用</w:t>
                      </w:r>
                    </w:p>
                  </w:txbxContent>
                </v:textbox>
              </v:shape>
            </w:pict>
          </mc:Fallback>
        </mc:AlternateContent>
      </w:r>
      <w:r>
        <w:rPr>
          <w:sz w:val="28"/>
        </w:rPr>
        <mc:AlternateContent>
          <mc:Choice Requires="wps">
            <w:drawing>
              <wp:anchor distT="0" distB="0" distL="114300" distR="114300" simplePos="0" relativeHeight="251673600" behindDoc="0" locked="0" layoutInCell="1" allowOverlap="1">
                <wp:simplePos x="0" y="0"/>
                <wp:positionH relativeFrom="column">
                  <wp:posOffset>4904105</wp:posOffset>
                </wp:positionH>
                <wp:positionV relativeFrom="paragraph">
                  <wp:posOffset>3015615</wp:posOffset>
                </wp:positionV>
                <wp:extent cx="1273810" cy="784860"/>
                <wp:effectExtent l="6350" t="6350" r="15240" b="8890"/>
                <wp:wrapNone/>
                <wp:docPr id="61" name="矩形 61"/>
                <wp:cNvGraphicFramePr/>
                <a:graphic xmlns:a="http://schemas.openxmlformats.org/drawingml/2006/main">
                  <a:graphicData uri="http://schemas.microsoft.com/office/word/2010/wordprocessingShape">
                    <wps:wsp xmlns:wps="http://schemas.microsoft.com/office/word/2010/wordprocessingShape">
                      <wps:cNvSpPr/>
                      <wps:spPr>
                        <a:xfrm>
                          <a:off x="0" y="0"/>
                          <a:ext cx="1273810" cy="784860"/>
                        </a:xfrm>
                        <a:prstGeom prst="rect">
                          <a:avLst/>
                        </a:prstGeom>
                      </wps:spPr>
                      <wps:style>
                        <a:lnRef idx="2">
                          <a:schemeClr val="accent6"/>
                        </a:lnRef>
                        <a:fillRef idx="1">
                          <a:schemeClr val="lt1"/>
                        </a:fillRef>
                        <a:effectRef idx="0">
                          <a:schemeClr val="accent6"/>
                        </a:effectRef>
                        <a:fontRef idx="minor">
                          <a:schemeClr val="dk1"/>
                        </a:fontRef>
                      </wps:style>
                      <wps:txbx>
                        <w:txbxContent>
                          <w:p>
                            <w:pPr>
                              <w:jc w:val="center"/>
                              <w:rPr>
                                <w:rFonts w:ascii="新宋体" w:eastAsia="新宋体" w:hAnsi="新宋体" w:cs="新宋体"/>
                                <w:szCs w:val="21"/>
                              </w:rPr>
                            </w:pPr>
                            <w:r>
                              <w:rPr>
                                <w:rFonts w:ascii="新宋体" w:eastAsia="新宋体" w:hAnsi="新宋体" w:cs="新宋体" w:hint="eastAsia"/>
                                <w:szCs w:val="21"/>
                              </w:rPr>
                              <w:t>方法：审核证明材料，进场材料进行检验验证</w:t>
                            </w:r>
                          </w:p>
                        </w:txbxContent>
                      </wps:txbx>
                      <wps:bodyPr rot="0" spcFirstLastPara="0" vertOverflow="overflow" horzOverflow="overflow" vert="horz" wrap="square" lIns="91440" tIns="45720" rIns="91440" bIns="45720" numCol="1" spcCol="0" rtlCol="0" fromWordArt="0" anchor="ctr" anchorCtr="0" forceAA="0" compatLnSpc="1"/>
                    </wps:wsp>
                  </a:graphicData>
                </a:graphic>
              </wp:anchor>
            </w:drawing>
          </mc:Choice>
          <mc:Fallback>
            <w:pict>
              <v:shape id="矩形 61" o:spid="_x0000_s1041" type="#_x0000_t202" style="width:100.3pt;height:61.8pt;margin-top:237.45pt;margin-left:386.15pt;mso-wrap-distance-bottom:0;mso-wrap-distance-left:9pt;mso-wrap-distance-right:9pt;mso-wrap-distance-top:0;position:absolute;v-text-anchor:middle;z-index:251672576" fillcolor="white" stroked="t" strokecolor="#70ad47" strokeweight="1pt">
                <v:textbox>
                  <w:txbxContent>
                    <w:p>
                      <w:pPr>
                        <w:jc w:val="center"/>
                        <w:rPr>
                          <w:rFonts w:ascii="新宋体" w:eastAsia="新宋体" w:hAnsi="新宋体" w:cs="新宋体"/>
                          <w:szCs w:val="21"/>
                        </w:rPr>
                      </w:pPr>
                      <w:r>
                        <w:rPr>
                          <w:rFonts w:ascii="新宋体" w:eastAsia="新宋体" w:hAnsi="新宋体" w:cs="新宋体" w:hint="eastAsia"/>
                          <w:szCs w:val="21"/>
                        </w:rPr>
                        <w:t>方法：审核证明材料，进场材料进行检验验证</w:t>
                      </w:r>
                    </w:p>
                  </w:txbxContent>
                </v:textbox>
              </v:shape>
            </w:pict>
          </mc:Fallback>
        </mc:AlternateContent>
      </w:r>
      <w:r>
        <w:rPr>
          <w:sz w:val="28"/>
        </w:rPr>
        <mc:AlternateContent>
          <mc:Choice Requires="wps">
            <w:drawing>
              <wp:anchor distT="0" distB="0" distL="114300" distR="114300" simplePos="0" relativeHeight="251671552" behindDoc="0" locked="0" layoutInCell="1" allowOverlap="1">
                <wp:simplePos x="0" y="0"/>
                <wp:positionH relativeFrom="column">
                  <wp:posOffset>1757045</wp:posOffset>
                </wp:positionH>
                <wp:positionV relativeFrom="paragraph">
                  <wp:posOffset>4082415</wp:posOffset>
                </wp:positionV>
                <wp:extent cx="2628900" cy="594360"/>
                <wp:effectExtent l="6350" t="6350" r="12700" b="8890"/>
                <wp:wrapNone/>
                <wp:docPr id="62" name="矩形 62"/>
                <wp:cNvGraphicFramePr/>
                <a:graphic xmlns:a="http://schemas.openxmlformats.org/drawingml/2006/main">
                  <a:graphicData uri="http://schemas.microsoft.com/office/word/2010/wordprocessingShape">
                    <wps:wsp xmlns:wps="http://schemas.microsoft.com/office/word/2010/wordprocessingShape">
                      <wps:cNvSpPr/>
                      <wps:spPr>
                        <a:xfrm>
                          <a:off x="0" y="0"/>
                          <a:ext cx="2628900" cy="594360"/>
                        </a:xfrm>
                        <a:prstGeom prst="rect">
                          <a:avLst/>
                        </a:prstGeom>
                      </wps:spPr>
                      <wps:style>
                        <a:lnRef idx="2">
                          <a:schemeClr val="accent6"/>
                        </a:lnRef>
                        <a:fillRef idx="1">
                          <a:schemeClr val="lt1"/>
                        </a:fillRef>
                        <a:effectRef idx="0">
                          <a:schemeClr val="accent6"/>
                        </a:effectRef>
                        <a:fontRef idx="minor">
                          <a:schemeClr val="dk1"/>
                        </a:fontRef>
                      </wps:style>
                      <wps:txbx>
                        <w:txbxContent>
                          <w:p>
                            <w:pPr>
                              <w:jc w:val="center"/>
                              <w:rPr>
                                <w:rFonts w:ascii="新宋体" w:eastAsia="新宋体" w:hAnsi="新宋体" w:cs="新宋体"/>
                                <w:szCs w:val="21"/>
                              </w:rPr>
                            </w:pPr>
                            <w:r>
                              <w:rPr>
                                <w:rFonts w:ascii="新宋体" w:eastAsia="新宋体" w:hAnsi="新宋体" w:cs="新宋体" w:hint="eastAsia"/>
                                <w:szCs w:val="21"/>
                              </w:rPr>
                              <w:t>承包单位填写《工程材料进场报验单》</w:t>
                            </w:r>
                          </w:p>
                        </w:txbxContent>
                      </wps:txbx>
                      <wps:bodyPr rot="0" spcFirstLastPara="0" vertOverflow="overflow" horzOverflow="overflow" vert="horz" wrap="square" lIns="91440" tIns="45720" rIns="91440" bIns="45720" numCol="1" spcCol="0" rtlCol="0" fromWordArt="0" anchor="ctr" anchorCtr="0" forceAA="0" compatLnSpc="1"/>
                    </wps:wsp>
                  </a:graphicData>
                </a:graphic>
              </wp:anchor>
            </w:drawing>
          </mc:Choice>
          <mc:Fallback>
            <w:pict>
              <v:shape id="矩形 62" o:spid="_x0000_s1042" type="#_x0000_t202" style="width:207pt;height:46.8pt;margin-top:321.45pt;margin-left:138.35pt;mso-wrap-distance-bottom:0;mso-wrap-distance-left:9pt;mso-wrap-distance-right:9pt;mso-wrap-distance-top:0;position:absolute;v-text-anchor:middle;z-index:251670528" fillcolor="white" stroked="t" strokecolor="#70ad47" strokeweight="1pt">
                <v:textbox>
                  <w:txbxContent>
                    <w:p>
                      <w:pPr>
                        <w:jc w:val="center"/>
                        <w:rPr>
                          <w:rFonts w:ascii="新宋体" w:eastAsia="新宋体" w:hAnsi="新宋体" w:cs="新宋体"/>
                          <w:szCs w:val="21"/>
                        </w:rPr>
                      </w:pPr>
                      <w:r>
                        <w:rPr>
                          <w:rFonts w:ascii="新宋体" w:eastAsia="新宋体" w:hAnsi="新宋体" w:cs="新宋体" w:hint="eastAsia"/>
                          <w:szCs w:val="21"/>
                        </w:rPr>
                        <w:t>承包单位填写《工程材料进场报验单》</w:t>
                      </w:r>
                    </w:p>
                  </w:txbxContent>
                </v:textbox>
              </v:shape>
            </w:pict>
          </mc:Fallback>
        </mc:AlternateContent>
      </w:r>
      <w:r>
        <w:rPr>
          <w:sz w:val="28"/>
        </w:rPr>
        <mc:AlternateContent>
          <mc:Choice Requires="wps">
            <w:drawing>
              <wp:anchor distT="0" distB="0" distL="114300" distR="114300" simplePos="0" relativeHeight="251663360" behindDoc="0" locked="0" layoutInCell="1" allowOverlap="1">
                <wp:simplePos x="0" y="0"/>
                <wp:positionH relativeFrom="column">
                  <wp:posOffset>1718945</wp:posOffset>
                </wp:positionH>
                <wp:positionV relativeFrom="paragraph">
                  <wp:posOffset>142875</wp:posOffset>
                </wp:positionV>
                <wp:extent cx="2628900" cy="594360"/>
                <wp:effectExtent l="6350" t="6350" r="12700" b="8890"/>
                <wp:wrapNone/>
                <wp:docPr id="63" name="矩形 63"/>
                <wp:cNvGraphicFramePr/>
                <a:graphic xmlns:a="http://schemas.openxmlformats.org/drawingml/2006/main">
                  <a:graphicData uri="http://schemas.microsoft.com/office/word/2010/wordprocessingShape">
                    <wps:wsp xmlns:wps="http://schemas.microsoft.com/office/word/2010/wordprocessingShape">
                      <wps:cNvSpPr/>
                      <wps:spPr>
                        <a:xfrm>
                          <a:off x="3616325" y="2653665"/>
                          <a:ext cx="2628900" cy="594360"/>
                        </a:xfrm>
                        <a:prstGeom prst="rect">
                          <a:avLst/>
                        </a:prstGeom>
                      </wps:spPr>
                      <wps:style>
                        <a:lnRef idx="2">
                          <a:schemeClr val="accent6"/>
                        </a:lnRef>
                        <a:fillRef idx="1">
                          <a:schemeClr val="lt1"/>
                        </a:fillRef>
                        <a:effectRef idx="0">
                          <a:schemeClr val="accent6"/>
                        </a:effectRef>
                        <a:fontRef idx="minor">
                          <a:schemeClr val="dk1"/>
                        </a:fontRef>
                      </wps:style>
                      <wps:txbx>
                        <w:txbxContent>
                          <w:p>
                            <w:pPr>
                              <w:jc w:val="center"/>
                              <w:rPr>
                                <w:rFonts w:ascii="新宋体" w:eastAsia="新宋体" w:hAnsi="新宋体" w:cs="新宋体"/>
                                <w:szCs w:val="21"/>
                              </w:rPr>
                            </w:pPr>
                            <w:r>
                              <w:rPr>
                                <w:rFonts w:ascii="新宋体" w:eastAsia="新宋体" w:hAnsi="新宋体" w:cs="新宋体" w:hint="eastAsia"/>
                                <w:szCs w:val="21"/>
                              </w:rPr>
                              <w:t>承包单位按照设计和合同要求提供材料样品</w:t>
                            </w:r>
                          </w:p>
                        </w:txbxContent>
                      </wps:txbx>
                      <wps:bodyPr rot="0" spcFirstLastPara="0" vertOverflow="overflow" horzOverflow="overflow" vert="horz" wrap="square" lIns="91440" tIns="45720" rIns="91440" bIns="45720" numCol="1" spcCol="0" rtlCol="0" fromWordArt="0" anchor="ctr" anchorCtr="0" forceAA="0" compatLnSpc="1"/>
                    </wps:wsp>
                  </a:graphicData>
                </a:graphic>
              </wp:anchor>
            </w:drawing>
          </mc:Choice>
          <mc:Fallback>
            <w:pict>
              <v:shape id="矩形 63" o:spid="_x0000_s1043" type="#_x0000_t202" style="width:207pt;height:46.8pt;margin-top:11.25pt;margin-left:135.35pt;mso-wrap-distance-bottom:0;mso-wrap-distance-left:9pt;mso-wrap-distance-right:9pt;mso-wrap-distance-top:0;position:absolute;v-text-anchor:middle;z-index:251662336" fillcolor="white" stroked="t" strokecolor="#70ad47" strokeweight="1pt">
                <v:textbox>
                  <w:txbxContent>
                    <w:p>
                      <w:pPr>
                        <w:jc w:val="center"/>
                        <w:rPr>
                          <w:rFonts w:ascii="新宋体" w:eastAsia="新宋体" w:hAnsi="新宋体" w:cs="新宋体"/>
                          <w:szCs w:val="21"/>
                        </w:rPr>
                      </w:pPr>
                      <w:r>
                        <w:rPr>
                          <w:rFonts w:ascii="新宋体" w:eastAsia="新宋体" w:hAnsi="新宋体" w:cs="新宋体" w:hint="eastAsia"/>
                          <w:szCs w:val="21"/>
                        </w:rPr>
                        <w:t>承包单位按照设计和合同要求提供材料样品</w:t>
                      </w:r>
                    </w:p>
                  </w:txbxContent>
                </v:textbox>
              </v:shape>
            </w:pict>
          </mc:Fallback>
        </mc:AlternateContent>
      </w:r>
      <w:r>
        <w:rPr>
          <w:sz w:val="28"/>
        </w:rPr>
        <mc:AlternateContent>
          <mc:Choice Requires="wps">
            <w:drawing>
              <wp:anchor distT="0" distB="0" distL="114300" distR="114300" simplePos="0" relativeHeight="251665408" behindDoc="0" locked="0" layoutInCell="1" allowOverlap="1">
                <wp:simplePos x="0" y="0"/>
                <wp:positionH relativeFrom="column">
                  <wp:posOffset>1711325</wp:posOffset>
                </wp:positionH>
                <wp:positionV relativeFrom="paragraph">
                  <wp:posOffset>1171575</wp:posOffset>
                </wp:positionV>
                <wp:extent cx="2628900" cy="594360"/>
                <wp:effectExtent l="6350" t="6350" r="12700" b="8890"/>
                <wp:wrapNone/>
                <wp:docPr id="64" name="矩形 64"/>
                <wp:cNvGraphicFramePr/>
                <a:graphic xmlns:a="http://schemas.openxmlformats.org/drawingml/2006/main">
                  <a:graphicData uri="http://schemas.microsoft.com/office/word/2010/wordprocessingShape">
                    <wps:wsp xmlns:wps="http://schemas.microsoft.com/office/word/2010/wordprocessingShape">
                      <wps:cNvSpPr/>
                      <wps:spPr>
                        <a:xfrm>
                          <a:off x="0" y="0"/>
                          <a:ext cx="2628900" cy="594360"/>
                        </a:xfrm>
                        <a:prstGeom prst="rect">
                          <a:avLst/>
                        </a:prstGeom>
                      </wps:spPr>
                      <wps:style>
                        <a:lnRef idx="2">
                          <a:schemeClr val="accent6"/>
                        </a:lnRef>
                        <a:fillRef idx="1">
                          <a:schemeClr val="lt1"/>
                        </a:fillRef>
                        <a:effectRef idx="0">
                          <a:schemeClr val="accent6"/>
                        </a:effectRef>
                        <a:fontRef idx="minor">
                          <a:schemeClr val="dk1"/>
                        </a:fontRef>
                      </wps:style>
                      <wps:txbx>
                        <w:txbxContent>
                          <w:p>
                            <w:pPr>
                              <w:jc w:val="center"/>
                              <w:rPr>
                                <w:rFonts w:ascii="新宋体" w:eastAsia="新宋体" w:hAnsi="新宋体" w:cs="新宋体"/>
                                <w:szCs w:val="21"/>
                              </w:rPr>
                            </w:pPr>
                            <w:r>
                              <w:rPr>
                                <w:rFonts w:ascii="新宋体" w:eastAsia="新宋体" w:hAnsi="新宋体" w:cs="新宋体" w:hint="eastAsia"/>
                                <w:szCs w:val="21"/>
                              </w:rPr>
                              <w:t>建设单位/监理单位审核</w:t>
                            </w:r>
                          </w:p>
                          <w:p>
                            <w:pPr>
                              <w:jc w:val="center"/>
                              <w:rPr>
                                <w:rFonts w:ascii="新宋体" w:eastAsia="新宋体" w:hAnsi="新宋体" w:cs="新宋体"/>
                                <w:szCs w:val="21"/>
                              </w:rPr>
                            </w:pPr>
                            <w:r>
                              <w:rPr>
                                <w:rFonts w:ascii="新宋体" w:eastAsia="新宋体" w:hAnsi="新宋体" w:cs="新宋体" w:hint="eastAsia"/>
                                <w:szCs w:val="21"/>
                              </w:rPr>
                              <w:t>是否符合设计要求并提出意见</w:t>
                            </w:r>
                          </w:p>
                        </w:txbxContent>
                      </wps:txbx>
                      <wps:bodyPr rot="0" spcFirstLastPara="0" vertOverflow="overflow" horzOverflow="overflow" vert="horz" wrap="square" lIns="91440" tIns="45720" rIns="91440" bIns="45720" numCol="1" spcCol="0" rtlCol="0" fromWordArt="0" anchor="ctr" anchorCtr="0" forceAA="0" compatLnSpc="1"/>
                    </wps:wsp>
                  </a:graphicData>
                </a:graphic>
              </wp:anchor>
            </w:drawing>
          </mc:Choice>
          <mc:Fallback>
            <w:pict>
              <v:shape id="矩形 64" o:spid="_x0000_s1044" type="#_x0000_t202" style="width:207pt;height:46.8pt;margin-top:92.25pt;margin-left:134.75pt;mso-wrap-distance-bottom:0;mso-wrap-distance-left:9pt;mso-wrap-distance-right:9pt;mso-wrap-distance-top:0;position:absolute;v-text-anchor:middle;z-index:251664384" fillcolor="white" stroked="t" strokecolor="#70ad47" strokeweight="1pt">
                <v:textbox>
                  <w:txbxContent>
                    <w:p>
                      <w:pPr>
                        <w:jc w:val="center"/>
                        <w:rPr>
                          <w:rFonts w:ascii="新宋体" w:eastAsia="新宋体" w:hAnsi="新宋体" w:cs="新宋体"/>
                          <w:szCs w:val="21"/>
                        </w:rPr>
                      </w:pPr>
                      <w:r>
                        <w:rPr>
                          <w:rFonts w:ascii="新宋体" w:eastAsia="新宋体" w:hAnsi="新宋体" w:cs="新宋体" w:hint="eastAsia"/>
                          <w:szCs w:val="21"/>
                        </w:rPr>
                        <w:t>建设单位/监理单位审核</w:t>
                      </w:r>
                    </w:p>
                    <w:p>
                      <w:pPr>
                        <w:jc w:val="center"/>
                        <w:rPr>
                          <w:rFonts w:ascii="新宋体" w:eastAsia="新宋体" w:hAnsi="新宋体" w:cs="新宋体"/>
                          <w:szCs w:val="21"/>
                        </w:rPr>
                      </w:pPr>
                      <w:r>
                        <w:rPr>
                          <w:rFonts w:ascii="新宋体" w:eastAsia="新宋体" w:hAnsi="新宋体" w:cs="新宋体" w:hint="eastAsia"/>
                          <w:szCs w:val="21"/>
                        </w:rPr>
                        <w:t>是否符合设计要求并提出意见</w:t>
                      </w:r>
                    </w:p>
                  </w:txbxContent>
                </v:textbox>
              </v:shape>
            </w:pict>
          </mc:Fallback>
        </mc:AlternateContent>
      </w:r>
      <w:r>
        <w:rPr>
          <w:sz w:val="28"/>
        </w:rPr>
        <mc:AlternateContent>
          <mc:Choice Requires="wps">
            <w:drawing>
              <wp:anchor distT="0" distB="0" distL="114300" distR="114300" simplePos="0" relativeHeight="251667456" behindDoc="0" locked="0" layoutInCell="1" allowOverlap="1">
                <wp:simplePos x="0" y="0"/>
                <wp:positionH relativeFrom="column">
                  <wp:posOffset>1688465</wp:posOffset>
                </wp:positionH>
                <wp:positionV relativeFrom="paragraph">
                  <wp:posOffset>2124075</wp:posOffset>
                </wp:positionV>
                <wp:extent cx="2628900" cy="594360"/>
                <wp:effectExtent l="6350" t="6350" r="12700" b="8890"/>
                <wp:wrapNone/>
                <wp:docPr id="65" name="矩形 65"/>
                <wp:cNvGraphicFramePr/>
                <a:graphic xmlns:a="http://schemas.openxmlformats.org/drawingml/2006/main">
                  <a:graphicData uri="http://schemas.microsoft.com/office/word/2010/wordprocessingShape">
                    <wps:wsp xmlns:wps="http://schemas.microsoft.com/office/word/2010/wordprocessingShape">
                      <wps:cNvSpPr/>
                      <wps:spPr>
                        <a:xfrm>
                          <a:off x="0" y="0"/>
                          <a:ext cx="2628900" cy="594360"/>
                        </a:xfrm>
                        <a:prstGeom prst="rect">
                          <a:avLst/>
                        </a:prstGeom>
                      </wps:spPr>
                      <wps:style>
                        <a:lnRef idx="2">
                          <a:schemeClr val="accent6"/>
                        </a:lnRef>
                        <a:fillRef idx="1">
                          <a:schemeClr val="lt1"/>
                        </a:fillRef>
                        <a:effectRef idx="0">
                          <a:schemeClr val="accent6"/>
                        </a:effectRef>
                        <a:fontRef idx="minor">
                          <a:schemeClr val="dk1"/>
                        </a:fontRef>
                      </wps:style>
                      <wps:txbx>
                        <w:txbxContent>
                          <w:p>
                            <w:pPr>
                              <w:jc w:val="center"/>
                              <w:rPr>
                                <w:rFonts w:ascii="新宋体" w:eastAsia="新宋体" w:hAnsi="新宋体" w:cs="新宋体"/>
                                <w:szCs w:val="21"/>
                              </w:rPr>
                            </w:pPr>
                            <w:r>
                              <w:rPr>
                                <w:rFonts w:ascii="新宋体" w:eastAsia="新宋体" w:hAnsi="新宋体" w:cs="新宋体" w:hint="eastAsia"/>
                                <w:szCs w:val="21"/>
                              </w:rPr>
                              <w:t>承包单位根据样品组织材料进场并提交材料进场计划</w:t>
                            </w:r>
                          </w:p>
                        </w:txbxContent>
                      </wps:txbx>
                      <wps:bodyPr rot="0" spcFirstLastPara="0" vertOverflow="overflow" horzOverflow="overflow" vert="horz" wrap="square" lIns="91440" tIns="45720" rIns="91440" bIns="45720" numCol="1" spcCol="0" rtlCol="0" fromWordArt="0" anchor="ctr" anchorCtr="0" forceAA="0" compatLnSpc="1"/>
                    </wps:wsp>
                  </a:graphicData>
                </a:graphic>
              </wp:anchor>
            </w:drawing>
          </mc:Choice>
          <mc:Fallback>
            <w:pict>
              <v:shape id="矩形 65" o:spid="_x0000_s1045" type="#_x0000_t202" style="width:207pt;height:46.8pt;margin-top:167.25pt;margin-left:132.95pt;mso-wrap-distance-bottom:0;mso-wrap-distance-left:9pt;mso-wrap-distance-right:9pt;mso-wrap-distance-top:0;position:absolute;v-text-anchor:middle;z-index:251666432" fillcolor="white" stroked="t" strokecolor="#70ad47" strokeweight="1pt">
                <v:textbox>
                  <w:txbxContent>
                    <w:p>
                      <w:pPr>
                        <w:jc w:val="center"/>
                        <w:rPr>
                          <w:rFonts w:ascii="新宋体" w:eastAsia="新宋体" w:hAnsi="新宋体" w:cs="新宋体"/>
                          <w:szCs w:val="21"/>
                        </w:rPr>
                      </w:pPr>
                      <w:r>
                        <w:rPr>
                          <w:rFonts w:ascii="新宋体" w:eastAsia="新宋体" w:hAnsi="新宋体" w:cs="新宋体" w:hint="eastAsia"/>
                          <w:szCs w:val="21"/>
                        </w:rPr>
                        <w:t>承包单位根据样品组织材料进场并提交材料进场计划</w:t>
                      </w:r>
                    </w:p>
                  </w:txbxContent>
                </v:textbox>
              </v:shape>
            </w:pict>
          </mc:Fallback>
        </mc:AlternateContent>
      </w:r>
      <w:r>
        <w:rPr>
          <w:sz w:val="28"/>
        </w:rPr>
        <mc:AlternateContent>
          <mc:Choice Requires="wps">
            <w:drawing>
              <wp:anchor distT="0" distB="0" distL="114300" distR="114300" simplePos="0" relativeHeight="251669504" behindDoc="0" locked="0" layoutInCell="1" allowOverlap="1">
                <wp:simplePos x="0" y="0"/>
                <wp:positionH relativeFrom="column">
                  <wp:posOffset>1718945</wp:posOffset>
                </wp:positionH>
                <wp:positionV relativeFrom="paragraph">
                  <wp:posOffset>3129915</wp:posOffset>
                </wp:positionV>
                <wp:extent cx="2628900" cy="594360"/>
                <wp:effectExtent l="6350" t="6350" r="12700" b="8890"/>
                <wp:wrapNone/>
                <wp:docPr id="66" name="矩形 66"/>
                <wp:cNvGraphicFramePr/>
                <a:graphic xmlns:a="http://schemas.openxmlformats.org/drawingml/2006/main">
                  <a:graphicData uri="http://schemas.microsoft.com/office/word/2010/wordprocessingShape">
                    <wps:wsp xmlns:wps="http://schemas.microsoft.com/office/word/2010/wordprocessingShape">
                      <wps:cNvSpPr/>
                      <wps:spPr>
                        <a:xfrm>
                          <a:off x="0" y="0"/>
                          <a:ext cx="2628900" cy="594360"/>
                        </a:xfrm>
                        <a:prstGeom prst="rect">
                          <a:avLst/>
                        </a:prstGeom>
                      </wps:spPr>
                      <wps:style>
                        <a:lnRef idx="2">
                          <a:schemeClr val="accent6"/>
                        </a:lnRef>
                        <a:fillRef idx="1">
                          <a:schemeClr val="lt1"/>
                        </a:fillRef>
                        <a:effectRef idx="0">
                          <a:schemeClr val="accent6"/>
                        </a:effectRef>
                        <a:fontRef idx="minor">
                          <a:schemeClr val="dk1"/>
                        </a:fontRef>
                      </wps:style>
                      <wps:txbx>
                        <w:txbxContent>
                          <w:p>
                            <w:pPr>
                              <w:jc w:val="center"/>
                              <w:rPr>
                                <w:rFonts w:ascii="新宋体" w:eastAsia="新宋体" w:hAnsi="新宋体" w:cs="新宋体"/>
                                <w:szCs w:val="21"/>
                              </w:rPr>
                            </w:pPr>
                            <w:r>
                              <w:rPr>
                                <w:rFonts w:ascii="新宋体" w:eastAsia="新宋体" w:hAnsi="新宋体" w:cs="新宋体" w:hint="eastAsia"/>
                                <w:szCs w:val="21"/>
                              </w:rPr>
                              <w:t>建设单位/监理单位工程师审核</w:t>
                            </w:r>
                          </w:p>
                        </w:txbxContent>
                      </wps:txbx>
                      <wps:bodyPr rot="0" spcFirstLastPara="0" vertOverflow="overflow" horzOverflow="overflow" vert="horz" wrap="square" lIns="91440" tIns="45720" rIns="91440" bIns="45720" numCol="1" spcCol="0" rtlCol="0" fromWordArt="0" anchor="ctr" anchorCtr="0" forceAA="0" compatLnSpc="1"/>
                    </wps:wsp>
                  </a:graphicData>
                </a:graphic>
              </wp:anchor>
            </w:drawing>
          </mc:Choice>
          <mc:Fallback>
            <w:pict>
              <v:shape id="矩形 66" o:spid="_x0000_s1046" type="#_x0000_t202" style="width:207pt;height:46.8pt;margin-top:246.45pt;margin-left:135.35pt;mso-wrap-distance-bottom:0;mso-wrap-distance-left:9pt;mso-wrap-distance-right:9pt;mso-wrap-distance-top:0;position:absolute;v-text-anchor:middle;z-index:251668480" fillcolor="white" stroked="t" strokecolor="#70ad47" strokeweight="1pt">
                <v:textbox>
                  <w:txbxContent>
                    <w:p>
                      <w:pPr>
                        <w:jc w:val="center"/>
                        <w:rPr>
                          <w:rFonts w:ascii="新宋体" w:eastAsia="新宋体" w:hAnsi="新宋体" w:cs="新宋体"/>
                          <w:szCs w:val="21"/>
                        </w:rPr>
                      </w:pPr>
                      <w:r>
                        <w:rPr>
                          <w:rFonts w:ascii="新宋体" w:eastAsia="新宋体" w:hAnsi="新宋体" w:cs="新宋体" w:hint="eastAsia"/>
                          <w:szCs w:val="21"/>
                        </w:rPr>
                        <w:t>建设单位/监理单位工程师审核</w:t>
                      </w:r>
                    </w:p>
                  </w:txbxContent>
                </v:textbox>
              </v:shape>
            </w:pict>
          </mc:Fallback>
        </mc:AlternateContent>
      </w:r>
    </w:p>
    <w:p>
      <w:pPr>
        <w:widowControl/>
        <w:spacing w:before="76" w:after="46" w:line="480" w:lineRule="exact"/>
        <w:jc w:val="left"/>
        <w:rPr>
          <w:rFonts w:ascii="新宋体" w:eastAsia="新宋体" w:hAnsi="新宋体" w:cs="新宋体"/>
          <w:color w:val="000000"/>
          <w:spacing w:val="-5"/>
          <w:szCs w:val="21"/>
          <w:shd w:val="clear" w:color="auto" w:fill="FFFFFF"/>
        </w:rPr>
      </w:pPr>
    </w:p>
    <w:p>
      <w:pPr>
        <w:widowControl/>
        <w:spacing w:before="76" w:after="46" w:line="480" w:lineRule="exact"/>
        <w:jc w:val="left"/>
        <w:rPr>
          <w:rFonts w:ascii="新宋体" w:eastAsia="新宋体" w:hAnsi="新宋体" w:cs="新宋体"/>
          <w:color w:val="000000"/>
          <w:spacing w:val="-5"/>
          <w:szCs w:val="21"/>
          <w:shd w:val="clear" w:color="auto" w:fill="FFFFFF"/>
        </w:rPr>
      </w:pPr>
    </w:p>
    <w:p>
      <w:pPr>
        <w:widowControl/>
        <w:spacing w:before="76" w:after="46" w:line="480" w:lineRule="exact"/>
        <w:ind w:right="1726"/>
        <w:jc w:val="left"/>
        <w:rPr>
          <w:rFonts w:ascii="新宋体" w:eastAsia="新宋体" w:hAnsi="新宋体" w:cs="新宋体"/>
          <w:color w:val="000000"/>
          <w:spacing w:val="-4"/>
          <w:szCs w:val="21"/>
          <w:shd w:val="clear" w:color="auto" w:fill="FFFFFF"/>
        </w:rPr>
      </w:pPr>
    </w:p>
    <w:p>
      <w:pPr>
        <w:widowControl/>
        <w:spacing w:before="76" w:after="46" w:line="480" w:lineRule="exact"/>
        <w:ind w:right="1726"/>
        <w:jc w:val="left"/>
        <w:rPr>
          <w:rFonts w:ascii="新宋体" w:eastAsia="新宋体" w:hAnsi="新宋体" w:cs="新宋体"/>
          <w:color w:val="000000"/>
          <w:spacing w:val="-6"/>
          <w:szCs w:val="21"/>
          <w:shd w:val="clear" w:color="auto" w:fill="FFFFFF"/>
        </w:rPr>
      </w:pPr>
    </w:p>
    <w:p>
      <w:pPr>
        <w:widowControl/>
        <w:spacing w:before="76" w:after="46" w:line="480" w:lineRule="exact"/>
        <w:ind w:right="1726"/>
        <w:jc w:val="left"/>
        <w:rPr>
          <w:rFonts w:ascii="新宋体" w:eastAsia="新宋体" w:hAnsi="新宋体" w:cs="新宋体"/>
          <w:color w:val="000000"/>
          <w:spacing w:val="-4"/>
          <w:szCs w:val="21"/>
          <w:shd w:val="clear" w:color="auto" w:fill="FFFFFF"/>
        </w:rPr>
      </w:pPr>
    </w:p>
    <w:p>
      <w:pPr>
        <w:widowControl/>
        <w:spacing w:line="480" w:lineRule="exact"/>
        <w:rPr>
          <w:rFonts w:ascii="新宋体" w:eastAsia="新宋体" w:hAnsi="新宋体" w:cs="新宋体"/>
          <w:color w:val="000000"/>
          <w:spacing w:val="-4"/>
          <w:szCs w:val="21"/>
          <w:shd w:val="clear" w:color="auto" w:fill="FFFFFF"/>
        </w:rPr>
      </w:pPr>
    </w:p>
    <w:p>
      <w:pPr>
        <w:spacing w:line="500" w:lineRule="exact"/>
        <w:rPr>
          <w:rFonts w:ascii="新宋体" w:eastAsia="新宋体" w:hAnsi="新宋体" w:cs="新宋体"/>
          <w:bCs/>
          <w:color w:val="323232"/>
          <w:spacing w:val="13"/>
          <w:szCs w:val="21"/>
          <w:shd w:val="clear" w:color="auto" w:fill="FFFFFF"/>
        </w:rPr>
      </w:pPr>
    </w:p>
    <w:p>
      <w:pPr>
        <w:spacing w:line="500" w:lineRule="exact"/>
        <w:rPr>
          <w:rFonts w:ascii="新宋体" w:eastAsia="新宋体" w:hAnsi="新宋体"/>
          <w:b/>
          <w:bCs/>
          <w:sz w:val="28"/>
          <w:szCs w:val="28"/>
        </w:rPr>
      </w:pPr>
      <w:bookmarkStart w:id="14" w:name="_Toc32747"/>
    </w:p>
    <w:p>
      <w:pPr>
        <w:spacing w:line="500" w:lineRule="exact"/>
        <w:rPr>
          <w:rFonts w:ascii="新宋体" w:eastAsia="新宋体" w:hAnsi="新宋体"/>
          <w:b/>
          <w:bCs/>
          <w:sz w:val="28"/>
          <w:szCs w:val="28"/>
        </w:rPr>
      </w:pPr>
    </w:p>
    <w:p>
      <w:pPr>
        <w:spacing w:line="500" w:lineRule="exact"/>
        <w:rPr>
          <w:rFonts w:ascii="新宋体" w:eastAsia="新宋体" w:hAnsi="新宋体"/>
          <w:b/>
          <w:bCs/>
          <w:sz w:val="28"/>
          <w:szCs w:val="28"/>
        </w:rPr>
      </w:pPr>
    </w:p>
    <w:p>
      <w:pPr>
        <w:spacing w:line="500" w:lineRule="exact"/>
        <w:rPr>
          <w:rFonts w:ascii="新宋体" w:eastAsia="新宋体" w:hAnsi="新宋体"/>
          <w:b/>
          <w:bCs/>
          <w:sz w:val="28"/>
          <w:szCs w:val="28"/>
        </w:rPr>
      </w:pPr>
    </w:p>
    <w:p>
      <w:pPr>
        <w:spacing w:line="500" w:lineRule="exact"/>
        <w:rPr>
          <w:rFonts w:ascii="新宋体" w:eastAsia="新宋体" w:hAnsi="新宋体"/>
          <w:b/>
          <w:bCs/>
          <w:sz w:val="28"/>
          <w:szCs w:val="28"/>
        </w:rPr>
      </w:pPr>
    </w:p>
    <w:p>
      <w:pPr>
        <w:spacing w:line="500" w:lineRule="exact"/>
        <w:rPr>
          <w:rFonts w:ascii="新宋体" w:eastAsia="新宋体" w:hAnsi="新宋体"/>
          <w:b/>
          <w:bCs/>
          <w:sz w:val="28"/>
          <w:szCs w:val="28"/>
        </w:rPr>
      </w:pPr>
    </w:p>
    <w:p>
      <w:pPr>
        <w:spacing w:line="500" w:lineRule="exact"/>
        <w:rPr>
          <w:rFonts w:ascii="新宋体" w:eastAsia="新宋体" w:hAnsi="新宋体"/>
          <w:b/>
          <w:bCs/>
          <w:sz w:val="28"/>
          <w:szCs w:val="28"/>
        </w:rPr>
      </w:pPr>
    </w:p>
    <w:p>
      <w:pPr>
        <w:spacing w:line="500" w:lineRule="exact"/>
        <w:rPr>
          <w:rFonts w:ascii="新宋体" w:eastAsia="新宋体" w:hAnsi="新宋体"/>
          <w:b/>
          <w:bCs/>
          <w:sz w:val="28"/>
          <w:szCs w:val="28"/>
        </w:rPr>
      </w:pPr>
    </w:p>
    <w:p>
      <w:pPr>
        <w:spacing w:line="500" w:lineRule="exact"/>
        <w:rPr>
          <w:rFonts w:ascii="新宋体" w:eastAsia="新宋体" w:hAnsi="新宋体"/>
          <w:b/>
          <w:bCs/>
          <w:sz w:val="28"/>
          <w:szCs w:val="28"/>
        </w:rPr>
      </w:pPr>
    </w:p>
    <w:p>
      <w:pPr>
        <w:spacing w:line="500" w:lineRule="exact"/>
        <w:rPr>
          <w:rFonts w:ascii="新宋体" w:eastAsia="新宋体" w:hAnsi="新宋体"/>
          <w:b/>
          <w:bCs/>
          <w:sz w:val="28"/>
          <w:szCs w:val="28"/>
        </w:rPr>
      </w:pPr>
    </w:p>
    <w:p>
      <w:pPr>
        <w:spacing w:line="500" w:lineRule="exact"/>
        <w:outlineLvl w:val="1"/>
        <w:rPr>
          <w:rFonts w:ascii="新宋体" w:eastAsia="新宋体" w:hAnsi="新宋体"/>
          <w:b/>
          <w:bCs/>
          <w:sz w:val="28"/>
          <w:szCs w:val="28"/>
        </w:rPr>
      </w:pPr>
      <w:bookmarkStart w:id="15" w:name="_Toc26574"/>
      <w:bookmarkStart w:id="16" w:name="_Toc24436"/>
      <w:r>
        <w:rPr>
          <w:rFonts w:ascii="新宋体" w:eastAsia="新宋体" w:hAnsi="新宋体" w:hint="eastAsia"/>
          <w:b/>
          <w:bCs/>
          <w:sz w:val="28"/>
          <w:szCs w:val="28"/>
        </w:rPr>
        <w:t>4、原材料、成品、半成品进场验收制度</w:t>
      </w:r>
      <w:bookmarkEnd w:id="14"/>
      <w:bookmarkEnd w:id="15"/>
      <w:bookmarkEnd w:id="16"/>
    </w:p>
    <w:p>
      <w:pPr>
        <w:pStyle w:val="NormalWeb"/>
        <w:topLinePunct/>
        <w:spacing w:before="0" w:beforeAutospacing="0" w:after="0" w:afterAutospacing="0" w:line="500" w:lineRule="exact"/>
        <w:ind w:firstLine="420" w:firstLineChars="200"/>
        <w:rPr>
          <w:kern w:val="2"/>
        </w:rPr>
        <w:sectPr>
          <w:headerReference w:type="default" r:id="rId19"/>
          <w:footerReference w:type="default" r:id="rId20"/>
          <w:type w:val="nextPage"/>
          <w:pgSz w:w="11906" w:h="16838"/>
          <w:pgMar w:top="1134" w:right="851" w:bottom="851" w:left="1418" w:header="851" w:footer="992" w:gutter="0"/>
          <w:pgNumType w:start="8"/>
          <w:cols w:num="1" w:space="720"/>
          <w:titlePg w:val="0"/>
          <w:docGrid w:type="lines" w:linePitch="312" w:charSpace="0"/>
        </w:sectPr>
      </w:pPr>
      <w:r>
        <w:rPr>
          <w:rFonts w:ascii="新宋体" w:eastAsia="新宋体" w:hAnsi="新宋体" w:hint="eastAsia"/>
          <w:szCs w:val="21"/>
        </w:rPr>
        <w:t>4.1</w:t>
      </w:r>
      <w:r>
        <w:rPr>
          <w:rFonts w:hint="eastAsia"/>
          <w:kern w:val="2"/>
        </w:rPr>
        <w:t>施工单位应严格控制进场材料、设备的质量，材料、设备进场或使用前须按相关材料、设备标准和规定进行检查验收和报检。施工单位必须加强现场材料的使用管理，对于场地内的材料，必须将进场时间、 材料或设备名称、规格、批号、检验状态、数量、厂家等要素进行</w:t>
      </w:r>
      <w:r>
        <w:rPr>
          <w:rFonts w:hint="eastAsia"/>
          <w:b/>
          <w:bCs/>
          <w:color w:val="FF0000"/>
          <w:kern w:val="2"/>
        </w:rPr>
        <w:t>挂牌标识</w:t>
      </w:r>
      <w:r>
        <w:rPr>
          <w:rFonts w:hint="eastAsia"/>
          <w:kern w:val="2"/>
        </w:rPr>
        <w:t>并对所</w:t>
      </w:r>
    </w:p>
    <w:p>
      <w:pPr>
        <w:pStyle w:val="NormalWeb"/>
        <w:topLinePunct/>
        <w:spacing w:before="0" w:beforeAutospacing="0" w:after="0" w:afterAutospacing="0" w:line="500" w:lineRule="exact"/>
        <w:ind w:firstLine="420" w:firstLineChars="200"/>
        <w:rPr>
          <w:kern w:val="2"/>
        </w:rPr>
      </w:pPr>
      <w:r>
        <w:rPr>
          <w:rFonts w:hint="eastAsia"/>
          <w:b/>
          <w:bCs/>
          <w:color w:val="FF0000"/>
          <w:kern w:val="2"/>
        </w:rPr>
        <w:t>进场材料进行报验（</w:t>
      </w:r>
      <w:r>
        <w:rPr>
          <w:rFonts w:hint="eastAsia"/>
          <w:b/>
          <w:bCs/>
          <w:color w:val="FF0000"/>
        </w:rPr>
        <w:t>使用移动质检软件报验</w:t>
      </w:r>
      <w:r>
        <w:rPr>
          <w:b/>
          <w:bCs/>
          <w:color w:val="FF0000"/>
          <w:kern w:val="2"/>
        </w:rPr>
        <w:t>）</w:t>
      </w:r>
      <w:r>
        <w:rPr>
          <w:rFonts w:hint="eastAsia"/>
          <w:kern w:val="2"/>
        </w:rPr>
        <w:t>。对于涉及工程结构安全的材料，如水泥、钢筋、混凝土、防水、保温等，材料到场后未验收的情况下，不得装卸车（有公司指定专用的必须有专用章）。所有材料建立材料的进场及送检台帐，具有可追溯性。</w:t>
      </w:r>
    </w:p>
    <w:p>
      <w:pPr>
        <w:pStyle w:val="NormalWeb"/>
        <w:topLinePunct/>
        <w:spacing w:before="0" w:beforeAutospacing="0" w:after="0" w:afterAutospacing="0" w:line="500" w:lineRule="exact"/>
        <w:rPr>
          <w:kern w:val="2"/>
        </w:rPr>
      </w:pPr>
      <w:r>
        <w:rPr>
          <w:rFonts w:hint="eastAsia"/>
          <w:kern w:val="2"/>
        </w:rPr>
        <w:t>4.1.1</w:t>
      </w:r>
      <w:r>
        <w:rPr>
          <w:rFonts w:hint="eastAsia"/>
          <w:b/>
          <w:bCs/>
          <w:color w:val="FF0000"/>
          <w:kern w:val="2"/>
        </w:rPr>
        <w:t>如发生进场的材料、设备不合格或未经建设方认可的材料用于工程上，应无条件返工，施工单位应承担合同相关违约责任</w:t>
      </w:r>
      <w:r>
        <w:rPr>
          <w:rFonts w:hint="eastAsia"/>
          <w:kern w:val="2"/>
        </w:rPr>
        <w:t>。</w:t>
      </w:r>
    </w:p>
    <w:p>
      <w:pPr>
        <w:pStyle w:val="NormalWeb"/>
        <w:topLinePunct/>
        <w:spacing w:before="0" w:beforeAutospacing="0" w:after="0" w:afterAutospacing="0" w:line="500" w:lineRule="exact"/>
        <w:rPr>
          <w:kern w:val="2"/>
        </w:rPr>
      </w:pPr>
      <w:r>
        <w:rPr>
          <w:rFonts w:hint="eastAsia"/>
          <w:kern w:val="2"/>
        </w:rPr>
        <w:t>4.1.2</w:t>
      </w:r>
      <w:r>
        <w:rPr>
          <w:rFonts w:hint="eastAsia"/>
          <w:b/>
          <w:bCs/>
          <w:color w:val="FF0000"/>
          <w:kern w:val="2"/>
        </w:rPr>
        <w:t>如发生材料、设备进场不及时报验，私自用于工程实体，该部位不予结算，并应承担违约责任.并处罚5000元/次</w:t>
      </w:r>
      <w:r>
        <w:rPr>
          <w:rFonts w:hint="eastAsia"/>
          <w:kern w:val="2"/>
        </w:rPr>
        <w:t>。</w:t>
      </w:r>
    </w:p>
    <w:p>
      <w:pPr>
        <w:spacing w:line="500" w:lineRule="exact"/>
        <w:ind w:firstLine="420" w:firstLineChars="200"/>
        <w:rPr>
          <w:rFonts w:ascii="新宋体" w:eastAsia="新宋体" w:hAnsi="新宋体"/>
          <w:szCs w:val="21"/>
        </w:rPr>
      </w:pPr>
      <w:r>
        <w:rPr>
          <w:rFonts w:ascii="新宋体" w:eastAsia="新宋体" w:hAnsi="新宋体" w:hint="eastAsia"/>
          <w:szCs w:val="21"/>
        </w:rPr>
        <w:t>4.2</w:t>
      </w:r>
      <w:r>
        <w:rPr>
          <w:rFonts w:ascii="新宋体" w:eastAsia="新宋体" w:hAnsi="新宋体" w:hint="eastAsia"/>
          <w:szCs w:val="21"/>
          <w:u w:val="single" w:color="FF0000"/>
        </w:rPr>
        <w:t>国家相关验收规范要求必须</w:t>
      </w:r>
      <w:r>
        <w:rPr>
          <w:rFonts w:ascii="新宋体" w:eastAsia="新宋体" w:hAnsi="新宋体" w:hint="eastAsia"/>
          <w:b/>
          <w:bCs/>
          <w:color w:val="FF0000"/>
          <w:szCs w:val="21"/>
          <w:u w:val="single" w:color="FF0000"/>
        </w:rPr>
        <w:t>复检的原材料、成品、半成品</w:t>
      </w:r>
      <w:r>
        <w:rPr>
          <w:rFonts w:ascii="新宋体" w:eastAsia="新宋体" w:hAnsi="新宋体" w:hint="eastAsia"/>
          <w:szCs w:val="21"/>
          <w:u w:val="single" w:color="FF0000"/>
        </w:rPr>
        <w:t>，施工单位</w:t>
      </w:r>
      <w:r>
        <w:rPr>
          <w:rFonts w:ascii="新宋体" w:eastAsia="新宋体" w:hAnsi="新宋体" w:hint="eastAsia"/>
          <w:b/>
          <w:bCs/>
          <w:color w:val="FF0000"/>
          <w:szCs w:val="21"/>
          <w:u w:val="single" w:color="FF0000"/>
        </w:rPr>
        <w:t>应24小时内现场抽样</w:t>
      </w:r>
      <w:r>
        <w:rPr>
          <w:rFonts w:ascii="新宋体" w:eastAsia="新宋体" w:hAnsi="新宋体" w:hint="eastAsia"/>
          <w:szCs w:val="21"/>
          <w:u w:val="single" w:color="FF0000"/>
        </w:rPr>
        <w:t>，到具有相应资质的检测单位进行复检,复检合格后方可用于工程中。未复检直接用于工程的，监理及建设单位有权责令施工单位进行返工整改，并支付2000—5000元违约金。</w:t>
      </w:r>
    </w:p>
    <w:p>
      <w:pPr>
        <w:spacing w:line="500" w:lineRule="exact"/>
        <w:ind w:firstLine="420" w:firstLineChars="200"/>
        <w:rPr>
          <w:rFonts w:ascii="新宋体" w:eastAsia="新宋体" w:hAnsi="新宋体"/>
          <w:szCs w:val="21"/>
        </w:rPr>
      </w:pPr>
      <w:r>
        <w:rPr>
          <w:rFonts w:ascii="新宋体" w:eastAsia="新宋体" w:hAnsi="新宋体" w:hint="eastAsia"/>
          <w:szCs w:val="21"/>
        </w:rPr>
        <w:t>4.3由甲定乙供或甲供的材料都必须在建设单位进行封样保存，施工单位进入施工现场的原材料、成品、半成品除满足3.1条要求外，按照到货批次和数量进行全面检查，进行抽样，比对封样。</w:t>
      </w:r>
    </w:p>
    <w:p>
      <w:pPr>
        <w:spacing w:line="500" w:lineRule="exact"/>
        <w:ind w:firstLine="420" w:firstLineChars="200"/>
        <w:rPr>
          <w:rFonts w:ascii="新宋体" w:eastAsia="新宋体" w:hAnsi="新宋体"/>
          <w:szCs w:val="21"/>
        </w:rPr>
      </w:pPr>
      <w:r>
        <w:rPr>
          <w:rFonts w:ascii="新宋体" w:eastAsia="新宋体" w:hAnsi="新宋体" w:hint="eastAsia"/>
          <w:szCs w:val="21"/>
        </w:rPr>
        <w:t>4.4施工单位提交材料设备/样品报审表，上报监理、建设单位审批。</w:t>
      </w:r>
      <w:r>
        <w:rPr>
          <w:rFonts w:ascii="新宋体" w:eastAsia="新宋体" w:hAnsi="新宋体" w:hint="eastAsia"/>
          <w:b/>
          <w:bCs/>
          <w:color w:val="FF0000"/>
          <w:szCs w:val="21"/>
        </w:rPr>
        <w:t>甲供及甲定乙供材料</w:t>
      </w:r>
      <w:r>
        <w:rPr>
          <w:rFonts w:ascii="新宋体" w:eastAsia="新宋体" w:hAnsi="新宋体" w:hint="eastAsia"/>
          <w:szCs w:val="21"/>
        </w:rPr>
        <w:t>相关内容要求</w:t>
      </w:r>
      <w:r>
        <w:rPr>
          <w:rFonts w:ascii="新宋体" w:eastAsia="新宋体" w:hAnsi="新宋体" w:hint="eastAsia"/>
          <w:b/>
          <w:bCs/>
          <w:color w:val="FF0000"/>
          <w:szCs w:val="21"/>
        </w:rPr>
        <w:t>在该材料使用前不少于60天提交给建设单位工程部</w:t>
      </w:r>
      <w:r>
        <w:rPr>
          <w:rFonts w:ascii="新宋体" w:eastAsia="新宋体" w:hAnsi="新宋体" w:hint="eastAsia"/>
          <w:szCs w:val="21"/>
        </w:rPr>
        <w:t>（提供详尽的、具有可操作性的材料计划和设备清单），以便建设单位有充足的时间进行招投标（个别加工周期长的材料或设备要提前申报），以便建设单位及时供货或及时进行认质认价，因施工单位提交材料供应计划滞后耽误工期，建设单位不会承担此类延误造成的任何责任。</w:t>
      </w:r>
    </w:p>
    <w:p>
      <w:pPr>
        <w:spacing w:line="500" w:lineRule="exact"/>
        <w:ind w:firstLine="420" w:firstLineChars="200"/>
        <w:rPr>
          <w:rFonts w:ascii="新宋体" w:eastAsia="新宋体" w:hAnsi="新宋体"/>
          <w:szCs w:val="21"/>
        </w:rPr>
      </w:pPr>
      <w:r>
        <w:rPr>
          <w:rFonts w:ascii="新宋体" w:eastAsia="新宋体" w:hAnsi="新宋体" w:hint="eastAsia"/>
          <w:szCs w:val="21"/>
        </w:rPr>
        <w:t>4.5 经各部门验收认可后的样品实物进行“封样”，保存建设单位项目部。</w:t>
      </w:r>
    </w:p>
    <w:p>
      <w:pPr>
        <w:spacing w:line="500" w:lineRule="exact"/>
        <w:ind w:firstLine="420" w:firstLineChars="200"/>
        <w:rPr>
          <w:rFonts w:ascii="新宋体" w:eastAsia="新宋体" w:hAnsi="新宋体"/>
          <w:szCs w:val="21"/>
        </w:rPr>
      </w:pPr>
      <w:r>
        <w:rPr>
          <w:rFonts w:ascii="新宋体" w:eastAsia="新宋体" w:hAnsi="新宋体" w:hint="eastAsia"/>
          <w:szCs w:val="21"/>
        </w:rPr>
        <w:t>4.6由建设单位供材，施工单位进行保管的，如果有物品及附件丢失（损失）由施工单位按照封样样品自行购买赔偿，因此而造成工期违约或引起不良后果的由施工单位自行负责。</w:t>
      </w:r>
    </w:p>
    <w:p>
      <w:pPr>
        <w:spacing w:line="500" w:lineRule="exact"/>
        <w:outlineLvl w:val="1"/>
        <w:rPr>
          <w:rFonts w:ascii="新宋体" w:eastAsia="新宋体" w:hAnsi="新宋体"/>
          <w:b/>
          <w:bCs/>
          <w:sz w:val="28"/>
          <w:szCs w:val="28"/>
        </w:rPr>
      </w:pPr>
      <w:bookmarkStart w:id="17" w:name="_Toc14088"/>
      <w:bookmarkStart w:id="18" w:name="_Toc29286"/>
      <w:bookmarkStart w:id="19" w:name="_Toc381"/>
      <w:r>
        <w:rPr>
          <w:rFonts w:ascii="新宋体" w:eastAsia="新宋体" w:hAnsi="新宋体" w:hint="eastAsia"/>
          <w:b/>
          <w:bCs/>
          <w:sz w:val="28"/>
          <w:szCs w:val="28"/>
        </w:rPr>
        <w:t>5、隐蔽工程、验收和设备安装、调试：</w:t>
      </w:r>
      <w:bookmarkEnd w:id="17"/>
      <w:bookmarkEnd w:id="18"/>
      <w:bookmarkEnd w:id="19"/>
    </w:p>
    <w:p>
      <w:pPr>
        <w:pStyle w:val="NormalWeb"/>
        <w:spacing w:before="0" w:beforeAutospacing="0" w:after="0" w:afterAutospacing="0" w:line="500" w:lineRule="exact"/>
        <w:ind w:firstLine="420" w:firstLineChars="200"/>
        <w:rPr>
          <w:rFonts w:ascii="新宋体" w:eastAsia="新宋体" w:hAnsi="新宋体"/>
          <w:szCs w:val="21"/>
        </w:rPr>
      </w:pPr>
      <w:r>
        <w:rPr>
          <w:rFonts w:ascii="新宋体" w:eastAsia="新宋体" w:hAnsi="新宋体" w:hint="eastAsia"/>
          <w:szCs w:val="21"/>
        </w:rPr>
        <w:t>5.1</w:t>
      </w:r>
      <w:r>
        <w:rPr>
          <w:rFonts w:ascii="新宋体" w:eastAsia="新宋体" w:hAnsi="新宋体" w:hint="eastAsia"/>
          <w:szCs w:val="21"/>
          <w:u w:val="single" w:color="FF0000"/>
        </w:rPr>
        <w:t>施工中需隐蔽的项目和工序，施工单位应在</w:t>
      </w:r>
      <w:r>
        <w:rPr>
          <w:rFonts w:ascii="新宋体" w:eastAsia="新宋体" w:hAnsi="新宋体" w:hint="eastAsia"/>
          <w:b/>
          <w:bCs/>
          <w:color w:val="FF0000"/>
          <w:szCs w:val="21"/>
          <w:u w:val="single" w:color="FF0000"/>
        </w:rPr>
        <w:t>隐蔽或中间验收前24小时以书面形式通知工程师验收</w:t>
      </w:r>
      <w:r>
        <w:rPr>
          <w:rFonts w:hint="eastAsia"/>
          <w:b/>
          <w:bCs/>
          <w:color w:val="FF0000"/>
          <w:kern w:val="2"/>
          <w:u w:val="single" w:color="FF0000"/>
        </w:rPr>
        <w:t>（</w:t>
      </w:r>
      <w:r>
        <w:rPr>
          <w:rFonts w:hint="eastAsia"/>
          <w:b/>
          <w:bCs/>
          <w:color w:val="FF0000"/>
          <w:u w:val="single" w:color="FF0000"/>
        </w:rPr>
        <w:t>使用移动质检软件报验</w:t>
      </w:r>
      <w:r>
        <w:rPr>
          <w:b/>
          <w:bCs/>
          <w:color w:val="FF0000"/>
          <w:kern w:val="2"/>
          <w:u w:val="single" w:color="FF0000"/>
        </w:rPr>
        <w:t>）</w:t>
      </w:r>
      <w:r>
        <w:rPr>
          <w:rFonts w:ascii="新宋体" w:eastAsia="新宋体" w:hAnsi="新宋体" w:hint="eastAsia"/>
          <w:szCs w:val="21"/>
          <w:u w:val="single" w:color="FF0000"/>
        </w:rPr>
        <w:t>。施工单位</w:t>
      </w:r>
      <w:r>
        <w:rPr>
          <w:rFonts w:ascii="新宋体" w:eastAsia="新宋体" w:hAnsi="新宋体" w:hint="eastAsia"/>
          <w:b/>
          <w:bCs/>
          <w:color w:val="FF0000"/>
          <w:szCs w:val="21"/>
          <w:u w:val="single" w:color="FF0000"/>
        </w:rPr>
        <w:t>必须先进行自检</w:t>
      </w:r>
      <w:r>
        <w:rPr>
          <w:rFonts w:ascii="新宋体" w:eastAsia="新宋体" w:hAnsi="新宋体" w:hint="eastAsia"/>
          <w:szCs w:val="21"/>
          <w:u w:val="single" w:color="FF0000"/>
        </w:rPr>
        <w:t>，对自检结果认真</w:t>
      </w:r>
      <w:r>
        <w:rPr>
          <w:rFonts w:ascii="新宋体" w:eastAsia="新宋体" w:hAnsi="新宋体" w:hint="eastAsia"/>
          <w:b/>
          <w:bCs/>
          <w:color w:val="FF0000"/>
          <w:szCs w:val="21"/>
          <w:u w:val="single" w:color="FF0000"/>
        </w:rPr>
        <w:t>如实填写记录和隐蔽验收申报表</w:t>
      </w:r>
      <w:r>
        <w:rPr>
          <w:rFonts w:ascii="新宋体" w:eastAsia="新宋体" w:hAnsi="新宋体" w:hint="eastAsia"/>
          <w:szCs w:val="21"/>
          <w:u w:val="single" w:color="FF0000"/>
        </w:rPr>
        <w:t>，监理在收到施工单位自检记录和隐蔽验收申报表后，于当日组织建设单位、监理工程师、施工单位对此项工作进行检查，经书面签字确认合格后，施工单位方可进行隐蔽和进行下道工序施工。否则建设单位有权予以处罚，视情节轻重每次处以1000－3000元违约金索赔，同时留下充分的影像资料，并对该部分工程不予结算。</w:t>
      </w:r>
    </w:p>
    <w:p>
      <w:pPr>
        <w:pStyle w:val="NormalWeb"/>
        <w:spacing w:before="0" w:beforeAutospacing="0" w:after="0" w:afterAutospacing="0" w:line="500" w:lineRule="exact"/>
        <w:rPr>
          <w:rFonts w:ascii="新宋体" w:eastAsia="新宋体" w:hAnsi="新宋体"/>
          <w:szCs w:val="21"/>
        </w:rPr>
        <w:sectPr>
          <w:headerReference w:type="default" r:id="rId21"/>
          <w:footerReference w:type="default" r:id="rId22"/>
          <w:type w:val="nextPage"/>
          <w:pgSz w:w="11906" w:h="16838"/>
          <w:pgMar w:top="1134" w:right="851" w:bottom="851" w:left="1418" w:header="851" w:footer="992" w:gutter="0"/>
          <w:pgNumType w:start="9"/>
          <w:cols w:num="1" w:space="720"/>
          <w:titlePg w:val="0"/>
          <w:docGrid w:type="lines" w:linePitch="312" w:charSpace="0"/>
        </w:sectPr>
      </w:pPr>
    </w:p>
    <w:p>
      <w:pPr>
        <w:spacing w:line="500" w:lineRule="exact"/>
        <w:outlineLvl w:val="1"/>
        <w:rPr>
          <w:rFonts w:ascii="新宋体" w:eastAsia="新宋体" w:hAnsi="新宋体"/>
          <w:b/>
          <w:bCs/>
          <w:sz w:val="28"/>
          <w:szCs w:val="28"/>
        </w:rPr>
      </w:pPr>
      <w:bookmarkStart w:id="20" w:name="_Toc19489"/>
      <w:bookmarkStart w:id="21" w:name="_Toc8593"/>
      <w:bookmarkStart w:id="22" w:name="_Toc12616"/>
      <w:r>
        <w:rPr>
          <w:rFonts w:ascii="新宋体" w:eastAsia="新宋体" w:hAnsi="新宋体" w:hint="eastAsia"/>
          <w:b/>
          <w:bCs/>
          <w:sz w:val="28"/>
          <w:szCs w:val="28"/>
        </w:rPr>
        <w:t>6、工地例会制度</w:t>
      </w:r>
      <w:bookmarkEnd w:id="20"/>
      <w:bookmarkEnd w:id="21"/>
      <w:bookmarkEnd w:id="22"/>
    </w:p>
    <w:p>
      <w:pPr>
        <w:spacing w:line="500" w:lineRule="exact"/>
        <w:ind w:firstLine="420" w:firstLineChars="200"/>
        <w:rPr>
          <w:rFonts w:ascii="新宋体" w:eastAsia="新宋体" w:hAnsi="新宋体"/>
          <w:szCs w:val="21"/>
        </w:rPr>
      </w:pPr>
      <w:r>
        <w:rPr>
          <w:rFonts w:hint="eastAsia"/>
        </w:rPr>
        <w:t>6.1</w:t>
      </w:r>
      <w:r>
        <w:rPr>
          <w:rFonts w:ascii="宋体" w:hAnsi="宋体" w:hint="eastAsia"/>
          <w:kern w:val="0"/>
          <w:lang w:val="zh-CN"/>
        </w:rPr>
        <w:t>建设单位主持的每周工程例会及其他召开的会议，</w:t>
      </w:r>
      <w:r>
        <w:rPr>
          <w:rFonts w:hint="eastAsia"/>
        </w:rPr>
        <w:t>建设单位、施工单位项目负责人、技术负责人及其他相关人员必须按时参加，</w:t>
      </w:r>
      <w:r>
        <w:rPr>
          <w:rFonts w:hint="eastAsia"/>
          <w:b/>
          <w:bCs/>
          <w:color w:val="FF0000"/>
        </w:rPr>
        <w:t>若因故不能参加应事先通知建设单位，但必须有委托代表到会，若无故不参加或委托代表不到会，每次处违约金1000元/人，</w:t>
      </w:r>
      <w:r>
        <w:rPr>
          <w:rFonts w:ascii="宋体" w:hAnsi="宋体" w:hint="eastAsia"/>
          <w:b/>
          <w:bCs/>
          <w:color w:val="FF0000"/>
        </w:rPr>
        <w:t>会议期间手机未关机或打在振动上、参会</w:t>
      </w:r>
      <w:r>
        <w:rPr>
          <w:rFonts w:hint="eastAsia"/>
          <w:b/>
          <w:bCs/>
          <w:color w:val="FF0000"/>
        </w:rPr>
        <w:t>迟到者每次处罚违约金200元/人</w:t>
      </w:r>
      <w:r>
        <w:rPr>
          <w:rFonts w:hint="eastAsia"/>
        </w:rPr>
        <w:t>。</w:t>
      </w:r>
      <w:r>
        <w:rPr>
          <w:rFonts w:ascii="宋体" w:hAnsi="宋体" w:hint="eastAsia"/>
          <w:b/>
          <w:bCs/>
          <w:color w:val="FF0000"/>
          <w:szCs w:val="21"/>
        </w:rPr>
        <w:t>所有相关参会人员应提前5分钟赶至会议室</w:t>
      </w:r>
      <w:r>
        <w:rPr>
          <w:rFonts w:ascii="宋体" w:hAnsi="宋体" w:hint="eastAsia"/>
          <w:szCs w:val="21"/>
        </w:rPr>
        <w:t>，以便会议准时召开。</w:t>
      </w:r>
    </w:p>
    <w:p>
      <w:pPr>
        <w:pStyle w:val="BodyTextIndent2"/>
        <w:spacing w:line="500" w:lineRule="exact"/>
        <w:ind w:firstLine="420" w:firstLineChars="200"/>
        <w:rPr>
          <w:rFonts w:ascii="新宋体" w:eastAsia="新宋体" w:hAnsi="新宋体"/>
          <w:sz w:val="21"/>
          <w:szCs w:val="21"/>
        </w:rPr>
      </w:pPr>
      <w:r>
        <w:rPr>
          <w:rFonts w:ascii="新宋体" w:eastAsia="新宋体" w:hAnsi="新宋体" w:hint="eastAsia"/>
          <w:sz w:val="21"/>
          <w:szCs w:val="21"/>
        </w:rPr>
        <w:t>6.2 会议针对工程质量、安全、进度文明施工等项目进行落实和施工协调。</w:t>
      </w:r>
    </w:p>
    <w:p>
      <w:pPr>
        <w:pStyle w:val="BodyTextIndent2"/>
        <w:spacing w:line="500" w:lineRule="exact"/>
        <w:ind w:firstLine="0" w:firstLineChars="0"/>
        <w:rPr>
          <w:rFonts w:ascii="新宋体" w:eastAsia="新宋体" w:hAnsi="新宋体"/>
          <w:sz w:val="21"/>
          <w:szCs w:val="21"/>
        </w:rPr>
      </w:pPr>
      <w:r>
        <w:rPr>
          <w:rFonts w:ascii="新宋体" w:eastAsia="新宋体" w:hAnsi="新宋体" w:hint="eastAsia"/>
          <w:sz w:val="21"/>
          <w:szCs w:val="21"/>
        </w:rPr>
        <w:t>具体会议议程：</w:t>
      </w:r>
    </w:p>
    <w:p>
      <w:pPr>
        <w:spacing w:line="500" w:lineRule="exact"/>
        <w:rPr>
          <w:rFonts w:ascii="宋体" w:hAnsi="宋体"/>
          <w:b/>
          <w:bCs/>
          <w:color w:val="FF0000"/>
          <w:szCs w:val="21"/>
        </w:rPr>
      </w:pPr>
      <w:r>
        <w:rPr>
          <w:rFonts w:ascii="宋体" w:hAnsi="宋体" w:hint="eastAsia"/>
          <w:szCs w:val="21"/>
        </w:rPr>
        <w:t>6.2.1各施工单位汇报上周项目情况包括：</w:t>
      </w:r>
      <w:r>
        <w:rPr>
          <w:rFonts w:ascii="宋体" w:hAnsi="宋体" w:hint="eastAsia"/>
          <w:b/>
          <w:bCs/>
          <w:color w:val="FF0000"/>
          <w:szCs w:val="21"/>
        </w:rPr>
        <w:t>上周问题整改落实情况、计划完成情况、质量、安全生产文明施工、各单体各工种人员数量，及计划未完成补救措施，下周计划及保证措施、质量控制点，对配合单位要求及需甲方、监理协调事项；</w:t>
      </w:r>
    </w:p>
    <w:p>
      <w:pPr>
        <w:spacing w:line="500" w:lineRule="exact"/>
        <w:rPr>
          <w:rFonts w:ascii="宋体" w:hAnsi="宋体"/>
          <w:szCs w:val="21"/>
        </w:rPr>
      </w:pPr>
      <w:r>
        <w:rPr>
          <w:rFonts w:ascii="宋体" w:hAnsi="宋体" w:hint="eastAsia"/>
          <w:szCs w:val="21"/>
        </w:rPr>
        <w:t>6.2.2建设单位根据现场情况对施工单位作出评价，提出存在的问题及整改要求；</w:t>
      </w:r>
    </w:p>
    <w:p>
      <w:pPr>
        <w:spacing w:line="500" w:lineRule="exact"/>
        <w:rPr>
          <w:rFonts w:ascii="宋体" w:hAnsi="宋体"/>
          <w:szCs w:val="21"/>
        </w:rPr>
      </w:pPr>
      <w:r>
        <w:rPr>
          <w:rFonts w:ascii="新宋体" w:eastAsia="新宋体" w:hAnsi="新宋体" w:hint="eastAsia"/>
          <w:szCs w:val="18"/>
        </w:rPr>
        <w:t>6.2.3</w:t>
      </w:r>
      <w:r>
        <w:rPr>
          <w:rFonts w:hint="eastAsia"/>
        </w:rPr>
        <w:t>建设单位根据各单位汇报情况作出周工作评价，安排下周工作，解决施工存在的问题，并根据会议决议督导监理、施工单位落实。</w:t>
      </w:r>
    </w:p>
    <w:p>
      <w:pPr>
        <w:pStyle w:val="BodyTextIndent2"/>
        <w:spacing w:line="500" w:lineRule="exact"/>
        <w:ind w:firstLine="420" w:firstLineChars="200"/>
        <w:rPr>
          <w:rFonts w:ascii="新宋体" w:eastAsia="新宋体" w:hAnsi="新宋体"/>
          <w:sz w:val="21"/>
          <w:szCs w:val="21"/>
        </w:rPr>
      </w:pPr>
      <w:r>
        <w:rPr>
          <w:rFonts w:ascii="新宋体" w:eastAsia="新宋体" w:hAnsi="新宋体" w:hint="eastAsia"/>
          <w:sz w:val="21"/>
          <w:szCs w:val="21"/>
        </w:rPr>
        <w:t xml:space="preserve">6.3 </w:t>
      </w:r>
      <w:r>
        <w:rPr>
          <w:rFonts w:ascii="新宋体" w:eastAsia="新宋体" w:hAnsi="新宋体" w:hint="eastAsia"/>
          <w:b/>
          <w:bCs/>
          <w:color w:val="FF0000"/>
          <w:sz w:val="21"/>
          <w:szCs w:val="21"/>
        </w:rPr>
        <w:t>指定分包的协调会议由总包施工单位负责组织和主持</w:t>
      </w:r>
      <w:r>
        <w:rPr>
          <w:rFonts w:ascii="新宋体" w:eastAsia="新宋体" w:hAnsi="新宋体" w:hint="eastAsia"/>
          <w:sz w:val="21"/>
          <w:szCs w:val="21"/>
        </w:rPr>
        <w:t>，建设单位、监理如有必要可以选择性地参加会议，总包施工单位在会议后三天之内向建设单位、监理提交会议纪要。</w:t>
      </w:r>
      <w:r>
        <w:rPr>
          <w:rFonts w:ascii="新宋体" w:eastAsia="新宋体" w:hAnsi="新宋体" w:hint="eastAsia"/>
          <w:b/>
          <w:bCs/>
          <w:color w:val="FF0000"/>
          <w:sz w:val="21"/>
          <w:szCs w:val="21"/>
        </w:rPr>
        <w:t>总包每周组织1～2次的指定分包工程例会</w:t>
      </w:r>
      <w:r>
        <w:rPr>
          <w:rFonts w:ascii="新宋体" w:eastAsia="新宋体" w:hAnsi="新宋体" w:hint="eastAsia"/>
          <w:sz w:val="21"/>
          <w:szCs w:val="21"/>
        </w:rPr>
        <w:t xml:space="preserve">；施工高峰期间，根据现场实际情况建设单位工程部做出相应的措施，进行安排时间开会，用以协调第二天作业面的矛盾；各分包单位应在进场时或者提前两周在例会上提出对道路运输、场地使用、楼面占用、大型机械吊运等要求。总包在各分项工程施工前须与分包单位主动联系，核对清楚各分包工程图纸与施工单位图纸间相关联的尺寸、标高等数据是否统一；了解其在分项工程上的特殊要求，如开槽、预留孔洞、预埋件等，并在每次隐蔽工程之前（如浇注混凝土），请分包单位配合确认。否则，因此而导致的额外施工费用由总包单位承担。 </w:t>
      </w:r>
    </w:p>
    <w:p>
      <w:pPr>
        <w:pStyle w:val="BodyTextIndent2"/>
        <w:spacing w:line="500" w:lineRule="exact"/>
        <w:ind w:firstLine="420" w:firstLineChars="200"/>
        <w:rPr>
          <w:rFonts w:ascii="新宋体" w:eastAsia="新宋体" w:hAnsi="新宋体"/>
          <w:sz w:val="21"/>
          <w:szCs w:val="21"/>
        </w:rPr>
      </w:pPr>
      <w:r>
        <w:rPr>
          <w:rFonts w:ascii="新宋体" w:eastAsia="新宋体" w:hAnsi="新宋体" w:hint="eastAsia"/>
          <w:sz w:val="21"/>
          <w:szCs w:val="21"/>
        </w:rPr>
        <w:t>6.4</w:t>
      </w:r>
      <w:r>
        <w:rPr>
          <w:rFonts w:ascii="新宋体" w:eastAsia="新宋体" w:hAnsi="新宋体" w:hint="eastAsia"/>
          <w:b/>
          <w:bCs/>
          <w:color w:val="FF0000"/>
          <w:sz w:val="21"/>
          <w:szCs w:val="21"/>
        </w:rPr>
        <w:t>每个月由建设单位项目公司组织一次全面的综合大检查</w:t>
      </w:r>
      <w:r>
        <w:rPr>
          <w:rFonts w:ascii="新宋体" w:eastAsia="新宋体" w:hAnsi="新宋体" w:hint="eastAsia"/>
          <w:sz w:val="21"/>
          <w:szCs w:val="21"/>
        </w:rPr>
        <w:t>，检查内容包括质量、进度、文明施工、安全、资料等项目，同时召开跟踪检查会议，解决问题，同时形成会议纪要，进行备案存档、汇报，检查组织人员由建设单位、监理、施工单位项目负责人，技术负责人，安全负责人，资料负责人，分包负责人等组成。具体时间由建设单位确定后,下发各单位。</w:t>
      </w:r>
      <w:r>
        <w:rPr>
          <w:rFonts w:ascii="新宋体" w:eastAsia="新宋体" w:hAnsi="新宋体" w:hint="eastAsia"/>
          <w:b/>
          <w:bCs/>
          <w:color w:val="FF0000"/>
          <w:sz w:val="21"/>
          <w:szCs w:val="21"/>
        </w:rPr>
        <w:t>未按照建设单位约定时间参加会议或者缺席的处施工单位1000元/人违约金索赔，会议期间手机未关机、参会迟到者每次处罚违约金200元/人</w:t>
      </w:r>
      <w:r>
        <w:rPr>
          <w:rFonts w:ascii="新宋体" w:eastAsia="新宋体" w:hAnsi="新宋体" w:hint="eastAsia"/>
          <w:sz w:val="21"/>
          <w:szCs w:val="21"/>
        </w:rPr>
        <w:t>。</w:t>
      </w:r>
    </w:p>
    <w:p>
      <w:pPr>
        <w:pStyle w:val="BodyTextIndent2"/>
        <w:spacing w:line="500" w:lineRule="exact"/>
        <w:ind w:firstLine="0" w:firstLineChars="0"/>
        <w:rPr>
          <w:rFonts w:ascii="新宋体" w:eastAsia="新宋体" w:hAnsi="新宋体"/>
          <w:sz w:val="21"/>
          <w:szCs w:val="21"/>
        </w:rPr>
        <w:sectPr>
          <w:headerReference w:type="default" r:id="rId23"/>
          <w:footerReference w:type="default" r:id="rId24"/>
          <w:type w:val="nextPage"/>
          <w:pgSz w:w="11906" w:h="16838"/>
          <w:pgMar w:top="1134" w:right="851" w:bottom="851" w:left="1418" w:header="851" w:footer="992" w:gutter="0"/>
          <w:pgNumType w:start="10"/>
          <w:cols w:num="1" w:space="720"/>
          <w:titlePg w:val="0"/>
          <w:docGrid w:type="lines" w:linePitch="312" w:charSpace="0"/>
        </w:sectPr>
      </w:pPr>
    </w:p>
    <w:p>
      <w:pPr>
        <w:pStyle w:val="Heading3"/>
        <w:numPr>
          <w:ilvl w:val="0"/>
          <w:numId w:val="1"/>
        </w:numPr>
        <w:rPr>
          <w:rFonts w:ascii="新宋体" w:eastAsia="新宋体" w:hAnsi="新宋体" w:cs="新宋体"/>
          <w:bCs/>
          <w:sz w:val="28"/>
          <w:szCs w:val="28"/>
        </w:rPr>
      </w:pPr>
      <w:bookmarkStart w:id="23" w:name="_Toc23902"/>
      <w:r>
        <w:rPr>
          <w:rFonts w:ascii="新宋体" w:eastAsia="新宋体" w:hAnsi="新宋体" w:cs="新宋体" w:hint="eastAsia"/>
          <w:sz w:val="36"/>
          <w:szCs w:val="36"/>
        </w:rPr>
        <w:t>工程技术管理</w:t>
      </w:r>
      <w:bookmarkEnd w:id="23"/>
    </w:p>
    <w:p>
      <w:pPr>
        <w:pStyle w:val="NormalWeb"/>
        <w:topLinePunct/>
        <w:spacing w:before="0" w:beforeAutospacing="0" w:after="0" w:afterAutospacing="0" w:line="360" w:lineRule="auto"/>
        <w:ind w:firstLine="280" w:firstLineChars="100"/>
        <w:outlineLvl w:val="1"/>
        <w:rPr>
          <w:rFonts w:ascii="新宋体" w:eastAsia="新宋体" w:hAnsi="新宋体" w:cs="新宋体"/>
          <w:b/>
          <w:bCs/>
          <w:kern w:val="2"/>
          <w:sz w:val="28"/>
          <w:szCs w:val="28"/>
        </w:rPr>
      </w:pPr>
      <w:bookmarkStart w:id="24" w:name="_Toc27530"/>
      <w:r>
        <w:rPr>
          <w:rFonts w:ascii="新宋体" w:eastAsia="新宋体" w:hAnsi="新宋体" w:cs="新宋体" w:hint="eastAsia"/>
          <w:b/>
          <w:bCs/>
          <w:kern w:val="2"/>
          <w:sz w:val="28"/>
          <w:szCs w:val="28"/>
        </w:rPr>
        <w:t>1、 图纸会审</w:t>
      </w:r>
      <w:bookmarkEnd w:id="24"/>
    </w:p>
    <w:p>
      <w:pPr>
        <w:pStyle w:val="NormalWeb"/>
        <w:topLinePunct/>
        <w:spacing w:before="0" w:beforeAutospacing="0" w:after="0" w:afterAutospacing="0" w:line="360" w:lineRule="auto"/>
        <w:ind w:firstLine="420" w:firstLineChars="200"/>
        <w:rPr>
          <w:rFonts w:cs="宋体"/>
          <w:kern w:val="2"/>
          <w:szCs w:val="21"/>
        </w:rPr>
      </w:pPr>
      <w:r>
        <w:rPr>
          <w:rFonts w:cs="宋体" w:hint="eastAsia"/>
          <w:kern w:val="2"/>
          <w:szCs w:val="21"/>
        </w:rPr>
        <w:t>1.1工程的整体功能合理是建设项目实施的目的，也是产品品质的体现。开工前，总包施工单位有责任对全套施工图的系统合理性和功能合理性进行审查，将审查意见书面提交建设单位，并将分包施工单位的进度安排和施工难点纳入工程项目总进度计划内，不得以“不是总包范围”为借口，而对分包项目图纸不闻不问。由此在施工中产生的总分包矛盾（如总分包管线交叉“打架”而影响建筑净高、主体工程施工时漏埋分包范围的线管及铁件等），主要责任在总包单位。</w:t>
      </w:r>
    </w:p>
    <w:p>
      <w:pPr>
        <w:pStyle w:val="NormalWeb"/>
        <w:topLinePunct/>
        <w:spacing w:before="0" w:beforeAutospacing="0" w:after="0" w:afterAutospacing="0" w:line="360" w:lineRule="auto"/>
        <w:ind w:firstLine="420" w:firstLineChars="200"/>
        <w:rPr>
          <w:rFonts w:cs="宋体"/>
          <w:color w:val="FF0000"/>
          <w:kern w:val="2"/>
          <w:szCs w:val="21"/>
        </w:rPr>
      </w:pPr>
      <w:r>
        <w:rPr>
          <w:rFonts w:cs="宋体" w:hint="eastAsia"/>
          <w:kern w:val="2"/>
          <w:szCs w:val="21"/>
        </w:rPr>
        <w:t>1.2开工前，施工单位有责任对承包范围的各专业</w:t>
      </w:r>
      <w:r>
        <w:rPr>
          <w:rFonts w:cs="宋体" w:hint="eastAsia"/>
          <w:b/>
          <w:bCs/>
          <w:color w:val="FF0000"/>
          <w:kern w:val="2"/>
          <w:szCs w:val="21"/>
        </w:rPr>
        <w:t>施工图纸进行详细的审查</w:t>
      </w:r>
      <w:r>
        <w:rPr>
          <w:rFonts w:cs="宋体" w:hint="eastAsia"/>
          <w:kern w:val="2"/>
          <w:szCs w:val="21"/>
        </w:rPr>
        <w:t>，必须认真组织其内部的审阅工作，在</w:t>
      </w:r>
      <w:r>
        <w:rPr>
          <w:rFonts w:cs="宋体" w:hint="eastAsia"/>
          <w:b/>
          <w:bCs/>
          <w:color w:val="FF0000"/>
          <w:kern w:val="2"/>
          <w:szCs w:val="21"/>
        </w:rPr>
        <w:t>收到图纸后10天内形成书面意见提交建设单位并抄送监理单位</w:t>
      </w:r>
      <w:r>
        <w:rPr>
          <w:rFonts w:cs="宋体" w:hint="eastAsia"/>
          <w:kern w:val="2"/>
          <w:szCs w:val="21"/>
        </w:rPr>
        <w:t>。如由于图纸审查不严</w:t>
      </w:r>
      <w:r>
        <w:rPr>
          <w:rFonts w:cs="宋体" w:hint="eastAsia"/>
          <w:szCs w:val="21"/>
        </w:rPr>
        <w:t>（包括但不限于各专业施工图说深度是否能满足要求，有无“错”、“漏”、“碰”、“缺”及违反《工程建设标准强制性条文》等情况）</w:t>
      </w:r>
      <w:r>
        <w:rPr>
          <w:rFonts w:cs="宋体" w:hint="eastAsia"/>
          <w:kern w:val="2"/>
          <w:szCs w:val="21"/>
        </w:rPr>
        <w:t>，造成工程返工，导致的一切损失由施工单位承担。</w:t>
      </w:r>
    </w:p>
    <w:p>
      <w:pPr>
        <w:pStyle w:val="NormalWeb"/>
        <w:numPr>
          <w:ilvl w:val="0"/>
          <w:numId w:val="2"/>
        </w:numPr>
        <w:topLinePunct/>
        <w:spacing w:before="0" w:beforeAutospacing="0" w:after="0" w:afterAutospacing="0" w:line="360" w:lineRule="auto"/>
        <w:outlineLvl w:val="1"/>
        <w:rPr>
          <w:rFonts w:ascii="新宋体" w:eastAsia="新宋体" w:hAnsi="新宋体" w:cs="新宋体"/>
          <w:b/>
          <w:bCs/>
          <w:kern w:val="2"/>
          <w:sz w:val="28"/>
          <w:szCs w:val="28"/>
        </w:rPr>
      </w:pPr>
      <w:bookmarkStart w:id="25" w:name="_Toc31549"/>
      <w:r>
        <w:rPr>
          <w:rFonts w:ascii="新宋体" w:eastAsia="新宋体" w:hAnsi="新宋体" w:cs="新宋体" w:hint="eastAsia"/>
          <w:b/>
          <w:bCs/>
          <w:kern w:val="2"/>
          <w:sz w:val="28"/>
          <w:szCs w:val="28"/>
        </w:rPr>
        <w:t>技术核定及洽商</w:t>
      </w:r>
      <w:bookmarkEnd w:id="25"/>
    </w:p>
    <w:p>
      <w:pPr>
        <w:pStyle w:val="NormalWeb"/>
        <w:topLinePunct/>
        <w:spacing w:before="0" w:beforeAutospacing="0" w:after="0" w:afterAutospacing="0" w:line="360" w:lineRule="auto"/>
        <w:ind w:firstLine="420" w:firstLineChars="200"/>
        <w:rPr>
          <w:rFonts w:ascii="新宋体" w:eastAsia="新宋体" w:hAnsi="新宋体" w:cs="新宋体"/>
          <w:kern w:val="2"/>
          <w:szCs w:val="21"/>
        </w:rPr>
      </w:pPr>
      <w:r>
        <w:rPr>
          <w:rFonts w:ascii="新宋体" w:eastAsia="新宋体" w:hAnsi="新宋体" w:cs="新宋体" w:hint="eastAsia"/>
          <w:kern w:val="2"/>
          <w:szCs w:val="21"/>
        </w:rPr>
        <w:t>2.1在施工过程中，总包单位因设计图纸有错漏或与实际情况不符，施工条件、施工工艺、材料品种、规格、数量不能满足设计要求，以及提出合理化建议等原因，需对施工图纸进行修改，总包单位应在工序开始前25天内提出书面工程技术核定洽商单，并专题交底。</w:t>
      </w:r>
    </w:p>
    <w:p>
      <w:pPr>
        <w:pStyle w:val="NormalWeb"/>
        <w:topLinePunct/>
        <w:spacing w:before="0" w:beforeAutospacing="0" w:after="0" w:afterAutospacing="0" w:line="360" w:lineRule="auto"/>
        <w:ind w:firstLine="420" w:firstLineChars="200"/>
        <w:rPr>
          <w:rFonts w:ascii="新宋体" w:eastAsia="新宋体" w:hAnsi="新宋体" w:cs="新宋体"/>
          <w:kern w:val="2"/>
          <w:szCs w:val="21"/>
        </w:rPr>
      </w:pPr>
      <w:r>
        <w:rPr>
          <w:rFonts w:ascii="新宋体" w:eastAsia="新宋体" w:hAnsi="新宋体" w:cs="新宋体" w:hint="eastAsia"/>
          <w:kern w:val="2"/>
          <w:szCs w:val="21"/>
        </w:rPr>
        <w:t>2.2对于施工图存在的专业间矛盾、尺寸错误、大样图不明确、功能不合理、违背国家强制性规范等施工方应发现的问题，总包单位应在工序开始前及时提出，不能隐瞒不报，或推诿为“按图施工”。否则，要追究其不作为责任，对因此产生的后果，总包单位除无条件整改外，并承担由此产生的一切损失。</w:t>
      </w:r>
    </w:p>
    <w:p>
      <w:pPr>
        <w:pStyle w:val="NormalWeb"/>
        <w:topLinePunct/>
        <w:spacing w:before="0" w:beforeAutospacing="0" w:after="0" w:afterAutospacing="0" w:line="360" w:lineRule="auto"/>
        <w:ind w:firstLine="420" w:firstLineChars="200"/>
        <w:rPr>
          <w:rFonts w:ascii="新宋体" w:eastAsia="新宋体" w:hAnsi="新宋体" w:cs="新宋体"/>
          <w:kern w:val="2"/>
          <w:szCs w:val="21"/>
        </w:rPr>
      </w:pPr>
      <w:r>
        <w:rPr>
          <w:rFonts w:ascii="新宋体" w:eastAsia="新宋体" w:hAnsi="新宋体" w:cs="新宋体" w:hint="eastAsia"/>
          <w:kern w:val="2"/>
          <w:szCs w:val="21"/>
        </w:rPr>
        <w:t>2.3属于建设单位确认的建设规模、结构体系、系统功能等重大设计变更，由建设单位负责联系设计单位出具设计变更资料，施工单位应无条件配合实施。</w:t>
      </w:r>
    </w:p>
    <w:p>
      <w:pPr>
        <w:pStyle w:val="NormalWeb"/>
        <w:topLinePunct/>
        <w:spacing w:before="0" w:beforeAutospacing="0" w:after="0" w:afterAutospacing="0" w:line="360" w:lineRule="auto"/>
        <w:outlineLvl w:val="1"/>
        <w:rPr>
          <w:rFonts w:ascii="新宋体" w:eastAsia="新宋体" w:hAnsi="新宋体" w:cs="新宋体"/>
          <w:b/>
          <w:bCs/>
          <w:kern w:val="2"/>
          <w:sz w:val="28"/>
          <w:szCs w:val="28"/>
        </w:rPr>
      </w:pPr>
      <w:bookmarkStart w:id="26" w:name="_Toc24752"/>
      <w:r>
        <w:rPr>
          <w:rFonts w:ascii="新宋体" w:eastAsia="新宋体" w:hAnsi="新宋体" w:cs="新宋体" w:hint="eastAsia"/>
          <w:b/>
          <w:bCs/>
          <w:kern w:val="2"/>
          <w:sz w:val="28"/>
          <w:szCs w:val="28"/>
        </w:rPr>
        <w:t>3、 技术交底</w:t>
      </w:r>
      <w:bookmarkEnd w:id="26"/>
    </w:p>
    <w:p>
      <w:pPr>
        <w:pStyle w:val="NormalWeb"/>
        <w:topLinePunct/>
        <w:spacing w:before="0" w:beforeAutospacing="0" w:after="0" w:afterAutospacing="0" w:line="360" w:lineRule="auto"/>
        <w:ind w:firstLine="420" w:firstLineChars="200"/>
        <w:rPr>
          <w:rFonts w:cs="宋体"/>
          <w:b/>
          <w:bCs/>
          <w:szCs w:val="21"/>
        </w:rPr>
      </w:pPr>
      <w:r>
        <w:rPr>
          <w:rFonts w:cs="宋体" w:hint="eastAsia"/>
          <w:kern w:val="2"/>
          <w:szCs w:val="21"/>
        </w:rPr>
        <w:t>3.1施工单位必须</w:t>
      </w:r>
      <w:r>
        <w:rPr>
          <w:rFonts w:cs="宋体" w:hint="eastAsia"/>
          <w:b/>
          <w:bCs/>
          <w:color w:val="FF0000"/>
          <w:kern w:val="2"/>
          <w:szCs w:val="21"/>
        </w:rPr>
        <w:t>建立并落实技术交底制度</w:t>
      </w:r>
      <w:r>
        <w:rPr>
          <w:rFonts w:cs="宋体" w:hint="eastAsia"/>
          <w:kern w:val="2"/>
          <w:szCs w:val="21"/>
        </w:rPr>
        <w:t>，做到分部分项工程施工前，项目技术负责人向施工员、施工员向施工班组进行技术交底，并留存交底记录。施工过程中，由于设计的重大修改或现场条件、工艺的变化，必须重新组织交底。监理单位应严格跟踪此项工作并留有记录。</w:t>
      </w:r>
    </w:p>
    <w:p>
      <w:pPr>
        <w:spacing w:line="500" w:lineRule="exact"/>
        <w:ind w:firstLine="166" w:firstLineChars="46"/>
        <w:outlineLvl w:val="0"/>
        <w:rPr>
          <w:rFonts w:ascii="新宋体" w:eastAsia="新宋体" w:hAnsi="新宋体"/>
          <w:b/>
          <w:bCs/>
          <w:sz w:val="36"/>
          <w:szCs w:val="36"/>
        </w:rPr>
      </w:pPr>
      <w:bookmarkStart w:id="27" w:name="_Toc26918"/>
      <w:bookmarkStart w:id="28" w:name="_Toc7984"/>
      <w:bookmarkStart w:id="29" w:name="_Toc22310"/>
      <w:r>
        <w:rPr>
          <w:rFonts w:ascii="新宋体" w:eastAsia="新宋体" w:hAnsi="新宋体" w:hint="eastAsia"/>
          <w:b/>
          <w:bCs/>
          <w:sz w:val="36"/>
          <w:szCs w:val="36"/>
        </w:rPr>
        <w:t>三、工程进度管理</w:t>
      </w:r>
      <w:bookmarkEnd w:id="27"/>
      <w:bookmarkEnd w:id="28"/>
      <w:bookmarkEnd w:id="29"/>
    </w:p>
    <w:p>
      <w:pPr>
        <w:tabs>
          <w:tab w:val="left" w:pos="810"/>
        </w:tabs>
        <w:spacing w:line="500" w:lineRule="exact"/>
        <w:ind w:firstLine="97" w:firstLineChars="46"/>
        <w:rPr>
          <w:rFonts w:ascii="新宋体" w:eastAsia="新宋体" w:hAnsi="新宋体"/>
          <w:b/>
          <w:bCs/>
          <w:szCs w:val="21"/>
        </w:rPr>
      </w:pPr>
      <w:r>
        <w:rPr>
          <w:rFonts w:ascii="新宋体" w:eastAsia="新宋体" w:hAnsi="新宋体"/>
          <w:b/>
          <w:bCs/>
          <w:szCs w:val="21"/>
        </w:rPr>
        <w:tab/>
      </w:r>
    </w:p>
    <w:p>
      <w:pPr>
        <w:pStyle w:val="BodyTextIndent2"/>
        <w:spacing w:line="500" w:lineRule="exact"/>
        <w:ind w:left="126" w:firstLine="0" w:leftChars="60" w:firstLineChars="0"/>
        <w:rPr>
          <w:rFonts w:ascii="新宋体" w:eastAsia="新宋体" w:hAnsi="新宋体"/>
          <w:sz w:val="21"/>
          <w:szCs w:val="21"/>
        </w:rPr>
      </w:pPr>
      <w:r>
        <w:rPr>
          <w:rFonts w:ascii="新宋体" w:eastAsia="新宋体" w:hAnsi="新宋体" w:hint="eastAsia"/>
          <w:sz w:val="21"/>
          <w:szCs w:val="21"/>
        </w:rPr>
        <w:t>1、</w:t>
      </w:r>
      <w:r>
        <w:rPr>
          <w:rFonts w:ascii="新宋体" w:eastAsia="新宋体" w:hAnsi="新宋体" w:hint="eastAsia"/>
          <w:b/>
          <w:bCs/>
          <w:color w:val="FF0000"/>
          <w:sz w:val="21"/>
          <w:szCs w:val="21"/>
        </w:rPr>
        <w:t>每周例会</w:t>
      </w:r>
      <w:r>
        <w:rPr>
          <w:rFonts w:ascii="新宋体" w:eastAsia="新宋体" w:hAnsi="新宋体" w:hint="eastAsia"/>
          <w:sz w:val="21"/>
          <w:szCs w:val="21"/>
        </w:rPr>
        <w:t>时施工单位向建设单位、监理</w:t>
      </w:r>
      <w:r>
        <w:rPr>
          <w:rFonts w:ascii="新宋体" w:eastAsia="新宋体" w:hAnsi="新宋体" w:hint="eastAsia"/>
          <w:b/>
          <w:bCs/>
          <w:color w:val="FF0000"/>
          <w:sz w:val="21"/>
          <w:szCs w:val="21"/>
        </w:rPr>
        <w:t>提供本周的进度计划、劳动力计划</w:t>
      </w:r>
      <w:r>
        <w:rPr>
          <w:rFonts w:ascii="新宋体" w:eastAsia="新宋体" w:hAnsi="新宋体" w:hint="eastAsia"/>
          <w:sz w:val="21"/>
          <w:szCs w:val="21"/>
        </w:rPr>
        <w:t>。（见附表：周工作汇报）</w:t>
      </w:r>
    </w:p>
    <w:p>
      <w:pPr>
        <w:pStyle w:val="BodyTextIndent2"/>
        <w:spacing w:line="500" w:lineRule="exact"/>
        <w:ind w:left="126" w:firstLine="0" w:leftChars="60" w:firstLineChars="0"/>
        <w:rPr>
          <w:rFonts w:ascii="新宋体" w:eastAsia="新宋体" w:hAnsi="新宋体"/>
          <w:sz w:val="21"/>
          <w:szCs w:val="21"/>
        </w:rPr>
        <w:sectPr>
          <w:headerReference w:type="default" r:id="rId25"/>
          <w:footerReference w:type="default" r:id="rId26"/>
          <w:type w:val="nextPage"/>
          <w:pgSz w:w="11906" w:h="16838"/>
          <w:pgMar w:top="1134" w:right="851" w:bottom="851" w:left="1418" w:header="851" w:footer="992" w:gutter="0"/>
          <w:pgNumType w:start="11"/>
          <w:cols w:num="1" w:space="720"/>
          <w:titlePg w:val="0"/>
          <w:docGrid w:type="lines" w:linePitch="312" w:charSpace="0"/>
        </w:sectPr>
      </w:pPr>
    </w:p>
    <w:p>
      <w:pPr>
        <w:pStyle w:val="BodyTextIndent2"/>
        <w:spacing w:line="500" w:lineRule="exact"/>
        <w:ind w:left="126" w:firstLine="0" w:leftChars="60" w:firstLineChars="0"/>
        <w:rPr>
          <w:rFonts w:ascii="新宋体" w:eastAsia="新宋体" w:hAnsi="新宋体"/>
          <w:sz w:val="21"/>
          <w:szCs w:val="21"/>
        </w:rPr>
      </w:pPr>
      <w:r>
        <w:rPr>
          <w:rFonts w:ascii="新宋体" w:eastAsia="新宋体" w:hAnsi="新宋体" w:hint="eastAsia"/>
          <w:sz w:val="21"/>
          <w:szCs w:val="21"/>
        </w:rPr>
        <w:t>2、建设单位、监理提出的施工单位在工程建设过程中有不利于进度的问题，施工单位必须采取有效措施及时整改。</w:t>
      </w:r>
    </w:p>
    <w:p>
      <w:pPr>
        <w:pStyle w:val="BodyTextIndent2"/>
        <w:spacing w:line="500" w:lineRule="exact"/>
        <w:ind w:left="126" w:firstLine="0" w:leftChars="60" w:firstLineChars="0"/>
        <w:rPr>
          <w:rFonts w:ascii="新宋体" w:eastAsia="新宋体" w:hAnsi="新宋体"/>
          <w:sz w:val="21"/>
          <w:szCs w:val="21"/>
        </w:rPr>
      </w:pPr>
      <w:r>
        <w:rPr>
          <w:rFonts w:ascii="新宋体" w:eastAsia="新宋体" w:hAnsi="新宋体" w:hint="eastAsia"/>
          <w:sz w:val="21"/>
          <w:szCs w:val="21"/>
        </w:rPr>
        <w:t>3、施工单位若出现严重的施工进度问题时，建设单位有权采取一切有效措施（包括要求更换施工班组及相应的管理人员），确保计划的顺利实施，施工单位必须积极配合。由此所产生的费用由施工单位承担，同时按照合同约定赔偿建设单位在该阶段因此造成的一切损失。</w:t>
      </w:r>
    </w:p>
    <w:p>
      <w:pPr>
        <w:pStyle w:val="BodyTextIndent2"/>
        <w:spacing w:line="500" w:lineRule="exact"/>
        <w:ind w:left="126" w:firstLine="0" w:leftChars="60" w:firstLineChars="0"/>
        <w:rPr>
          <w:rFonts w:ascii="新宋体" w:eastAsia="新宋体" w:hAnsi="新宋体"/>
          <w:sz w:val="21"/>
          <w:szCs w:val="21"/>
        </w:rPr>
      </w:pPr>
      <w:r>
        <w:rPr>
          <w:rFonts w:ascii="新宋体" w:eastAsia="新宋体" w:hAnsi="新宋体" w:hint="eastAsia"/>
          <w:sz w:val="21"/>
          <w:szCs w:val="21"/>
        </w:rPr>
        <w:t>4、在每一期进度款申报期内，施工单位工程施工实际进度（含工期顺延）落后于经监理或建设单位核准执行的计划目标的，每落后一天，施工单位向建设单位按照合同约定支付违约金或赔偿损失。</w:t>
      </w:r>
    </w:p>
    <w:p>
      <w:pPr>
        <w:pStyle w:val="BodyTextIndent2"/>
        <w:spacing w:line="500" w:lineRule="exact"/>
        <w:ind w:left="126" w:firstLine="0" w:leftChars="60" w:firstLineChars="0"/>
        <w:rPr>
          <w:rFonts w:ascii="新宋体" w:eastAsia="新宋体" w:hAnsi="新宋体"/>
          <w:sz w:val="21"/>
          <w:szCs w:val="21"/>
        </w:rPr>
      </w:pPr>
      <w:r>
        <w:rPr>
          <w:rFonts w:ascii="新宋体" w:eastAsia="新宋体" w:hAnsi="新宋体" w:hint="eastAsia"/>
          <w:sz w:val="21"/>
          <w:szCs w:val="21"/>
        </w:rPr>
        <w:t>5、施工单位必须确保合同约定的节点工期及建设单位因销售、样板交房等需要的工程施工进度，否则，将按合同约定承担违约责任。</w:t>
      </w:r>
    </w:p>
    <w:p>
      <w:pPr>
        <w:spacing w:line="500" w:lineRule="exact"/>
        <w:rPr>
          <w:rFonts w:ascii="新宋体" w:eastAsia="新宋体" w:hAnsi="新宋体"/>
          <w:b/>
          <w:bCs/>
          <w:sz w:val="32"/>
          <w:szCs w:val="32"/>
        </w:rPr>
      </w:pPr>
    </w:p>
    <w:p>
      <w:pPr>
        <w:pStyle w:val="Heading3"/>
        <w:rPr>
          <w:rFonts w:ascii="新宋体" w:eastAsia="新宋体" w:hAnsi="新宋体" w:cs="新宋体"/>
          <w:sz w:val="36"/>
          <w:szCs w:val="36"/>
        </w:rPr>
      </w:pPr>
      <w:bookmarkStart w:id="30" w:name="_Toc19760"/>
      <w:bookmarkStart w:id="31" w:name="_Toc518"/>
      <w:r>
        <w:rPr>
          <w:rFonts w:ascii="新宋体" w:eastAsia="新宋体" w:hAnsi="新宋体" w:cs="新宋体" w:hint="eastAsia"/>
          <w:sz w:val="36"/>
          <w:szCs w:val="36"/>
        </w:rPr>
        <w:t>四、工程质量管理</w:t>
      </w:r>
      <w:bookmarkEnd w:id="30"/>
      <w:bookmarkEnd w:id="31"/>
    </w:p>
    <w:p>
      <w:pPr>
        <w:pStyle w:val="BodyTextIndent2"/>
        <w:spacing w:line="500" w:lineRule="exact"/>
        <w:ind w:left="126" w:firstLine="0" w:leftChars="60" w:firstLineChars="0"/>
        <w:outlineLvl w:val="1"/>
        <w:rPr>
          <w:b/>
          <w:sz w:val="28"/>
          <w:szCs w:val="28"/>
        </w:rPr>
      </w:pPr>
      <w:bookmarkStart w:id="32" w:name="_Toc19088"/>
      <w:bookmarkStart w:id="33" w:name="_Toc15781"/>
      <w:r>
        <w:rPr>
          <w:rFonts w:hint="eastAsia"/>
          <w:b/>
          <w:sz w:val="28"/>
          <w:szCs w:val="28"/>
        </w:rPr>
        <w:t>1、质量保证体系</w:t>
      </w:r>
      <w:bookmarkEnd w:id="32"/>
      <w:bookmarkEnd w:id="33"/>
    </w:p>
    <w:p>
      <w:pPr>
        <w:pStyle w:val="NormalWeb"/>
        <w:topLinePunct/>
        <w:spacing w:before="0" w:beforeAutospacing="0" w:after="0" w:afterAutospacing="0" w:line="360" w:lineRule="auto"/>
        <w:ind w:firstLine="420" w:firstLineChars="200"/>
        <w:rPr>
          <w:rFonts w:cs="宋体"/>
          <w:b/>
          <w:bCs/>
          <w:color w:val="FF0000"/>
          <w:kern w:val="2"/>
          <w:szCs w:val="21"/>
        </w:rPr>
      </w:pPr>
      <w:r>
        <w:rPr>
          <w:rFonts w:cs="宋体" w:hint="eastAsia"/>
          <w:kern w:val="2"/>
          <w:szCs w:val="21"/>
        </w:rPr>
        <w:t>1.1施工单位必须</w:t>
      </w:r>
      <w:r>
        <w:rPr>
          <w:rFonts w:cs="宋体" w:hint="eastAsia"/>
          <w:b/>
          <w:bCs/>
          <w:color w:val="FF0000"/>
          <w:kern w:val="2"/>
          <w:szCs w:val="21"/>
        </w:rPr>
        <w:t>建立健全质量保证体系，落实各级质量责任制，明确工程质量目标，有切实可行的保证措施，并书面报送监理单位及建设单位。</w:t>
      </w:r>
    </w:p>
    <w:p>
      <w:pPr>
        <w:pStyle w:val="BodyTextIndent2"/>
        <w:spacing w:line="500" w:lineRule="exact"/>
        <w:ind w:left="126" w:firstLine="0" w:leftChars="60" w:firstLineChars="0"/>
        <w:outlineLvl w:val="1"/>
        <w:rPr>
          <w:b/>
          <w:sz w:val="28"/>
          <w:szCs w:val="28"/>
        </w:rPr>
      </w:pPr>
      <w:bookmarkStart w:id="34" w:name="_Toc31138"/>
      <w:bookmarkStart w:id="35" w:name="_Toc17138"/>
      <w:r>
        <w:rPr>
          <w:rFonts w:hint="eastAsia"/>
          <w:b/>
          <w:sz w:val="28"/>
          <w:szCs w:val="28"/>
        </w:rPr>
        <w:t>2、施工阶段</w:t>
      </w:r>
      <w:bookmarkEnd w:id="34"/>
      <w:bookmarkEnd w:id="35"/>
    </w:p>
    <w:p>
      <w:pPr>
        <w:pStyle w:val="BodyTextIndent2"/>
        <w:spacing w:line="500" w:lineRule="exact"/>
        <w:ind w:left="126" w:firstLine="0" w:leftChars="60" w:firstLineChars="0"/>
        <w:rPr>
          <w:rFonts w:ascii="新宋体" w:eastAsia="新宋体" w:hAnsi="新宋体"/>
          <w:sz w:val="21"/>
          <w:szCs w:val="21"/>
        </w:rPr>
      </w:pPr>
      <w:r>
        <w:rPr>
          <w:rFonts w:ascii="新宋体" w:eastAsia="新宋体" w:hAnsi="新宋体" w:hint="eastAsia"/>
          <w:sz w:val="21"/>
          <w:szCs w:val="21"/>
        </w:rPr>
        <w:t>2.1 在签订施工合同后正式开工后10日内，施工单位必须向建设单位、监理提交具有可操作性的施工组织设计，并后附表单（LYHS-XC-B-001施工组织设计会审记录），经建设单位、监理批准后，施工单位必须严格按照审批后的施工组织设计方案组织实施。对以下几个问题必须针对本项目予以细化：</w:t>
      </w:r>
    </w:p>
    <w:p>
      <w:pPr>
        <w:pStyle w:val="BodyTextIndent2"/>
        <w:spacing w:line="500" w:lineRule="exact"/>
        <w:ind w:firstLine="0" w:firstLineChars="0"/>
        <w:rPr>
          <w:rFonts w:ascii="新宋体" w:eastAsia="新宋体" w:hAnsi="新宋体"/>
          <w:sz w:val="21"/>
          <w:szCs w:val="21"/>
        </w:rPr>
      </w:pPr>
      <w:r>
        <w:rPr>
          <w:rFonts w:ascii="新宋体" w:eastAsia="新宋体" w:hAnsi="新宋体" w:hint="eastAsia"/>
          <w:sz w:val="21"/>
          <w:szCs w:val="21"/>
        </w:rPr>
        <w:t>(1)施工单位主要管理人员的名册、分工、资质证书等。</w:t>
      </w:r>
    </w:p>
    <w:p>
      <w:pPr>
        <w:pStyle w:val="BodyTextIndent2"/>
        <w:spacing w:line="500" w:lineRule="exact"/>
        <w:ind w:firstLine="0" w:firstLineChars="0"/>
        <w:rPr>
          <w:rFonts w:ascii="新宋体" w:eastAsia="新宋体" w:hAnsi="新宋体"/>
          <w:sz w:val="21"/>
          <w:szCs w:val="21"/>
        </w:rPr>
      </w:pPr>
      <w:r>
        <w:rPr>
          <w:rFonts w:ascii="新宋体" w:eastAsia="新宋体" w:hAnsi="新宋体" w:hint="eastAsia"/>
          <w:sz w:val="21"/>
          <w:szCs w:val="21"/>
        </w:rPr>
        <w:t>(2)质量检查的组织者、方式、程序等。</w:t>
      </w:r>
    </w:p>
    <w:p>
      <w:pPr>
        <w:pStyle w:val="BodyTextIndent2"/>
        <w:spacing w:line="500" w:lineRule="exact"/>
        <w:ind w:firstLine="0" w:firstLineChars="0"/>
        <w:rPr>
          <w:rFonts w:ascii="新宋体" w:eastAsia="新宋体" w:hAnsi="新宋体"/>
          <w:sz w:val="21"/>
          <w:szCs w:val="21"/>
        </w:rPr>
      </w:pPr>
      <w:r>
        <w:rPr>
          <w:rFonts w:ascii="新宋体" w:eastAsia="新宋体" w:hAnsi="新宋体" w:hint="eastAsia"/>
          <w:sz w:val="21"/>
          <w:szCs w:val="21"/>
        </w:rPr>
        <w:t>(3)质量保证措施。</w:t>
      </w:r>
    </w:p>
    <w:p>
      <w:pPr>
        <w:pStyle w:val="BodyTextIndent2"/>
        <w:spacing w:line="500" w:lineRule="exact"/>
        <w:ind w:firstLine="0" w:firstLineChars="0"/>
        <w:rPr>
          <w:rFonts w:ascii="新宋体" w:eastAsia="新宋体" w:hAnsi="新宋体"/>
          <w:sz w:val="21"/>
          <w:szCs w:val="21"/>
        </w:rPr>
      </w:pPr>
      <w:r>
        <w:rPr>
          <w:rFonts w:ascii="新宋体" w:eastAsia="新宋体" w:hAnsi="新宋体" w:hint="eastAsia"/>
          <w:sz w:val="21"/>
          <w:szCs w:val="21"/>
        </w:rPr>
        <w:t>(4)各个工序的施工程序交叉与控制要点。</w:t>
      </w:r>
    </w:p>
    <w:p>
      <w:pPr>
        <w:pStyle w:val="BodyTextIndent2"/>
        <w:spacing w:line="500" w:lineRule="exact"/>
        <w:ind w:firstLine="0" w:firstLineChars="0"/>
        <w:rPr>
          <w:rFonts w:ascii="新宋体" w:eastAsia="新宋体" w:hAnsi="新宋体"/>
          <w:sz w:val="21"/>
          <w:szCs w:val="21"/>
        </w:rPr>
      </w:pPr>
      <w:r>
        <w:rPr>
          <w:rFonts w:ascii="新宋体" w:eastAsia="新宋体" w:hAnsi="新宋体" w:hint="eastAsia"/>
          <w:sz w:val="21"/>
          <w:szCs w:val="21"/>
        </w:rPr>
        <w:t>(5)施工进度计划和保证措施。</w:t>
      </w:r>
    </w:p>
    <w:p>
      <w:pPr>
        <w:pStyle w:val="BodyTextIndent2"/>
        <w:spacing w:line="500" w:lineRule="exact"/>
        <w:ind w:firstLine="0" w:firstLineChars="0"/>
        <w:rPr>
          <w:rFonts w:ascii="新宋体" w:eastAsia="新宋体" w:hAnsi="新宋体"/>
          <w:sz w:val="21"/>
          <w:szCs w:val="21"/>
        </w:rPr>
      </w:pPr>
      <w:r>
        <w:rPr>
          <w:rFonts w:ascii="新宋体" w:eastAsia="新宋体" w:hAnsi="新宋体" w:hint="eastAsia"/>
          <w:sz w:val="21"/>
          <w:szCs w:val="21"/>
        </w:rPr>
        <w:t>(6)劳动力安排计划和保证措施。</w:t>
      </w:r>
    </w:p>
    <w:p>
      <w:pPr>
        <w:pStyle w:val="BodyTextIndent2"/>
        <w:spacing w:line="500" w:lineRule="exact"/>
        <w:ind w:firstLine="0" w:firstLineChars="0"/>
        <w:rPr>
          <w:rFonts w:ascii="新宋体" w:eastAsia="新宋体" w:hAnsi="新宋体"/>
          <w:sz w:val="21"/>
          <w:szCs w:val="21"/>
        </w:rPr>
      </w:pPr>
      <w:r>
        <w:rPr>
          <w:rFonts w:ascii="新宋体" w:eastAsia="新宋体" w:hAnsi="新宋体" w:hint="eastAsia"/>
          <w:sz w:val="21"/>
          <w:szCs w:val="21"/>
        </w:rPr>
        <w:t>(7)材料计划和保证措施。</w:t>
      </w:r>
    </w:p>
    <w:p>
      <w:pPr>
        <w:pStyle w:val="BodyTextIndent2"/>
        <w:spacing w:line="500" w:lineRule="exact"/>
        <w:ind w:firstLine="0" w:firstLineChars="0"/>
        <w:rPr>
          <w:rFonts w:ascii="新宋体" w:eastAsia="新宋体" w:hAnsi="新宋体"/>
          <w:sz w:val="21"/>
          <w:szCs w:val="21"/>
        </w:rPr>
      </w:pPr>
      <w:r>
        <w:rPr>
          <w:rFonts w:ascii="新宋体" w:eastAsia="新宋体" w:hAnsi="新宋体" w:hint="eastAsia"/>
          <w:sz w:val="21"/>
          <w:szCs w:val="21"/>
        </w:rPr>
        <w:t>(8)施工场地平面布置图。</w:t>
      </w:r>
    </w:p>
    <w:p>
      <w:pPr>
        <w:pStyle w:val="BodyTextIndent2"/>
        <w:spacing w:line="500" w:lineRule="exact"/>
        <w:ind w:firstLine="0" w:firstLineChars="0"/>
        <w:rPr>
          <w:rFonts w:ascii="新宋体" w:eastAsia="新宋体" w:hAnsi="新宋体"/>
          <w:sz w:val="21"/>
          <w:szCs w:val="21"/>
        </w:rPr>
      </w:pPr>
      <w:r>
        <w:rPr>
          <w:rFonts w:ascii="新宋体" w:eastAsia="新宋体" w:hAnsi="新宋体" w:hint="eastAsia"/>
          <w:sz w:val="21"/>
          <w:szCs w:val="21"/>
        </w:rPr>
        <w:t>(9)安全、文明施工措施。</w:t>
      </w:r>
    </w:p>
    <w:p>
      <w:pPr>
        <w:pStyle w:val="BodyTextIndent2"/>
        <w:spacing w:line="500" w:lineRule="exact"/>
        <w:ind w:firstLine="0" w:firstLineChars="0"/>
        <w:rPr>
          <w:rFonts w:ascii="新宋体" w:eastAsia="新宋体" w:hAnsi="新宋体"/>
          <w:sz w:val="21"/>
          <w:szCs w:val="21"/>
        </w:rPr>
      </w:pPr>
      <w:r>
        <w:rPr>
          <w:rFonts w:ascii="新宋体" w:eastAsia="新宋体" w:hAnsi="新宋体" w:hint="eastAsia"/>
          <w:sz w:val="21"/>
          <w:szCs w:val="21"/>
        </w:rPr>
        <w:t>(10)成品保护措施。</w:t>
      </w:r>
    </w:p>
    <w:p>
      <w:pPr>
        <w:pStyle w:val="NormalWeb"/>
        <w:topLinePunct/>
        <w:spacing w:before="0" w:beforeAutospacing="0" w:after="0" w:afterAutospacing="0" w:line="360" w:lineRule="auto"/>
        <w:rPr>
          <w:rFonts w:ascii="新宋体" w:eastAsia="新宋体" w:hAnsi="新宋体" w:cs="新宋体"/>
          <w:kern w:val="2"/>
          <w:szCs w:val="21"/>
        </w:rPr>
        <w:sectPr>
          <w:headerReference w:type="default" r:id="rId27"/>
          <w:footerReference w:type="default" r:id="rId28"/>
          <w:type w:val="nextPage"/>
          <w:pgSz w:w="11906" w:h="16838"/>
          <w:pgMar w:top="1134" w:right="851" w:bottom="851" w:left="1418" w:header="851" w:footer="992" w:gutter="0"/>
          <w:pgNumType w:start="12"/>
          <w:cols w:num="1" w:space="720"/>
          <w:titlePg w:val="0"/>
          <w:docGrid w:type="lines" w:linePitch="312" w:charSpace="0"/>
        </w:sectPr>
      </w:pPr>
      <w:r>
        <w:rPr>
          <w:rFonts w:ascii="新宋体" w:eastAsia="新宋体" w:hAnsi="新宋体" w:cs="新宋体" w:hint="eastAsia"/>
          <w:kern w:val="2"/>
          <w:szCs w:val="21"/>
        </w:rPr>
        <w:t>2.2 落实</w:t>
      </w:r>
      <w:r>
        <w:rPr>
          <w:rFonts w:ascii="新宋体" w:eastAsia="新宋体" w:hAnsi="新宋体" w:cs="新宋体" w:hint="eastAsia"/>
          <w:b/>
          <w:bCs/>
          <w:color w:val="FF0000"/>
          <w:kern w:val="2"/>
          <w:szCs w:val="21"/>
        </w:rPr>
        <w:t>“三检制”</w:t>
      </w:r>
    </w:p>
    <w:p>
      <w:pPr>
        <w:pStyle w:val="NormalWeb"/>
        <w:topLinePunct/>
        <w:spacing w:before="0" w:beforeAutospacing="0" w:after="0" w:afterAutospacing="0" w:line="360" w:lineRule="auto"/>
        <w:ind w:firstLine="420" w:firstLineChars="200"/>
        <w:rPr>
          <w:rFonts w:ascii="新宋体" w:eastAsia="新宋体" w:hAnsi="新宋体" w:cs="新宋体"/>
          <w:kern w:val="2"/>
          <w:szCs w:val="21"/>
        </w:rPr>
      </w:pPr>
      <w:r>
        <w:rPr>
          <w:rFonts w:ascii="新宋体" w:eastAsia="新宋体" w:hAnsi="新宋体" w:cs="新宋体" w:hint="eastAsia"/>
          <w:kern w:val="2"/>
          <w:szCs w:val="21"/>
        </w:rPr>
        <w:t>1）施工单位进行下道工序前</w:t>
      </w:r>
      <w:r>
        <w:rPr>
          <w:rFonts w:ascii="新宋体" w:eastAsia="新宋体" w:hAnsi="新宋体" w:cs="新宋体" w:hint="eastAsia"/>
          <w:b/>
          <w:bCs/>
          <w:color w:val="FF0000"/>
          <w:kern w:val="2"/>
          <w:szCs w:val="21"/>
        </w:rPr>
        <w:t>必须落实自检、互检及交接检的“三检制”，配合使用移动质检软件并留有检查记录</w:t>
      </w:r>
      <w:r>
        <w:rPr>
          <w:rFonts w:ascii="新宋体" w:eastAsia="新宋体" w:hAnsi="新宋体" w:cs="新宋体" w:hint="eastAsia"/>
          <w:kern w:val="2"/>
          <w:szCs w:val="21"/>
        </w:rPr>
        <w:t>，施工单位应加强内部的施工过程质量控制，施工单位检验全部合格后方可报请监理和建设单位验收。否则建设单位现场工程项目部可视其问题的性质有权拒付或减付当月工程进度款，直至该问题得以彻底解决方可补付拒付或减付的工程进度款。</w:t>
      </w:r>
    </w:p>
    <w:p>
      <w:pPr>
        <w:pStyle w:val="NormalWeb"/>
        <w:topLinePunct/>
        <w:spacing w:before="0" w:beforeAutospacing="0" w:after="0" w:afterAutospacing="0" w:line="360" w:lineRule="auto"/>
        <w:rPr>
          <w:rFonts w:ascii="新宋体" w:eastAsia="新宋体" w:hAnsi="新宋体" w:cs="新宋体"/>
          <w:kern w:val="2"/>
          <w:szCs w:val="21"/>
        </w:rPr>
      </w:pPr>
      <w:r>
        <w:rPr>
          <w:rFonts w:ascii="新宋体" w:eastAsia="新宋体" w:hAnsi="新宋体" w:cs="新宋体" w:hint="eastAsia"/>
          <w:kern w:val="2"/>
          <w:szCs w:val="21"/>
        </w:rPr>
        <w:t>2.3 工序</w:t>
      </w:r>
      <w:r>
        <w:rPr>
          <w:rFonts w:ascii="新宋体" w:eastAsia="新宋体" w:hAnsi="新宋体" w:cs="新宋体" w:hint="eastAsia"/>
          <w:b/>
          <w:bCs/>
          <w:color w:val="FF0000"/>
          <w:kern w:val="2"/>
          <w:szCs w:val="21"/>
        </w:rPr>
        <w:t>交接检</w:t>
      </w:r>
      <w:r>
        <w:rPr>
          <w:rFonts w:ascii="新宋体" w:eastAsia="新宋体" w:hAnsi="新宋体" w:cs="新宋体" w:hint="eastAsia"/>
          <w:kern w:val="2"/>
          <w:szCs w:val="21"/>
        </w:rPr>
        <w:t>验制度</w:t>
      </w:r>
    </w:p>
    <w:p>
      <w:pPr>
        <w:spacing w:line="500" w:lineRule="exact"/>
        <w:jc w:val="left"/>
        <w:rPr>
          <w:rFonts w:ascii="新宋体" w:eastAsia="新宋体" w:hAnsi="新宋体" w:cs="新宋体"/>
          <w:szCs w:val="21"/>
        </w:rPr>
      </w:pPr>
      <w:r>
        <w:rPr>
          <w:rFonts w:ascii="新宋体" w:eastAsia="新宋体" w:hAnsi="新宋体" w:cs="新宋体" w:hint="eastAsia"/>
          <w:szCs w:val="21"/>
        </w:rPr>
        <w:t>1）为明确工程质量的责任划分，严格实行工序交接检验制度（验收交接使用移动质检软件），。</w:t>
      </w:r>
    </w:p>
    <w:p>
      <w:pPr>
        <w:spacing w:line="500" w:lineRule="exact"/>
        <w:jc w:val="left"/>
        <w:rPr>
          <w:rFonts w:ascii="新宋体" w:eastAsia="新宋体" w:hAnsi="新宋体" w:cs="新宋体"/>
          <w:szCs w:val="21"/>
        </w:rPr>
      </w:pPr>
      <w:r>
        <w:rPr>
          <w:rFonts w:ascii="新宋体" w:eastAsia="新宋体" w:hAnsi="新宋体" w:cs="新宋体" w:hint="eastAsia"/>
          <w:szCs w:val="21"/>
        </w:rPr>
        <w:t>2）总包施工单位内部不同班组交叉作业，班组必须办理工序交接验收手续。</w:t>
      </w:r>
    </w:p>
    <w:p>
      <w:pPr>
        <w:spacing w:line="500" w:lineRule="exact"/>
        <w:jc w:val="left"/>
        <w:rPr>
          <w:rFonts w:ascii="新宋体" w:eastAsia="新宋体" w:hAnsi="新宋体" w:cs="新宋体"/>
          <w:szCs w:val="21"/>
        </w:rPr>
      </w:pPr>
      <w:r>
        <w:rPr>
          <w:rFonts w:ascii="新宋体" w:eastAsia="新宋体" w:hAnsi="新宋体" w:cs="新宋体" w:hint="eastAsia"/>
          <w:szCs w:val="21"/>
        </w:rPr>
        <w:t>3）不同施工单位交叉作业，施工单位必须办理交接验收手续。</w:t>
      </w:r>
    </w:p>
    <w:p>
      <w:pPr>
        <w:spacing w:line="500" w:lineRule="exact"/>
        <w:jc w:val="left"/>
        <w:rPr>
          <w:rFonts w:ascii="新宋体" w:eastAsia="新宋体" w:hAnsi="新宋体" w:cs="新宋体"/>
          <w:szCs w:val="21"/>
        </w:rPr>
      </w:pPr>
      <w:r>
        <w:rPr>
          <w:rFonts w:ascii="新宋体" w:eastAsia="新宋体" w:hAnsi="新宋体" w:cs="新宋体" w:hint="eastAsia"/>
          <w:szCs w:val="21"/>
        </w:rPr>
        <w:t>4）工序交接前必须进行自检，合格后方可进行工序交接检验，检验合格后填写工序交接验收表。</w:t>
      </w:r>
    </w:p>
    <w:p>
      <w:pPr>
        <w:spacing w:line="500" w:lineRule="exact"/>
        <w:jc w:val="left"/>
        <w:rPr>
          <w:rFonts w:ascii="新宋体" w:eastAsia="新宋体" w:hAnsi="新宋体" w:cs="新宋体"/>
          <w:szCs w:val="21"/>
        </w:rPr>
      </w:pPr>
      <w:r>
        <w:rPr>
          <w:rFonts w:ascii="新宋体" w:eastAsia="新宋体" w:hAnsi="新宋体" w:cs="新宋体" w:hint="eastAsia"/>
          <w:szCs w:val="21"/>
        </w:rPr>
        <w:t>5）工序交接验收表由监理工程师上报建设单位现场工程师并填写工序交接验收台帐。</w:t>
      </w:r>
    </w:p>
    <w:p>
      <w:pPr>
        <w:spacing w:line="500" w:lineRule="exact"/>
        <w:jc w:val="left"/>
        <w:rPr>
          <w:rFonts w:ascii="宋体" w:hAnsi="宋体" w:cs="宋体"/>
          <w:color w:val="C00000"/>
          <w:szCs w:val="21"/>
        </w:rPr>
      </w:pPr>
      <w:r>
        <w:rPr>
          <w:rFonts w:ascii="新宋体" w:eastAsia="新宋体" w:hAnsi="新宋体" w:cs="新宋体" w:hint="eastAsia"/>
          <w:szCs w:val="21"/>
        </w:rPr>
        <w:t>6）工序交接验收合格后下道工序方可施工，后道工序施工队伍必须承担已完工序成品保护的责任。</w:t>
      </w:r>
    </w:p>
    <w:p>
      <w:pPr>
        <w:pStyle w:val="BodyTextIndent2"/>
        <w:spacing w:line="500" w:lineRule="exact"/>
        <w:ind w:left="126" w:firstLine="0" w:leftChars="60" w:firstLineChars="0"/>
        <w:rPr>
          <w:rFonts w:ascii="新宋体" w:eastAsia="新宋体" w:hAnsi="新宋体"/>
          <w:sz w:val="21"/>
          <w:szCs w:val="21"/>
        </w:rPr>
      </w:pPr>
      <w:r>
        <w:rPr>
          <w:rFonts w:ascii="新宋体" w:eastAsia="新宋体" w:hAnsi="新宋体" w:hint="eastAsia"/>
          <w:sz w:val="21"/>
          <w:szCs w:val="21"/>
        </w:rPr>
        <w:t xml:space="preserve">2.4 </w:t>
      </w:r>
      <w:r>
        <w:rPr>
          <w:rFonts w:ascii="新宋体" w:eastAsia="新宋体" w:hAnsi="新宋体" w:hint="eastAsia"/>
          <w:sz w:val="21"/>
          <w:szCs w:val="21"/>
          <w:u w:val="single" w:color="FF0000"/>
        </w:rPr>
        <w:t>阳台、厨房、卫生间地面不得出现反坡现象，施工过程检查中发现的问题，施工单位均必须在限期内整改完毕。竣工交验后每发现一处反坡，施工单位除无条件返工维修并赔偿建设单位的经济损失外，另向建设单位支付违约金500元/处；</w:t>
      </w:r>
    </w:p>
    <w:p>
      <w:pPr>
        <w:pStyle w:val="BodyTextIndent2"/>
        <w:spacing w:line="500" w:lineRule="exact"/>
        <w:ind w:left="126" w:firstLine="0" w:leftChars="60" w:firstLineChars="0"/>
        <w:rPr>
          <w:rFonts w:ascii="新宋体" w:eastAsia="新宋体" w:hAnsi="新宋体"/>
          <w:sz w:val="21"/>
          <w:szCs w:val="21"/>
        </w:rPr>
      </w:pPr>
      <w:r>
        <w:rPr>
          <w:rFonts w:ascii="新宋体" w:eastAsia="新宋体" w:hAnsi="新宋体" w:hint="eastAsia"/>
          <w:sz w:val="21"/>
          <w:szCs w:val="21"/>
        </w:rPr>
        <w:t>2.5 窗楣、窗台、阳台等凸出外墙的造型必须按图纸要求施工，且美观有效，竣工交验后每发现一处漏做或错误，施工单位除无条件返工维修并赔偿建设单位的经济损失外，另向建设单位支付违约金500元/处；</w:t>
      </w:r>
    </w:p>
    <w:p>
      <w:pPr>
        <w:pStyle w:val="BodyTextIndent2"/>
        <w:spacing w:line="500" w:lineRule="exact"/>
        <w:ind w:left="126" w:firstLine="0" w:leftChars="60" w:firstLineChars="0"/>
        <w:rPr>
          <w:rFonts w:ascii="新宋体" w:eastAsia="新宋体" w:hAnsi="新宋体"/>
          <w:sz w:val="21"/>
          <w:szCs w:val="21"/>
        </w:rPr>
      </w:pPr>
      <w:r>
        <w:rPr>
          <w:rFonts w:ascii="新宋体" w:eastAsia="新宋体" w:hAnsi="新宋体" w:hint="eastAsia"/>
          <w:sz w:val="21"/>
          <w:szCs w:val="21"/>
        </w:rPr>
        <w:t>2.6 工程移交五年内，屋面、厨房、卫生间、外墙（含门窗框周围）等地方出现渗漏水，施工单位均必须无条件返工维修并赔偿业主的经济损失，交工时，排水应通畅，无阻塞现象；</w:t>
      </w:r>
    </w:p>
    <w:p>
      <w:pPr>
        <w:pStyle w:val="BodyTextIndent2"/>
        <w:spacing w:line="500" w:lineRule="exact"/>
        <w:ind w:left="126" w:firstLine="0" w:leftChars="60" w:firstLineChars="0"/>
        <w:rPr>
          <w:rFonts w:ascii="新宋体" w:eastAsia="新宋体" w:hAnsi="新宋体"/>
          <w:sz w:val="21"/>
          <w:szCs w:val="21"/>
        </w:rPr>
      </w:pPr>
      <w:r>
        <w:rPr>
          <w:rFonts w:ascii="新宋体" w:eastAsia="新宋体" w:hAnsi="新宋体" w:hint="eastAsia"/>
          <w:sz w:val="21"/>
          <w:szCs w:val="21"/>
        </w:rPr>
        <w:t>2.7 电照必须接地良好，杜绝短路、断路，保证使用良好，否则竣工交验后每发现一处上述问题，施工单位均必须无条件返工维修并赔偿建设单位的经济损失；</w:t>
      </w:r>
    </w:p>
    <w:p>
      <w:pPr>
        <w:pStyle w:val="BodyTextIndent2"/>
        <w:spacing w:line="500" w:lineRule="exact"/>
        <w:ind w:left="126" w:firstLine="0" w:leftChars="60" w:firstLineChars="0"/>
        <w:rPr>
          <w:rFonts w:ascii="新宋体" w:eastAsia="新宋体" w:hAnsi="新宋体"/>
          <w:sz w:val="21"/>
          <w:szCs w:val="21"/>
        </w:rPr>
      </w:pPr>
      <w:r>
        <w:rPr>
          <w:rFonts w:ascii="新宋体" w:eastAsia="新宋体" w:hAnsi="新宋体" w:hint="eastAsia"/>
          <w:sz w:val="21"/>
          <w:szCs w:val="21"/>
        </w:rPr>
        <w:t>2.8 水电管线必须按图施工，并做出标记，配电盘要标示回路名称，在交验时无标记或发现标记与实际不符，施工单位除必须改正或修补外，对造成的损失应进行赔偿；</w:t>
      </w:r>
    </w:p>
    <w:p>
      <w:pPr>
        <w:pStyle w:val="BodyTextIndent2"/>
        <w:spacing w:line="500" w:lineRule="exact"/>
        <w:ind w:firstLine="105" w:firstLineChars="50"/>
        <w:rPr>
          <w:rFonts w:ascii="新宋体" w:eastAsia="新宋体" w:hAnsi="新宋体"/>
          <w:sz w:val="21"/>
          <w:szCs w:val="21"/>
        </w:rPr>
      </w:pPr>
      <w:r>
        <w:rPr>
          <w:rFonts w:ascii="新宋体" w:eastAsia="新宋体" w:hAnsi="新宋体" w:hint="eastAsia"/>
          <w:sz w:val="21"/>
          <w:szCs w:val="21"/>
        </w:rPr>
        <w:t>2.9 为确保主要使用功能，给水需做分户试压和系统试压各一次。平屋面及三小间防水应做闭水试验；所有坡屋面和每幢建筑外墙面不少于4个点应做2小时以上的淋水试验。要求在防水施工前管道安装完成后先进行第一次蓄水试验，未发现现浇混凝土渗水情况在进行下道工序施工。</w:t>
      </w:r>
    </w:p>
    <w:p>
      <w:pPr>
        <w:pStyle w:val="BodyTextIndent2"/>
        <w:spacing w:line="500" w:lineRule="exact"/>
        <w:ind w:left="126" w:firstLine="0" w:leftChars="60" w:firstLineChars="0"/>
        <w:rPr>
          <w:rFonts w:ascii="新宋体" w:eastAsia="新宋体" w:hAnsi="新宋体"/>
          <w:sz w:val="21"/>
          <w:szCs w:val="21"/>
        </w:rPr>
      </w:pPr>
      <w:r>
        <w:rPr>
          <w:rFonts w:ascii="新宋体" w:eastAsia="新宋体" w:hAnsi="新宋体" w:hint="eastAsia"/>
          <w:sz w:val="21"/>
          <w:szCs w:val="21"/>
        </w:rPr>
        <w:t>2.10 施工单位在施工过程中，自检合格后书面向监理或建设单位报验时，不得出现以下质量问题：</w:t>
      </w:r>
    </w:p>
    <w:p>
      <w:pPr>
        <w:pStyle w:val="BodyTextIndent2"/>
        <w:spacing w:line="500" w:lineRule="exact"/>
        <w:ind w:firstLine="0" w:firstLineChars="0"/>
        <w:rPr>
          <w:rFonts w:ascii="新宋体" w:eastAsia="新宋体" w:hAnsi="新宋体"/>
          <w:b/>
          <w:sz w:val="21"/>
          <w:szCs w:val="21"/>
        </w:rPr>
      </w:pPr>
      <w:r>
        <w:rPr>
          <w:rFonts w:ascii="新宋体" w:eastAsia="新宋体" w:hAnsi="新宋体" w:hint="eastAsia"/>
          <w:b/>
          <w:sz w:val="21"/>
          <w:szCs w:val="21"/>
        </w:rPr>
        <w:t>A、影响结构安全方面</w:t>
      </w:r>
    </w:p>
    <w:p>
      <w:pPr>
        <w:pStyle w:val="BodyTextIndent2"/>
        <w:spacing w:line="500" w:lineRule="exact"/>
        <w:ind w:left="126" w:firstLine="420" w:leftChars="60" w:firstLineChars="200"/>
        <w:rPr>
          <w:rFonts w:ascii="新宋体" w:eastAsia="新宋体" w:hAnsi="新宋体"/>
          <w:sz w:val="21"/>
          <w:szCs w:val="21"/>
        </w:rPr>
        <w:sectPr>
          <w:headerReference w:type="default" r:id="rId29"/>
          <w:footerReference w:type="default" r:id="rId30"/>
          <w:type w:val="nextPage"/>
          <w:pgSz w:w="11906" w:h="16838"/>
          <w:pgMar w:top="1134" w:right="851" w:bottom="851" w:left="1418" w:header="851" w:footer="992" w:gutter="0"/>
          <w:pgNumType w:start="13"/>
          <w:cols w:num="1" w:space="720"/>
          <w:titlePg w:val="0"/>
          <w:docGrid w:type="lines" w:linePitch="312" w:charSpace="0"/>
        </w:sectPr>
      </w:pPr>
      <w:r>
        <w:rPr>
          <w:rFonts w:ascii="新宋体" w:eastAsia="新宋体" w:hAnsi="新宋体" w:hint="eastAsia"/>
          <w:sz w:val="21"/>
          <w:szCs w:val="21"/>
        </w:rPr>
        <w:t xml:space="preserve">砼强度、砌筑砂浆标号、水泥标号、砂浆配合比不满足规范要求； </w:t>
      </w:r>
    </w:p>
    <w:p>
      <w:pPr>
        <w:pStyle w:val="BodyTextIndent2"/>
        <w:spacing w:line="500" w:lineRule="exact"/>
        <w:ind w:left="126" w:firstLine="420" w:leftChars="60" w:firstLineChars="200"/>
        <w:rPr>
          <w:rFonts w:ascii="新宋体" w:eastAsia="新宋体" w:hAnsi="新宋体"/>
          <w:sz w:val="21"/>
          <w:szCs w:val="21"/>
        </w:rPr>
      </w:pPr>
      <w:r>
        <w:rPr>
          <w:rFonts w:ascii="新宋体" w:eastAsia="新宋体" w:hAnsi="新宋体" w:hint="eastAsia"/>
          <w:sz w:val="21"/>
          <w:szCs w:val="21"/>
        </w:rPr>
        <w:t>钢筋的材质、规格、数量不满足规范要求；</w:t>
      </w:r>
    </w:p>
    <w:p>
      <w:pPr>
        <w:pStyle w:val="BodyTextIndent2"/>
        <w:spacing w:line="500" w:lineRule="exact"/>
        <w:ind w:left="126" w:firstLine="420" w:leftChars="60" w:firstLineChars="200"/>
        <w:rPr>
          <w:rFonts w:ascii="新宋体" w:eastAsia="新宋体" w:hAnsi="新宋体"/>
          <w:sz w:val="21"/>
          <w:szCs w:val="21"/>
        </w:rPr>
      </w:pPr>
      <w:r>
        <w:rPr>
          <w:rFonts w:ascii="新宋体" w:eastAsia="新宋体" w:hAnsi="新宋体" w:hint="eastAsia"/>
          <w:sz w:val="21"/>
          <w:szCs w:val="21"/>
        </w:rPr>
        <w:t>结构构件尺寸不满足规范要求；</w:t>
      </w:r>
    </w:p>
    <w:p>
      <w:pPr>
        <w:pStyle w:val="BodyTextIndent2"/>
        <w:spacing w:line="500" w:lineRule="exact"/>
        <w:ind w:left="126" w:firstLine="420" w:leftChars="60" w:firstLineChars="200"/>
        <w:rPr>
          <w:rFonts w:ascii="新宋体" w:eastAsia="新宋体" w:hAnsi="新宋体"/>
          <w:sz w:val="21"/>
          <w:szCs w:val="21"/>
        </w:rPr>
      </w:pPr>
      <w:r>
        <w:rPr>
          <w:rFonts w:ascii="新宋体" w:eastAsia="新宋体" w:hAnsi="新宋体" w:hint="eastAsia"/>
          <w:sz w:val="21"/>
          <w:szCs w:val="21"/>
        </w:rPr>
        <w:t>模板安装不满足图纸及规范要求；</w:t>
      </w:r>
    </w:p>
    <w:p>
      <w:pPr>
        <w:pStyle w:val="BodyTextIndent2"/>
        <w:spacing w:line="500" w:lineRule="exact"/>
        <w:ind w:left="126" w:firstLine="420" w:leftChars="60" w:firstLineChars="200"/>
        <w:rPr>
          <w:rFonts w:ascii="新宋体" w:eastAsia="新宋体" w:hAnsi="新宋体"/>
          <w:sz w:val="21"/>
          <w:szCs w:val="21"/>
        </w:rPr>
      </w:pPr>
      <w:r>
        <w:rPr>
          <w:rFonts w:ascii="新宋体" w:eastAsia="新宋体" w:hAnsi="新宋体" w:hint="eastAsia"/>
          <w:sz w:val="21"/>
          <w:szCs w:val="21"/>
        </w:rPr>
        <w:t>砼浇筑时振捣不密实，出现的蜂窝、孔洞超过规范要求。</w:t>
      </w:r>
    </w:p>
    <w:p>
      <w:pPr>
        <w:pStyle w:val="BodyTextIndent2"/>
        <w:spacing w:line="500" w:lineRule="exact"/>
        <w:ind w:left="126" w:firstLine="420" w:leftChars="60" w:firstLineChars="200"/>
        <w:rPr>
          <w:rFonts w:ascii="新宋体" w:eastAsia="新宋体" w:hAnsi="新宋体"/>
          <w:sz w:val="21"/>
          <w:szCs w:val="21"/>
        </w:rPr>
      </w:pPr>
    </w:p>
    <w:p>
      <w:pPr>
        <w:pStyle w:val="BodyTextIndent2"/>
        <w:spacing w:line="500" w:lineRule="exact"/>
        <w:ind w:firstLine="0" w:firstLineChars="0"/>
        <w:rPr>
          <w:rFonts w:ascii="新宋体" w:eastAsia="新宋体" w:hAnsi="新宋体"/>
          <w:b/>
          <w:sz w:val="21"/>
          <w:szCs w:val="21"/>
        </w:rPr>
      </w:pPr>
      <w:r>
        <w:rPr>
          <w:rFonts w:ascii="新宋体" w:eastAsia="新宋体" w:hAnsi="新宋体" w:hint="eastAsia"/>
          <w:b/>
          <w:sz w:val="21"/>
          <w:szCs w:val="21"/>
        </w:rPr>
        <w:t>B、影响使用功能方面</w:t>
      </w:r>
    </w:p>
    <w:p>
      <w:pPr>
        <w:pStyle w:val="BodyTextIndent2"/>
        <w:spacing w:line="500" w:lineRule="exact"/>
        <w:ind w:left="126" w:firstLine="420" w:leftChars="60" w:firstLineChars="200"/>
        <w:rPr>
          <w:rFonts w:ascii="新宋体" w:eastAsia="新宋体" w:hAnsi="新宋体"/>
          <w:sz w:val="21"/>
          <w:szCs w:val="21"/>
        </w:rPr>
      </w:pPr>
      <w:r>
        <w:rPr>
          <w:rFonts w:ascii="新宋体" w:eastAsia="新宋体" w:hAnsi="新宋体" w:hint="eastAsia"/>
          <w:sz w:val="21"/>
          <w:szCs w:val="21"/>
        </w:rPr>
        <w:t>防水施工质量不满足规范要求；</w:t>
      </w:r>
    </w:p>
    <w:p>
      <w:pPr>
        <w:pStyle w:val="BodyTextIndent2"/>
        <w:spacing w:line="500" w:lineRule="exact"/>
        <w:ind w:left="126" w:firstLine="420" w:leftChars="60" w:firstLineChars="200"/>
        <w:rPr>
          <w:rFonts w:ascii="新宋体" w:eastAsia="新宋体" w:hAnsi="新宋体"/>
          <w:sz w:val="21"/>
          <w:szCs w:val="21"/>
        </w:rPr>
      </w:pPr>
      <w:r>
        <w:rPr>
          <w:rFonts w:ascii="新宋体" w:eastAsia="新宋体" w:hAnsi="新宋体" w:hint="eastAsia"/>
          <w:sz w:val="21"/>
          <w:szCs w:val="21"/>
        </w:rPr>
        <w:t>铝合金门、窗框边塞缝不严、安装不牢固；</w:t>
      </w:r>
    </w:p>
    <w:p>
      <w:pPr>
        <w:pStyle w:val="BodyTextIndent2"/>
        <w:spacing w:line="500" w:lineRule="exact"/>
        <w:ind w:left="126" w:firstLine="420" w:leftChars="60" w:firstLineChars="200"/>
        <w:rPr>
          <w:rFonts w:ascii="新宋体" w:eastAsia="新宋体" w:hAnsi="新宋体"/>
          <w:sz w:val="21"/>
          <w:szCs w:val="21"/>
        </w:rPr>
      </w:pPr>
      <w:r>
        <w:rPr>
          <w:rFonts w:ascii="新宋体" w:eastAsia="新宋体" w:hAnsi="新宋体" w:hint="eastAsia"/>
          <w:sz w:val="21"/>
          <w:szCs w:val="21"/>
        </w:rPr>
        <w:t>阳台、卫生间地面的坡度和坡向不满足规范要求；</w:t>
      </w:r>
    </w:p>
    <w:p>
      <w:pPr>
        <w:pStyle w:val="BodyTextIndent2"/>
        <w:spacing w:line="500" w:lineRule="exact"/>
        <w:ind w:left="126" w:firstLine="420" w:leftChars="60" w:firstLineChars="200"/>
        <w:rPr>
          <w:rFonts w:ascii="新宋体" w:eastAsia="新宋体" w:hAnsi="新宋体"/>
          <w:sz w:val="21"/>
          <w:szCs w:val="21"/>
        </w:rPr>
      </w:pPr>
      <w:r>
        <w:rPr>
          <w:rFonts w:ascii="新宋体" w:eastAsia="新宋体" w:hAnsi="新宋体" w:hint="eastAsia"/>
          <w:sz w:val="21"/>
          <w:szCs w:val="21"/>
        </w:rPr>
        <w:t>防雷焊接不满足规范要求；</w:t>
      </w:r>
    </w:p>
    <w:p>
      <w:pPr>
        <w:pStyle w:val="BodyTextIndent2"/>
        <w:spacing w:line="500" w:lineRule="exact"/>
        <w:ind w:left="126" w:firstLine="420" w:leftChars="60" w:firstLineChars="200"/>
        <w:rPr>
          <w:rFonts w:ascii="新宋体" w:eastAsia="新宋体" w:hAnsi="新宋体"/>
          <w:sz w:val="21"/>
          <w:szCs w:val="21"/>
        </w:rPr>
      </w:pPr>
      <w:r>
        <w:rPr>
          <w:rFonts w:ascii="新宋体" w:eastAsia="新宋体" w:hAnsi="新宋体" w:hint="eastAsia"/>
          <w:sz w:val="21"/>
          <w:szCs w:val="21"/>
        </w:rPr>
        <w:t>给水管道的连接、固定、垂直度不满足规范要求，未经试压或试压不达标；</w:t>
      </w:r>
    </w:p>
    <w:p>
      <w:pPr>
        <w:pStyle w:val="BodyTextIndent2"/>
        <w:spacing w:line="500" w:lineRule="exact"/>
        <w:ind w:left="126" w:firstLine="420" w:leftChars="60" w:firstLineChars="200"/>
        <w:rPr>
          <w:rFonts w:ascii="新宋体" w:eastAsia="新宋体" w:hAnsi="新宋体"/>
          <w:sz w:val="21"/>
          <w:szCs w:val="21"/>
        </w:rPr>
      </w:pPr>
      <w:r>
        <w:rPr>
          <w:rFonts w:ascii="新宋体" w:eastAsia="新宋体" w:hAnsi="新宋体" w:hint="eastAsia"/>
          <w:sz w:val="21"/>
          <w:szCs w:val="21"/>
        </w:rPr>
        <w:t>排水管道的连接、固定、坡度、垂直度不满足规范要求。</w:t>
      </w:r>
    </w:p>
    <w:p>
      <w:pPr>
        <w:pStyle w:val="BodyTextIndent2"/>
        <w:spacing w:line="500" w:lineRule="exact"/>
        <w:ind w:left="126" w:firstLine="420" w:leftChars="60" w:firstLineChars="200"/>
        <w:rPr>
          <w:rFonts w:ascii="新宋体" w:eastAsia="新宋体" w:hAnsi="新宋体"/>
          <w:sz w:val="21"/>
          <w:szCs w:val="21"/>
        </w:rPr>
      </w:pPr>
      <w:r>
        <w:rPr>
          <w:rFonts w:ascii="新宋体" w:eastAsia="新宋体" w:hAnsi="新宋体" w:hint="eastAsia"/>
          <w:sz w:val="21"/>
          <w:szCs w:val="21"/>
        </w:rPr>
        <w:t>电气开关、插座、灯具通电不正常，位置不正确或漏装；</w:t>
      </w:r>
    </w:p>
    <w:p>
      <w:pPr>
        <w:pStyle w:val="BodyTextIndent2"/>
        <w:spacing w:line="500" w:lineRule="exact"/>
        <w:ind w:left="126" w:firstLine="420" w:leftChars="60" w:firstLineChars="200"/>
        <w:rPr>
          <w:rFonts w:ascii="新宋体" w:eastAsia="新宋体" w:hAnsi="新宋体"/>
          <w:sz w:val="21"/>
          <w:szCs w:val="21"/>
        </w:rPr>
      </w:pPr>
      <w:r>
        <w:rPr>
          <w:rFonts w:ascii="新宋体" w:eastAsia="新宋体" w:hAnsi="新宋体" w:hint="eastAsia"/>
          <w:sz w:val="21"/>
          <w:szCs w:val="21"/>
        </w:rPr>
        <w:t>地漏漏装或堵塞；</w:t>
      </w:r>
    </w:p>
    <w:p>
      <w:pPr>
        <w:pStyle w:val="NormalWeb"/>
        <w:spacing w:before="0" w:beforeAutospacing="0" w:after="0" w:afterAutospacing="0" w:line="500" w:lineRule="exact"/>
        <w:rPr>
          <w:rFonts w:ascii="新宋体" w:eastAsia="新宋体" w:hAnsi="新宋体"/>
          <w:szCs w:val="21"/>
        </w:rPr>
      </w:pPr>
      <w:r>
        <w:rPr>
          <w:rFonts w:ascii="新宋体" w:eastAsia="新宋体" w:hAnsi="新宋体" w:hint="eastAsia"/>
          <w:szCs w:val="21"/>
        </w:rPr>
        <w:t>2.11、</w:t>
      </w:r>
      <w:r>
        <w:rPr>
          <w:rFonts w:ascii="新宋体" w:eastAsia="新宋体" w:hAnsi="新宋体" w:hint="eastAsia"/>
          <w:b/>
          <w:bCs/>
          <w:color w:val="FF0000"/>
          <w:szCs w:val="21"/>
        </w:rPr>
        <w:t>停止检查点</w:t>
      </w:r>
      <w:r>
        <w:rPr>
          <w:rFonts w:ascii="新宋体" w:eastAsia="新宋体" w:hAnsi="新宋体" w:hint="eastAsia"/>
          <w:szCs w:val="21"/>
        </w:rPr>
        <w:t xml:space="preserve">制度   </w:t>
      </w:r>
    </w:p>
    <w:p>
      <w:pPr>
        <w:pStyle w:val="NormalWeb"/>
        <w:spacing w:before="0" w:beforeAutospacing="0" w:after="0" w:afterAutospacing="0" w:line="500" w:lineRule="exact"/>
        <w:rPr>
          <w:rFonts w:ascii="新宋体" w:eastAsia="新宋体" w:hAnsi="新宋体"/>
          <w:szCs w:val="21"/>
        </w:rPr>
      </w:pPr>
      <w:r>
        <w:rPr>
          <w:rFonts w:ascii="新宋体" w:eastAsia="新宋体" w:hAnsi="新宋体" w:hint="eastAsia"/>
          <w:szCs w:val="21"/>
        </w:rPr>
        <w:t>（1）停止检查点概念：停止检查点是指为了保证工序质量而需要进行过程质量控制的重点，一般设置的原则：或为关键部位、或为薄弱环节、或施工单位容易出现问题的工序。</w:t>
      </w:r>
    </w:p>
    <w:p>
      <w:pPr>
        <w:pStyle w:val="NormalWeb"/>
        <w:spacing w:before="0" w:beforeAutospacing="0" w:after="0" w:afterAutospacing="0" w:line="500" w:lineRule="exact"/>
        <w:rPr>
          <w:rFonts w:ascii="新宋体" w:eastAsia="新宋体" w:hAnsi="新宋体"/>
          <w:szCs w:val="21"/>
        </w:rPr>
      </w:pPr>
      <w:r>
        <w:rPr>
          <w:rFonts w:ascii="新宋体" w:eastAsia="新宋体" w:hAnsi="新宋体" w:hint="eastAsia"/>
          <w:szCs w:val="21"/>
        </w:rPr>
        <w:t>（2）停止检查点设置的目的：在工程施工过程中，通过强制性的设置停止点检查，进行必要的工序验收，防止不合格隐患带入下道工序并影响关键的质量控制目标。以便在一定时期内、一定条件下进行强化管理，使工序处于良好的受控状态。</w:t>
      </w:r>
    </w:p>
    <w:p>
      <w:pPr>
        <w:pStyle w:val="NormalWeb"/>
        <w:spacing w:before="0" w:beforeAutospacing="0" w:after="0" w:afterAutospacing="0" w:line="500" w:lineRule="exact"/>
        <w:rPr>
          <w:rFonts w:ascii="新宋体" w:eastAsia="新宋体" w:hAnsi="新宋体"/>
          <w:szCs w:val="21"/>
        </w:rPr>
      </w:pPr>
      <w:r>
        <w:rPr>
          <w:rFonts w:ascii="新宋体" w:eastAsia="新宋体" w:hAnsi="新宋体" w:hint="eastAsia"/>
          <w:szCs w:val="21"/>
        </w:rPr>
        <w:t>（3）停止检查点的管理要求：</w:t>
      </w:r>
    </w:p>
    <w:p>
      <w:pPr>
        <w:pStyle w:val="NormalWeb"/>
        <w:spacing w:before="0" w:beforeAutospacing="0" w:after="0" w:afterAutospacing="0" w:line="500" w:lineRule="exact"/>
        <w:rPr>
          <w:rFonts w:ascii="新宋体" w:eastAsia="新宋体" w:hAnsi="新宋体"/>
          <w:szCs w:val="21"/>
        </w:rPr>
      </w:pPr>
      <w:r>
        <w:rPr>
          <w:rFonts w:ascii="新宋体" w:eastAsia="新宋体" w:hAnsi="新宋体" w:hint="eastAsia"/>
          <w:szCs w:val="21"/>
        </w:rPr>
        <w:t>停止检查点的检验管理要求等同于隐蔽工程验收，在工序验收合格前，严禁进行下一道工序施工。</w:t>
      </w:r>
    </w:p>
    <w:p>
      <w:pPr>
        <w:pStyle w:val="NormalWeb"/>
        <w:spacing w:before="0" w:beforeAutospacing="0" w:after="0" w:afterAutospacing="0" w:line="500" w:lineRule="exact"/>
        <w:rPr>
          <w:rFonts w:ascii="新宋体" w:eastAsia="新宋体" w:hAnsi="新宋体"/>
          <w:szCs w:val="21"/>
        </w:rPr>
      </w:pPr>
      <w:r>
        <w:rPr>
          <w:rFonts w:ascii="新宋体" w:eastAsia="新宋体" w:hAnsi="新宋体" w:hint="eastAsia"/>
          <w:szCs w:val="21"/>
        </w:rPr>
        <w:t>停止检查点作为过程质量控制的重点，应按检验批划分及管理要求，进行工程质保体系控制的责任管理。</w:t>
      </w:r>
    </w:p>
    <w:p>
      <w:pPr>
        <w:pStyle w:val="NormalWeb"/>
        <w:spacing w:before="0" w:beforeAutospacing="0" w:after="0" w:afterAutospacing="0" w:line="500" w:lineRule="exact"/>
        <w:rPr>
          <w:rFonts w:ascii="新宋体" w:eastAsia="新宋体" w:hAnsi="新宋体"/>
          <w:szCs w:val="21"/>
        </w:rPr>
      </w:pPr>
      <w:r>
        <w:rPr>
          <w:rFonts w:ascii="新宋体" w:eastAsia="新宋体" w:hAnsi="新宋体" w:hint="eastAsia"/>
          <w:szCs w:val="21"/>
        </w:rPr>
        <w:t>停止点检查不能完全取代隐检、预检，在有重复的检查项时，可以合并一次检查，但检查成果资料不能用隐预检资料代替。停止点检查项的完成标志是按要求具备完整的成果资料，以项目负责人签批通过为终点，前一停止点检查未通过，工程实施不得进入下一阶段。 在项目的月、周工作计划中，应将涉及的停止点检查作为专篇列入计划中。</w:t>
      </w:r>
    </w:p>
    <w:p>
      <w:pPr>
        <w:pStyle w:val="NormalWeb"/>
        <w:spacing w:before="0" w:beforeAutospacing="0" w:after="0" w:afterAutospacing="0" w:line="500" w:lineRule="exact"/>
        <w:rPr>
          <w:rFonts w:ascii="新宋体" w:eastAsia="新宋体" w:hAnsi="新宋体"/>
          <w:szCs w:val="21"/>
        </w:rPr>
        <w:sectPr>
          <w:headerReference w:type="default" r:id="rId31"/>
          <w:footerReference w:type="default" r:id="rId32"/>
          <w:type w:val="nextPage"/>
          <w:pgSz w:w="11906" w:h="16838"/>
          <w:pgMar w:top="1134" w:right="851" w:bottom="851" w:left="1418" w:header="851" w:footer="992" w:gutter="0"/>
          <w:pgNumType w:start="14"/>
          <w:cols w:num="1" w:space="720"/>
          <w:titlePg w:val="0"/>
          <w:docGrid w:type="lines" w:linePitch="312" w:charSpace="0"/>
        </w:sectPr>
      </w:pPr>
      <w:r>
        <w:rPr>
          <w:rFonts w:ascii="新宋体" w:eastAsia="新宋体" w:hAnsi="新宋体" w:hint="eastAsia"/>
          <w:szCs w:val="21"/>
        </w:rPr>
        <w:t>（4）停止检查点设置原则：</w:t>
      </w:r>
    </w:p>
    <w:p>
      <w:pPr>
        <w:pStyle w:val="NormalWeb"/>
        <w:spacing w:before="0" w:beforeAutospacing="0" w:after="0" w:afterAutospacing="0" w:line="500" w:lineRule="exact"/>
        <w:rPr>
          <w:rFonts w:ascii="新宋体" w:eastAsia="新宋体" w:hAnsi="新宋体"/>
          <w:szCs w:val="21"/>
        </w:rPr>
      </w:pPr>
      <w:r>
        <w:rPr>
          <w:rFonts w:ascii="新宋体" w:eastAsia="新宋体" w:hAnsi="新宋体" w:hint="eastAsia"/>
          <w:szCs w:val="21"/>
        </w:rPr>
        <w:t>控制施工人员的关键行为；</w:t>
      </w:r>
    </w:p>
    <w:p>
      <w:pPr>
        <w:pStyle w:val="NormalWeb"/>
        <w:spacing w:before="0" w:beforeAutospacing="0" w:after="0" w:afterAutospacing="0" w:line="500" w:lineRule="exact"/>
        <w:rPr>
          <w:rFonts w:ascii="新宋体" w:eastAsia="新宋体" w:hAnsi="新宋体"/>
          <w:szCs w:val="21"/>
        </w:rPr>
      </w:pPr>
      <w:r>
        <w:rPr>
          <w:rFonts w:ascii="新宋体" w:eastAsia="新宋体" w:hAnsi="新宋体" w:hint="eastAsia"/>
          <w:szCs w:val="21"/>
        </w:rPr>
        <w:t>控制材料的质量和性能；</w:t>
      </w:r>
    </w:p>
    <w:p>
      <w:pPr>
        <w:pStyle w:val="NormalWeb"/>
        <w:spacing w:before="0" w:beforeAutospacing="0" w:after="0" w:afterAutospacing="0" w:line="500" w:lineRule="exact"/>
        <w:rPr>
          <w:rFonts w:ascii="新宋体" w:eastAsia="新宋体" w:hAnsi="新宋体"/>
          <w:szCs w:val="21"/>
        </w:rPr>
      </w:pPr>
      <w:r>
        <w:rPr>
          <w:rFonts w:ascii="新宋体" w:eastAsia="新宋体" w:hAnsi="新宋体" w:hint="eastAsia"/>
          <w:szCs w:val="21"/>
        </w:rPr>
        <w:t>控制关键工序的操作行为；</w:t>
      </w:r>
    </w:p>
    <w:p>
      <w:pPr>
        <w:pStyle w:val="NormalWeb"/>
        <w:spacing w:before="0" w:beforeAutospacing="0" w:after="0" w:afterAutospacing="0" w:line="500" w:lineRule="exact"/>
        <w:rPr>
          <w:rFonts w:ascii="新宋体" w:eastAsia="新宋体" w:hAnsi="新宋体"/>
          <w:szCs w:val="21"/>
        </w:rPr>
      </w:pPr>
      <w:r>
        <w:rPr>
          <w:rFonts w:ascii="新宋体" w:eastAsia="新宋体" w:hAnsi="新宋体" w:hint="eastAsia"/>
          <w:szCs w:val="21"/>
        </w:rPr>
        <w:t>控制关键的施工顺序；</w:t>
      </w:r>
    </w:p>
    <w:p>
      <w:pPr>
        <w:pStyle w:val="NormalWeb"/>
        <w:spacing w:before="0" w:beforeAutospacing="0" w:after="0" w:afterAutospacing="0" w:line="500" w:lineRule="exact"/>
        <w:rPr>
          <w:rFonts w:ascii="新宋体" w:eastAsia="新宋体" w:hAnsi="新宋体"/>
          <w:szCs w:val="21"/>
        </w:rPr>
      </w:pPr>
      <w:r>
        <w:rPr>
          <w:rFonts w:ascii="新宋体" w:eastAsia="新宋体" w:hAnsi="新宋体" w:hint="eastAsia"/>
          <w:szCs w:val="21"/>
        </w:rPr>
        <w:t>控制合理的技术间歇；</w:t>
      </w:r>
    </w:p>
    <w:p>
      <w:pPr>
        <w:pStyle w:val="NormalWeb"/>
        <w:spacing w:before="0" w:beforeAutospacing="0" w:after="0" w:afterAutospacing="0" w:line="500" w:lineRule="exact"/>
        <w:rPr>
          <w:rFonts w:ascii="新宋体" w:eastAsia="新宋体" w:hAnsi="新宋体"/>
          <w:szCs w:val="21"/>
        </w:rPr>
      </w:pPr>
      <w:r>
        <w:rPr>
          <w:rFonts w:ascii="新宋体" w:eastAsia="新宋体" w:hAnsi="新宋体" w:hint="eastAsia"/>
          <w:szCs w:val="21"/>
        </w:rPr>
        <w:t>控制常见的施工质量通病；</w:t>
      </w:r>
    </w:p>
    <w:p>
      <w:pPr>
        <w:pStyle w:val="NormalWeb"/>
        <w:spacing w:before="0" w:beforeAutospacing="0" w:after="0" w:afterAutospacing="0" w:line="500" w:lineRule="exact"/>
        <w:rPr>
          <w:rFonts w:ascii="新宋体" w:eastAsia="新宋体" w:hAnsi="新宋体"/>
          <w:szCs w:val="21"/>
        </w:rPr>
      </w:pPr>
      <w:r>
        <w:rPr>
          <w:rFonts w:ascii="新宋体" w:eastAsia="新宋体" w:hAnsi="新宋体" w:hint="eastAsia"/>
          <w:szCs w:val="21"/>
        </w:rPr>
        <w:t>控制新材料、新工艺、新技术的应用；</w:t>
      </w:r>
    </w:p>
    <w:p>
      <w:pPr>
        <w:pStyle w:val="NormalWeb"/>
        <w:spacing w:before="0" w:beforeAutospacing="0" w:after="0" w:afterAutospacing="0" w:line="500" w:lineRule="exact"/>
        <w:rPr>
          <w:rFonts w:ascii="新宋体" w:eastAsia="新宋体" w:hAnsi="新宋体"/>
          <w:szCs w:val="21"/>
        </w:rPr>
      </w:pPr>
      <w:r>
        <w:rPr>
          <w:rFonts w:ascii="新宋体" w:eastAsia="新宋体" w:hAnsi="新宋体" w:hint="eastAsia"/>
          <w:szCs w:val="21"/>
        </w:rPr>
        <w:t>控制质量不稳定、质量问题较多的工序；</w:t>
      </w:r>
    </w:p>
    <w:p>
      <w:pPr>
        <w:pStyle w:val="NormalWeb"/>
        <w:spacing w:before="0" w:beforeAutospacing="0" w:after="0" w:afterAutospacing="0" w:line="500" w:lineRule="exact"/>
        <w:rPr>
          <w:rFonts w:ascii="新宋体" w:eastAsia="新宋体" w:hAnsi="新宋体"/>
          <w:szCs w:val="21"/>
        </w:rPr>
      </w:pPr>
      <w:r>
        <w:rPr>
          <w:rFonts w:ascii="新宋体" w:eastAsia="新宋体" w:hAnsi="新宋体" w:hint="eastAsia"/>
          <w:szCs w:val="21"/>
        </w:rPr>
        <w:t>控制关键的施工工法；</w:t>
      </w:r>
    </w:p>
    <w:p>
      <w:pPr>
        <w:pStyle w:val="NormalWeb"/>
        <w:spacing w:before="0" w:beforeAutospacing="0" w:after="0" w:afterAutospacing="0" w:line="500" w:lineRule="exact"/>
        <w:rPr>
          <w:rFonts w:ascii="新宋体" w:eastAsia="新宋体" w:hAnsi="新宋体"/>
          <w:szCs w:val="21"/>
        </w:rPr>
      </w:pPr>
      <w:r>
        <w:rPr>
          <w:rFonts w:ascii="新宋体" w:eastAsia="新宋体" w:hAnsi="新宋体" w:hint="eastAsia"/>
          <w:szCs w:val="21"/>
        </w:rPr>
        <w:t>控制总分包交叉作业的工序和成品保护。</w:t>
      </w:r>
    </w:p>
    <w:p>
      <w:pPr>
        <w:pStyle w:val="NormalWeb"/>
        <w:spacing w:before="0" w:beforeAutospacing="0" w:after="0" w:afterAutospacing="0" w:line="500" w:lineRule="exact"/>
        <w:rPr>
          <w:rFonts w:ascii="新宋体" w:eastAsia="新宋体" w:hAnsi="新宋体"/>
          <w:szCs w:val="21"/>
        </w:rPr>
      </w:pPr>
      <w:r>
        <w:rPr>
          <w:rFonts w:ascii="新宋体" w:eastAsia="新宋体" w:hAnsi="新宋体" w:hint="eastAsia"/>
          <w:szCs w:val="21"/>
        </w:rPr>
        <w:t>（5）停止检查点设置：</w:t>
      </w:r>
    </w:p>
    <w:p>
      <w:pPr>
        <w:spacing w:line="500" w:lineRule="exact"/>
        <w:ind w:right="640"/>
        <w:rPr>
          <w:b/>
          <w:color w:val="FF0000"/>
          <w:szCs w:val="21"/>
        </w:rPr>
      </w:pPr>
      <w:r>
        <w:rPr>
          <w:rFonts w:hint="eastAsia"/>
          <w:b/>
          <w:color w:val="FF0000"/>
          <w:szCs w:val="21"/>
        </w:rPr>
        <w:t>地下室防渗漏质量检验：</w:t>
      </w:r>
    </w:p>
    <w:p>
      <w:pPr>
        <w:spacing w:line="500" w:lineRule="exact"/>
        <w:ind w:right="640"/>
        <w:rPr>
          <w:szCs w:val="21"/>
        </w:rPr>
      </w:pPr>
      <w:r>
        <w:rPr>
          <w:rFonts w:hint="eastAsia"/>
          <w:szCs w:val="21"/>
        </w:rPr>
        <w:t>地下室外墙后浇带止水钢板检验；</w:t>
      </w:r>
    </w:p>
    <w:p>
      <w:pPr>
        <w:spacing w:line="500" w:lineRule="exact"/>
        <w:ind w:right="640"/>
        <w:rPr>
          <w:szCs w:val="21"/>
        </w:rPr>
      </w:pPr>
      <w:r>
        <w:rPr>
          <w:rFonts w:hint="eastAsia"/>
          <w:szCs w:val="21"/>
        </w:rPr>
        <w:t>地下施工缝、变形缝、后浇带附加防水层检验；</w:t>
      </w:r>
    </w:p>
    <w:p>
      <w:pPr>
        <w:spacing w:line="500" w:lineRule="exact"/>
        <w:ind w:right="640"/>
        <w:rPr>
          <w:szCs w:val="21"/>
        </w:rPr>
      </w:pPr>
      <w:r>
        <w:rPr>
          <w:rFonts w:hint="eastAsia"/>
          <w:szCs w:val="21"/>
        </w:rPr>
        <w:t>桩头附加防水层及防水收头检验；</w:t>
      </w:r>
    </w:p>
    <w:p>
      <w:pPr>
        <w:spacing w:line="500" w:lineRule="exact"/>
        <w:ind w:right="640"/>
        <w:rPr>
          <w:szCs w:val="21"/>
        </w:rPr>
      </w:pPr>
      <w:r>
        <w:rPr>
          <w:rFonts w:hint="eastAsia"/>
          <w:szCs w:val="21"/>
        </w:rPr>
        <w:t>穿墙螺杆孔洞、附加防水层处理检验；</w:t>
      </w:r>
    </w:p>
    <w:p>
      <w:pPr>
        <w:spacing w:line="500" w:lineRule="exact"/>
        <w:ind w:right="640"/>
        <w:rPr>
          <w:szCs w:val="21"/>
        </w:rPr>
      </w:pPr>
      <w:r>
        <w:rPr>
          <w:rFonts w:hint="eastAsia"/>
          <w:szCs w:val="21"/>
        </w:rPr>
        <w:t>出地下室顶板室外管道预留孔洞凿毛、清理、防水材料密封、附加防水层检验；</w:t>
      </w:r>
    </w:p>
    <w:p>
      <w:pPr>
        <w:spacing w:line="500" w:lineRule="exact"/>
        <w:ind w:right="640"/>
        <w:rPr>
          <w:szCs w:val="21"/>
        </w:rPr>
      </w:pPr>
      <w:r>
        <w:rPr>
          <w:rFonts w:hint="eastAsia"/>
          <w:szCs w:val="21"/>
        </w:rPr>
        <w:t>预留孔洞吊模、分次封堵质量检验；</w:t>
      </w:r>
    </w:p>
    <w:p>
      <w:pPr>
        <w:spacing w:line="500" w:lineRule="exact"/>
        <w:ind w:right="640"/>
        <w:rPr>
          <w:szCs w:val="21"/>
        </w:rPr>
      </w:pPr>
      <w:r>
        <w:rPr>
          <w:rFonts w:hint="eastAsia"/>
          <w:szCs w:val="21"/>
        </w:rPr>
        <w:t>地下室顶板防水构造检验（重点：分隔缝、隔离层）。</w:t>
      </w:r>
    </w:p>
    <w:p>
      <w:pPr>
        <w:spacing w:line="500" w:lineRule="exact"/>
        <w:ind w:right="640"/>
        <w:rPr>
          <w:b/>
          <w:color w:val="FF0000"/>
          <w:szCs w:val="21"/>
        </w:rPr>
      </w:pPr>
      <w:r>
        <w:rPr>
          <w:rFonts w:hint="eastAsia"/>
          <w:b/>
          <w:color w:val="FF0000"/>
          <w:szCs w:val="21"/>
        </w:rPr>
        <w:t>主体结构防开裂、防空间偏差检验：</w:t>
      </w:r>
    </w:p>
    <w:p>
      <w:pPr>
        <w:spacing w:line="500" w:lineRule="exact"/>
        <w:ind w:right="640"/>
        <w:rPr>
          <w:szCs w:val="21"/>
        </w:rPr>
      </w:pPr>
      <w:r>
        <w:rPr>
          <w:rFonts w:hint="eastAsia"/>
          <w:szCs w:val="21"/>
        </w:rPr>
        <w:t>每层的主体施工测量、放线检验；</w:t>
      </w:r>
    </w:p>
    <w:p>
      <w:pPr>
        <w:spacing w:line="500" w:lineRule="exact"/>
        <w:ind w:right="640"/>
        <w:rPr>
          <w:szCs w:val="21"/>
        </w:rPr>
      </w:pPr>
      <w:r>
        <w:rPr>
          <w:rFonts w:hint="eastAsia"/>
          <w:szCs w:val="21"/>
        </w:rPr>
        <w:t>模板工程的轴线、标高、平整度、垂直度、起拱、固定、支撑、；</w:t>
      </w:r>
    </w:p>
    <w:p>
      <w:pPr>
        <w:spacing w:line="500" w:lineRule="exact"/>
        <w:ind w:right="640"/>
        <w:rPr>
          <w:szCs w:val="21"/>
        </w:rPr>
      </w:pPr>
      <w:r>
        <w:rPr>
          <w:rFonts w:hint="eastAsia"/>
          <w:szCs w:val="21"/>
        </w:rPr>
        <w:t>模板工程的柱、梁、墙截面尺寸检查；</w:t>
      </w:r>
    </w:p>
    <w:p>
      <w:pPr>
        <w:spacing w:line="500" w:lineRule="exact"/>
        <w:ind w:right="640"/>
        <w:rPr>
          <w:szCs w:val="21"/>
        </w:rPr>
      </w:pPr>
      <w:r>
        <w:rPr>
          <w:rFonts w:hint="eastAsia"/>
          <w:szCs w:val="21"/>
        </w:rPr>
        <w:t>电梯井道坐标、位置、几何尺寸检验；</w:t>
      </w:r>
    </w:p>
    <w:p>
      <w:pPr>
        <w:spacing w:line="500" w:lineRule="exact"/>
        <w:ind w:right="640"/>
        <w:rPr>
          <w:szCs w:val="21"/>
        </w:rPr>
      </w:pPr>
      <w:r>
        <w:rPr>
          <w:rFonts w:hint="eastAsia"/>
          <w:szCs w:val="21"/>
        </w:rPr>
        <w:t>预埋件规格、位置、固定、孔洞坐标、位置几何尺寸检验；</w:t>
      </w:r>
    </w:p>
    <w:p>
      <w:pPr>
        <w:spacing w:line="500" w:lineRule="exact"/>
        <w:ind w:right="640"/>
        <w:rPr>
          <w:szCs w:val="21"/>
        </w:rPr>
      </w:pPr>
      <w:r>
        <w:rPr>
          <w:rFonts w:hint="eastAsia"/>
          <w:szCs w:val="21"/>
        </w:rPr>
        <w:t>砼翻边、几何尺寸检验；</w:t>
      </w:r>
    </w:p>
    <w:p>
      <w:pPr>
        <w:spacing w:line="500" w:lineRule="exact"/>
        <w:ind w:right="640"/>
        <w:rPr>
          <w:szCs w:val="21"/>
        </w:rPr>
      </w:pPr>
      <w:r>
        <w:rPr>
          <w:rFonts w:hint="eastAsia"/>
          <w:szCs w:val="21"/>
        </w:rPr>
        <w:t>厕浴间穿楼板管道梯形预埋件检验；</w:t>
      </w:r>
    </w:p>
    <w:p>
      <w:pPr>
        <w:spacing w:line="500" w:lineRule="exact"/>
        <w:ind w:right="640"/>
        <w:rPr>
          <w:szCs w:val="21"/>
        </w:rPr>
        <w:sectPr>
          <w:headerReference w:type="default" r:id="rId33"/>
          <w:footerReference w:type="default" r:id="rId34"/>
          <w:type w:val="nextPage"/>
          <w:pgSz w:w="11906" w:h="16838"/>
          <w:pgMar w:top="1134" w:right="851" w:bottom="851" w:left="1418" w:header="851" w:footer="992" w:gutter="0"/>
          <w:pgNumType w:start="15"/>
          <w:cols w:num="1" w:space="720"/>
          <w:titlePg w:val="0"/>
          <w:docGrid w:type="lines" w:linePitch="312" w:charSpace="0"/>
        </w:sectPr>
      </w:pPr>
      <w:r>
        <w:rPr>
          <w:rFonts w:hint="eastAsia"/>
          <w:szCs w:val="21"/>
        </w:rPr>
        <w:t>钢筋工程马凳位置、间距、固定、措施检验；</w:t>
      </w:r>
    </w:p>
    <w:p>
      <w:pPr>
        <w:spacing w:line="500" w:lineRule="exact"/>
        <w:rPr>
          <w:szCs w:val="21"/>
        </w:rPr>
      </w:pPr>
      <w:r>
        <w:rPr>
          <w:rFonts w:hint="eastAsia"/>
          <w:szCs w:val="21"/>
        </w:rPr>
        <w:t>砼坍落度、标号检验。</w:t>
      </w:r>
    </w:p>
    <w:p>
      <w:pPr>
        <w:spacing w:line="500" w:lineRule="exact"/>
        <w:rPr>
          <w:b/>
          <w:color w:val="FF0000"/>
          <w:szCs w:val="21"/>
        </w:rPr>
      </w:pPr>
      <w:r>
        <w:rPr>
          <w:rFonts w:hint="eastAsia"/>
          <w:b/>
          <w:color w:val="FF0000"/>
          <w:szCs w:val="21"/>
        </w:rPr>
        <w:t>砌体工程检验：</w:t>
      </w:r>
    </w:p>
    <w:p>
      <w:pPr>
        <w:spacing w:line="500" w:lineRule="exact"/>
        <w:rPr>
          <w:szCs w:val="21"/>
        </w:rPr>
      </w:pPr>
      <w:r>
        <w:rPr>
          <w:rFonts w:hint="eastAsia"/>
          <w:szCs w:val="21"/>
        </w:rPr>
        <w:t>砌体工程的轴线、放线检验；</w:t>
      </w:r>
    </w:p>
    <w:p>
      <w:pPr>
        <w:spacing w:line="500" w:lineRule="exact"/>
        <w:rPr>
          <w:szCs w:val="21"/>
        </w:rPr>
      </w:pPr>
      <w:r>
        <w:rPr>
          <w:rFonts w:hint="eastAsia"/>
          <w:szCs w:val="21"/>
        </w:rPr>
        <w:t>砌体工程的拉结钢筋、构造柱钢筋检验；</w:t>
      </w:r>
    </w:p>
    <w:p>
      <w:pPr>
        <w:spacing w:line="500" w:lineRule="exact"/>
        <w:rPr>
          <w:szCs w:val="21"/>
        </w:rPr>
      </w:pPr>
      <w:r>
        <w:rPr>
          <w:rFonts w:hint="eastAsia"/>
          <w:szCs w:val="21"/>
        </w:rPr>
        <w:t>砌体工程的砼埋块位置、规格检验；</w:t>
      </w:r>
    </w:p>
    <w:p>
      <w:pPr>
        <w:spacing w:line="500" w:lineRule="exact"/>
        <w:rPr>
          <w:szCs w:val="21"/>
        </w:rPr>
      </w:pPr>
      <w:r>
        <w:rPr>
          <w:rFonts w:hint="eastAsia"/>
          <w:szCs w:val="21"/>
        </w:rPr>
        <w:t>门窗洞口位置、尺寸检验；</w:t>
      </w:r>
    </w:p>
    <w:p>
      <w:pPr>
        <w:spacing w:line="500" w:lineRule="exact"/>
        <w:rPr>
          <w:szCs w:val="21"/>
        </w:rPr>
      </w:pPr>
      <w:r>
        <w:rPr>
          <w:rFonts w:hint="eastAsia"/>
          <w:szCs w:val="21"/>
        </w:rPr>
        <w:t>预埋管线墙体开槽、修补检验。</w:t>
      </w:r>
    </w:p>
    <w:p>
      <w:pPr>
        <w:pStyle w:val="NormalWeb"/>
        <w:spacing w:before="0" w:beforeAutospacing="0" w:after="0" w:afterAutospacing="0" w:line="500" w:lineRule="exact"/>
        <w:rPr>
          <w:rFonts w:ascii="新宋体" w:eastAsia="新宋体" w:hAnsi="新宋体"/>
          <w:b/>
          <w:color w:val="FF0000"/>
          <w:szCs w:val="21"/>
        </w:rPr>
      </w:pPr>
      <w:r>
        <w:rPr>
          <w:rFonts w:ascii="新宋体" w:eastAsia="新宋体" w:hAnsi="新宋体" w:hint="eastAsia"/>
          <w:b/>
          <w:color w:val="FF0000"/>
          <w:szCs w:val="21"/>
        </w:rPr>
        <w:t>抹灰防开裂、防渗漏检验：</w:t>
      </w:r>
    </w:p>
    <w:p>
      <w:pPr>
        <w:pStyle w:val="NormalWeb"/>
        <w:spacing w:before="0" w:beforeAutospacing="0" w:after="0" w:afterAutospacing="0" w:line="500" w:lineRule="exact"/>
        <w:rPr>
          <w:rFonts w:ascii="新宋体" w:eastAsia="新宋体" w:hAnsi="新宋体"/>
          <w:szCs w:val="21"/>
        </w:rPr>
      </w:pPr>
      <w:r>
        <w:rPr>
          <w:rFonts w:ascii="新宋体" w:eastAsia="新宋体" w:hAnsi="新宋体" w:hint="eastAsia"/>
          <w:szCs w:val="21"/>
        </w:rPr>
        <w:t>砌筑灰缝、头眼瞎缝检验；</w:t>
      </w:r>
    </w:p>
    <w:p>
      <w:pPr>
        <w:pStyle w:val="NormalWeb"/>
        <w:spacing w:before="0" w:beforeAutospacing="0" w:after="0" w:afterAutospacing="0" w:line="500" w:lineRule="exact"/>
        <w:rPr>
          <w:rFonts w:ascii="新宋体" w:eastAsia="新宋体" w:hAnsi="新宋体"/>
          <w:szCs w:val="21"/>
        </w:rPr>
      </w:pPr>
      <w:r>
        <w:rPr>
          <w:rFonts w:ascii="新宋体" w:eastAsia="新宋体" w:hAnsi="新宋体" w:hint="eastAsia"/>
          <w:szCs w:val="21"/>
        </w:rPr>
        <w:t>空调套管、预埋件检验；</w:t>
      </w:r>
    </w:p>
    <w:p>
      <w:pPr>
        <w:pStyle w:val="NormalWeb"/>
        <w:spacing w:before="0" w:beforeAutospacing="0" w:after="0" w:afterAutospacing="0" w:line="500" w:lineRule="exact"/>
        <w:rPr>
          <w:rFonts w:ascii="新宋体" w:eastAsia="新宋体" w:hAnsi="新宋体"/>
          <w:szCs w:val="21"/>
        </w:rPr>
      </w:pPr>
      <w:r>
        <w:rPr>
          <w:rFonts w:ascii="新宋体" w:eastAsia="新宋体" w:hAnsi="新宋体" w:hint="eastAsia"/>
          <w:szCs w:val="21"/>
        </w:rPr>
        <w:t>后剔凿预埋管线修补质量、间歇检验；</w:t>
      </w:r>
    </w:p>
    <w:p>
      <w:pPr>
        <w:pStyle w:val="NormalWeb"/>
        <w:spacing w:before="0" w:beforeAutospacing="0" w:after="0" w:afterAutospacing="0" w:line="500" w:lineRule="exact"/>
        <w:rPr>
          <w:rFonts w:ascii="新宋体" w:eastAsia="新宋体" w:hAnsi="新宋体"/>
          <w:szCs w:val="21"/>
        </w:rPr>
      </w:pPr>
      <w:r>
        <w:rPr>
          <w:rFonts w:ascii="新宋体" w:eastAsia="新宋体" w:hAnsi="新宋体" w:hint="eastAsia"/>
          <w:szCs w:val="21"/>
        </w:rPr>
        <w:t>抗裂钢丝网规格、位置、固定方式检验；</w:t>
      </w:r>
    </w:p>
    <w:p>
      <w:pPr>
        <w:pStyle w:val="NormalWeb"/>
        <w:spacing w:before="0" w:beforeAutospacing="0" w:after="0" w:afterAutospacing="0" w:line="500" w:lineRule="exact"/>
        <w:rPr>
          <w:rFonts w:ascii="新宋体" w:eastAsia="新宋体" w:hAnsi="新宋体"/>
          <w:szCs w:val="21"/>
        </w:rPr>
      </w:pPr>
      <w:r>
        <w:rPr>
          <w:rFonts w:ascii="新宋体" w:eastAsia="新宋体" w:hAnsi="新宋体" w:hint="eastAsia"/>
          <w:szCs w:val="21"/>
        </w:rPr>
        <w:t>抹灰平整度、垂直度、阳阴角方正控制措施检验；</w:t>
      </w:r>
    </w:p>
    <w:p>
      <w:pPr>
        <w:pStyle w:val="NormalWeb"/>
        <w:spacing w:before="0" w:beforeAutospacing="0" w:after="0" w:afterAutospacing="0" w:line="500" w:lineRule="exact"/>
        <w:rPr>
          <w:rFonts w:ascii="新宋体" w:eastAsia="新宋体" w:hAnsi="新宋体"/>
          <w:szCs w:val="21"/>
        </w:rPr>
      </w:pPr>
      <w:r>
        <w:rPr>
          <w:rFonts w:ascii="新宋体" w:eastAsia="新宋体" w:hAnsi="新宋体" w:hint="eastAsia"/>
          <w:szCs w:val="21"/>
        </w:rPr>
        <w:t>抹灰养护措施检验。</w:t>
      </w:r>
    </w:p>
    <w:p>
      <w:pPr>
        <w:pStyle w:val="NormalWeb"/>
        <w:spacing w:before="0" w:beforeAutospacing="0" w:after="0" w:afterAutospacing="0" w:line="500" w:lineRule="exact"/>
        <w:rPr>
          <w:rFonts w:ascii="新宋体" w:eastAsia="新宋体" w:hAnsi="新宋体"/>
          <w:b/>
          <w:color w:val="FF0000"/>
          <w:szCs w:val="21"/>
        </w:rPr>
      </w:pPr>
      <w:r>
        <w:rPr>
          <w:rFonts w:ascii="新宋体" w:eastAsia="新宋体" w:hAnsi="新宋体" w:hint="eastAsia"/>
          <w:b/>
          <w:color w:val="FF0000"/>
          <w:szCs w:val="21"/>
        </w:rPr>
        <w:t>卫生间防渗漏检验：</w:t>
      </w:r>
    </w:p>
    <w:p>
      <w:pPr>
        <w:pStyle w:val="NormalWeb"/>
        <w:spacing w:before="0" w:beforeAutospacing="0" w:after="0" w:afterAutospacing="0" w:line="500" w:lineRule="exact"/>
        <w:rPr>
          <w:rFonts w:ascii="新宋体" w:eastAsia="新宋体" w:hAnsi="新宋体"/>
          <w:szCs w:val="21"/>
        </w:rPr>
      </w:pPr>
      <w:r>
        <w:rPr>
          <w:rFonts w:ascii="新宋体" w:eastAsia="新宋体" w:hAnsi="新宋体" w:hint="eastAsia"/>
          <w:szCs w:val="21"/>
        </w:rPr>
        <w:t>穿楼板孔洞凿毛、清理检验；</w:t>
      </w:r>
    </w:p>
    <w:p>
      <w:pPr>
        <w:pStyle w:val="NormalWeb"/>
        <w:spacing w:before="0" w:beforeAutospacing="0" w:after="0" w:afterAutospacing="0" w:line="500" w:lineRule="exact"/>
        <w:rPr>
          <w:rFonts w:ascii="新宋体" w:eastAsia="新宋体" w:hAnsi="新宋体"/>
          <w:szCs w:val="21"/>
        </w:rPr>
      </w:pPr>
      <w:r>
        <w:rPr>
          <w:rFonts w:ascii="新宋体" w:eastAsia="新宋体" w:hAnsi="新宋体" w:hint="eastAsia"/>
          <w:szCs w:val="21"/>
        </w:rPr>
        <w:t>吊洞吊模质量检验</w:t>
      </w:r>
    </w:p>
    <w:p>
      <w:pPr>
        <w:pStyle w:val="NormalWeb"/>
        <w:spacing w:before="0" w:beforeAutospacing="0" w:after="0" w:afterAutospacing="0" w:line="500" w:lineRule="exact"/>
        <w:rPr>
          <w:rFonts w:ascii="新宋体" w:eastAsia="新宋体" w:hAnsi="新宋体"/>
          <w:szCs w:val="21"/>
        </w:rPr>
      </w:pPr>
      <w:r>
        <w:rPr>
          <w:rFonts w:ascii="新宋体" w:eastAsia="新宋体" w:hAnsi="新宋体" w:hint="eastAsia"/>
          <w:szCs w:val="21"/>
        </w:rPr>
        <w:t>UPVC穿楼板管道毛化、甩砂质量检验；</w:t>
      </w:r>
    </w:p>
    <w:p>
      <w:pPr>
        <w:pStyle w:val="NormalWeb"/>
        <w:spacing w:before="0" w:beforeAutospacing="0" w:after="0" w:afterAutospacing="0" w:line="500" w:lineRule="exact"/>
        <w:rPr>
          <w:rFonts w:ascii="新宋体" w:eastAsia="新宋体" w:hAnsi="新宋体"/>
          <w:szCs w:val="21"/>
        </w:rPr>
      </w:pPr>
      <w:r>
        <w:rPr>
          <w:rFonts w:ascii="新宋体" w:eastAsia="新宋体" w:hAnsi="新宋体" w:hint="eastAsia"/>
          <w:szCs w:val="21"/>
        </w:rPr>
        <w:t>结构闭水试验检验；</w:t>
      </w:r>
    </w:p>
    <w:p>
      <w:pPr>
        <w:pStyle w:val="NormalWeb"/>
        <w:spacing w:before="0" w:beforeAutospacing="0" w:after="0" w:afterAutospacing="0" w:line="500" w:lineRule="exact"/>
        <w:rPr>
          <w:rFonts w:ascii="新宋体" w:eastAsia="新宋体" w:hAnsi="新宋体"/>
          <w:szCs w:val="21"/>
        </w:rPr>
      </w:pPr>
      <w:r>
        <w:rPr>
          <w:rFonts w:ascii="新宋体" w:eastAsia="新宋体" w:hAnsi="新宋体" w:hint="eastAsia"/>
          <w:szCs w:val="21"/>
        </w:rPr>
        <w:t>暗埋管道打压试验检验；</w:t>
      </w:r>
    </w:p>
    <w:p>
      <w:pPr>
        <w:pStyle w:val="NormalWeb"/>
        <w:spacing w:before="0" w:beforeAutospacing="0" w:after="0" w:afterAutospacing="0" w:line="500" w:lineRule="exact"/>
        <w:rPr>
          <w:rFonts w:ascii="新宋体" w:eastAsia="新宋体" w:hAnsi="新宋体"/>
          <w:szCs w:val="21"/>
        </w:rPr>
      </w:pPr>
      <w:r>
        <w:rPr>
          <w:rFonts w:ascii="新宋体" w:eastAsia="新宋体" w:hAnsi="新宋体" w:hint="eastAsia"/>
          <w:szCs w:val="21"/>
        </w:rPr>
        <w:t>管根、地漏、转角附加防水层及细部做法检验；</w:t>
      </w:r>
    </w:p>
    <w:p>
      <w:pPr>
        <w:pStyle w:val="NormalWeb"/>
        <w:spacing w:before="0" w:beforeAutospacing="0" w:after="0" w:afterAutospacing="0" w:line="500" w:lineRule="exact"/>
        <w:rPr>
          <w:rFonts w:ascii="新宋体" w:eastAsia="新宋体" w:hAnsi="新宋体"/>
          <w:szCs w:val="21"/>
        </w:rPr>
      </w:pPr>
      <w:r>
        <w:rPr>
          <w:rFonts w:ascii="新宋体" w:eastAsia="新宋体" w:hAnsi="新宋体" w:hint="eastAsia"/>
          <w:szCs w:val="21"/>
        </w:rPr>
        <w:t>防水层高度、厚度及涂布间隔检验；</w:t>
      </w:r>
    </w:p>
    <w:p>
      <w:pPr>
        <w:pStyle w:val="NormalWeb"/>
        <w:spacing w:before="0" w:beforeAutospacing="0" w:after="0" w:afterAutospacing="0" w:line="500" w:lineRule="exact"/>
        <w:rPr>
          <w:rFonts w:ascii="新宋体" w:eastAsia="新宋体" w:hAnsi="新宋体"/>
          <w:szCs w:val="21"/>
        </w:rPr>
      </w:pPr>
      <w:r>
        <w:rPr>
          <w:rFonts w:ascii="新宋体" w:eastAsia="新宋体" w:hAnsi="新宋体" w:hint="eastAsia"/>
          <w:szCs w:val="21"/>
        </w:rPr>
        <w:t>防水层闭水试验检验；</w:t>
      </w:r>
    </w:p>
    <w:p>
      <w:pPr>
        <w:pStyle w:val="NormalWeb"/>
        <w:spacing w:before="0" w:beforeAutospacing="0" w:after="0" w:afterAutospacing="0" w:line="500" w:lineRule="exact"/>
        <w:rPr>
          <w:rFonts w:ascii="新宋体" w:eastAsia="新宋体" w:hAnsi="新宋体"/>
          <w:szCs w:val="21"/>
        </w:rPr>
      </w:pPr>
      <w:r>
        <w:rPr>
          <w:rFonts w:ascii="新宋体" w:eastAsia="新宋体" w:hAnsi="新宋体" w:hint="eastAsia"/>
          <w:szCs w:val="21"/>
        </w:rPr>
        <w:t>保护层施工、成品保护措施检验；</w:t>
      </w:r>
    </w:p>
    <w:p>
      <w:pPr>
        <w:pStyle w:val="NormalWeb"/>
        <w:spacing w:before="0" w:beforeAutospacing="0" w:after="0" w:afterAutospacing="0" w:line="500" w:lineRule="exact"/>
        <w:rPr>
          <w:rFonts w:ascii="新宋体" w:eastAsia="新宋体" w:hAnsi="新宋体"/>
          <w:szCs w:val="21"/>
        </w:rPr>
      </w:pPr>
      <w:r>
        <w:rPr>
          <w:rFonts w:ascii="新宋体" w:eastAsia="新宋体" w:hAnsi="新宋体" w:hint="eastAsia"/>
          <w:szCs w:val="21"/>
        </w:rPr>
        <w:t>闭水试验检验。</w:t>
      </w:r>
    </w:p>
    <w:p>
      <w:pPr>
        <w:pStyle w:val="NormalWeb"/>
        <w:spacing w:before="0" w:beforeAutospacing="0" w:after="0" w:afterAutospacing="0" w:line="500" w:lineRule="exact"/>
        <w:rPr>
          <w:rFonts w:ascii="新宋体" w:eastAsia="新宋体" w:hAnsi="新宋体"/>
          <w:b/>
          <w:color w:val="FF0000"/>
          <w:szCs w:val="21"/>
        </w:rPr>
      </w:pPr>
      <w:r>
        <w:rPr>
          <w:rFonts w:ascii="新宋体" w:eastAsia="新宋体" w:hAnsi="新宋体" w:hint="eastAsia"/>
          <w:b/>
          <w:color w:val="FF0000"/>
          <w:szCs w:val="21"/>
        </w:rPr>
        <w:t>门窗防渗漏检验：</w:t>
      </w:r>
    </w:p>
    <w:p>
      <w:pPr>
        <w:pStyle w:val="NormalWeb"/>
        <w:spacing w:before="0" w:beforeAutospacing="0" w:after="0" w:afterAutospacing="0" w:line="500" w:lineRule="exact"/>
        <w:rPr>
          <w:rFonts w:ascii="新宋体" w:eastAsia="新宋体" w:hAnsi="新宋体"/>
          <w:szCs w:val="21"/>
        </w:rPr>
      </w:pPr>
      <w:r>
        <w:rPr>
          <w:rFonts w:ascii="新宋体" w:eastAsia="新宋体" w:hAnsi="新宋体" w:hint="eastAsia"/>
          <w:szCs w:val="21"/>
        </w:rPr>
        <w:t>门窗洞口偏差修补检验；</w:t>
      </w:r>
    </w:p>
    <w:p>
      <w:pPr>
        <w:pStyle w:val="NormalWeb"/>
        <w:spacing w:before="0" w:beforeAutospacing="0" w:after="0" w:afterAutospacing="0" w:line="500" w:lineRule="exact"/>
        <w:rPr>
          <w:rFonts w:ascii="新宋体" w:eastAsia="新宋体" w:hAnsi="新宋体"/>
          <w:szCs w:val="21"/>
        </w:rPr>
        <w:sectPr>
          <w:headerReference w:type="default" r:id="rId35"/>
          <w:footerReference w:type="default" r:id="rId36"/>
          <w:type w:val="nextPage"/>
          <w:pgSz w:w="11906" w:h="16838"/>
          <w:pgMar w:top="1134" w:right="851" w:bottom="851" w:left="1418" w:header="851" w:footer="992" w:gutter="0"/>
          <w:pgNumType w:start="16"/>
          <w:cols w:num="1" w:space="720"/>
          <w:titlePg w:val="0"/>
          <w:docGrid w:type="lines" w:linePitch="312" w:charSpace="0"/>
        </w:sectPr>
      </w:pPr>
      <w:r>
        <w:rPr>
          <w:rFonts w:ascii="新宋体" w:eastAsia="新宋体" w:hAnsi="新宋体" w:hint="eastAsia"/>
          <w:szCs w:val="21"/>
        </w:rPr>
        <w:t>门窗外框、端部防排水及密封检验；</w:t>
      </w:r>
    </w:p>
    <w:p>
      <w:pPr>
        <w:pStyle w:val="NormalWeb"/>
        <w:spacing w:before="0" w:beforeAutospacing="0" w:after="0" w:afterAutospacing="0" w:line="500" w:lineRule="exact"/>
        <w:rPr>
          <w:rFonts w:ascii="新宋体" w:eastAsia="新宋体" w:hAnsi="新宋体"/>
          <w:szCs w:val="21"/>
        </w:rPr>
      </w:pPr>
      <w:r>
        <w:rPr>
          <w:rFonts w:ascii="新宋体" w:eastAsia="新宋体" w:hAnsi="新宋体" w:hint="eastAsia"/>
          <w:szCs w:val="21"/>
        </w:rPr>
        <w:t>门窗外框与结构固定检验；</w:t>
      </w:r>
    </w:p>
    <w:p>
      <w:pPr>
        <w:pStyle w:val="NormalWeb"/>
        <w:spacing w:before="0" w:beforeAutospacing="0" w:after="0" w:afterAutospacing="0" w:line="500" w:lineRule="exact"/>
        <w:rPr>
          <w:rFonts w:ascii="新宋体" w:eastAsia="新宋体" w:hAnsi="新宋体"/>
          <w:szCs w:val="21"/>
        </w:rPr>
      </w:pPr>
      <w:r>
        <w:rPr>
          <w:rFonts w:ascii="新宋体" w:eastAsia="新宋体" w:hAnsi="新宋体" w:hint="eastAsia"/>
          <w:szCs w:val="21"/>
        </w:rPr>
        <w:t>门窗外框与结构间分次塞缝、发泡胶施打检验；</w:t>
      </w:r>
    </w:p>
    <w:p>
      <w:pPr>
        <w:pStyle w:val="NormalWeb"/>
        <w:spacing w:before="0" w:beforeAutospacing="0" w:after="0" w:afterAutospacing="0" w:line="500" w:lineRule="exact"/>
        <w:rPr>
          <w:rFonts w:ascii="新宋体" w:eastAsia="新宋体" w:hAnsi="新宋体"/>
          <w:szCs w:val="21"/>
        </w:rPr>
      </w:pPr>
      <w:r>
        <w:rPr>
          <w:rFonts w:ascii="新宋体" w:eastAsia="新宋体" w:hAnsi="新宋体" w:hint="eastAsia"/>
          <w:szCs w:val="21"/>
        </w:rPr>
        <w:t>门窗临时固定垫块拆除、临时固定垫块拆除处清理检验；</w:t>
      </w:r>
    </w:p>
    <w:p>
      <w:pPr>
        <w:pStyle w:val="NormalWeb"/>
        <w:spacing w:before="0" w:beforeAutospacing="0" w:after="0" w:afterAutospacing="0" w:line="500" w:lineRule="exact"/>
        <w:rPr>
          <w:rFonts w:ascii="新宋体" w:eastAsia="新宋体" w:hAnsi="新宋体"/>
          <w:szCs w:val="21"/>
        </w:rPr>
      </w:pPr>
      <w:r>
        <w:rPr>
          <w:rFonts w:ascii="新宋体" w:eastAsia="新宋体" w:hAnsi="新宋体" w:hint="eastAsia"/>
          <w:szCs w:val="21"/>
        </w:rPr>
        <w:t>临时固定处二次打胶、塞缝检验；</w:t>
      </w:r>
    </w:p>
    <w:p>
      <w:pPr>
        <w:pStyle w:val="NormalWeb"/>
        <w:spacing w:before="0" w:beforeAutospacing="0" w:after="0" w:afterAutospacing="0" w:line="500" w:lineRule="exact"/>
        <w:rPr>
          <w:rFonts w:ascii="新宋体" w:eastAsia="新宋体" w:hAnsi="新宋体"/>
          <w:szCs w:val="21"/>
        </w:rPr>
      </w:pPr>
      <w:r>
        <w:rPr>
          <w:rFonts w:ascii="新宋体" w:eastAsia="新宋体" w:hAnsi="新宋体" w:hint="eastAsia"/>
          <w:szCs w:val="21"/>
        </w:rPr>
        <w:t>窗框与玻璃的密封检验；</w:t>
      </w:r>
    </w:p>
    <w:p>
      <w:pPr>
        <w:pStyle w:val="NormalWeb"/>
        <w:spacing w:before="0" w:beforeAutospacing="0" w:after="0" w:afterAutospacing="0" w:line="500" w:lineRule="exact"/>
        <w:rPr>
          <w:rFonts w:ascii="新宋体" w:eastAsia="新宋体" w:hAnsi="新宋体"/>
          <w:szCs w:val="21"/>
        </w:rPr>
      </w:pPr>
      <w:r>
        <w:rPr>
          <w:rFonts w:ascii="新宋体" w:eastAsia="新宋体" w:hAnsi="新宋体" w:hint="eastAsia"/>
          <w:szCs w:val="21"/>
        </w:rPr>
        <w:t>五金配件的安装检验；</w:t>
      </w:r>
    </w:p>
    <w:p>
      <w:pPr>
        <w:pStyle w:val="NormalWeb"/>
        <w:spacing w:before="0" w:beforeAutospacing="0" w:after="0" w:afterAutospacing="0" w:line="500" w:lineRule="exact"/>
        <w:rPr>
          <w:rFonts w:ascii="新宋体" w:eastAsia="新宋体" w:hAnsi="新宋体"/>
          <w:szCs w:val="21"/>
        </w:rPr>
      </w:pPr>
      <w:r>
        <w:rPr>
          <w:rFonts w:ascii="新宋体" w:eastAsia="新宋体" w:hAnsi="新宋体" w:hint="eastAsia"/>
          <w:szCs w:val="21"/>
        </w:rPr>
        <w:t>耐候胶槽口抽条及清理检验；</w:t>
      </w:r>
    </w:p>
    <w:p>
      <w:pPr>
        <w:pStyle w:val="NormalWeb"/>
        <w:spacing w:before="0" w:beforeAutospacing="0" w:after="0" w:afterAutospacing="0" w:line="500" w:lineRule="exact"/>
        <w:rPr>
          <w:rFonts w:ascii="新宋体" w:eastAsia="新宋体" w:hAnsi="新宋体"/>
          <w:szCs w:val="21"/>
        </w:rPr>
      </w:pPr>
      <w:r>
        <w:rPr>
          <w:rFonts w:ascii="新宋体" w:eastAsia="新宋体" w:hAnsi="新宋体" w:hint="eastAsia"/>
          <w:szCs w:val="21"/>
        </w:rPr>
        <w:t>耐候胶施打质量检验；</w:t>
      </w:r>
    </w:p>
    <w:p>
      <w:pPr>
        <w:pStyle w:val="NormalWeb"/>
        <w:spacing w:before="0" w:beforeAutospacing="0" w:after="0" w:afterAutospacing="0" w:line="500" w:lineRule="exact"/>
        <w:rPr>
          <w:rFonts w:ascii="新宋体" w:eastAsia="新宋体" w:hAnsi="新宋体"/>
          <w:szCs w:val="21"/>
        </w:rPr>
      </w:pPr>
      <w:r>
        <w:rPr>
          <w:rFonts w:ascii="新宋体" w:eastAsia="新宋体" w:hAnsi="新宋体" w:hint="eastAsia"/>
          <w:szCs w:val="21"/>
        </w:rPr>
        <w:t>门窗验收前的外门窗48小时淋水试验检验。</w:t>
      </w:r>
    </w:p>
    <w:p>
      <w:pPr>
        <w:pStyle w:val="NormalWeb"/>
        <w:spacing w:before="0" w:beforeAutospacing="0" w:after="0" w:afterAutospacing="0" w:line="500" w:lineRule="exact"/>
        <w:rPr>
          <w:rFonts w:ascii="新宋体" w:eastAsia="新宋体" w:hAnsi="新宋体"/>
          <w:b/>
          <w:color w:val="FF0000"/>
          <w:szCs w:val="21"/>
        </w:rPr>
      </w:pPr>
      <w:r>
        <w:rPr>
          <w:rFonts w:ascii="新宋体" w:eastAsia="新宋体" w:hAnsi="新宋体" w:hint="eastAsia"/>
          <w:b/>
          <w:color w:val="FF0000"/>
          <w:szCs w:val="21"/>
        </w:rPr>
        <w:t>屋面防渗漏检验：</w:t>
      </w:r>
    </w:p>
    <w:p>
      <w:pPr>
        <w:pStyle w:val="NormalWeb"/>
        <w:spacing w:before="0" w:beforeAutospacing="0" w:after="0" w:afterAutospacing="0" w:line="500" w:lineRule="exact"/>
        <w:rPr>
          <w:rFonts w:ascii="新宋体" w:eastAsia="新宋体" w:hAnsi="新宋体"/>
          <w:szCs w:val="21"/>
        </w:rPr>
      </w:pPr>
      <w:r>
        <w:rPr>
          <w:rFonts w:ascii="新宋体" w:eastAsia="新宋体" w:hAnsi="新宋体" w:hint="eastAsia"/>
          <w:szCs w:val="21"/>
        </w:rPr>
        <w:t>出屋面管道的预埋套管、防水处理检验；</w:t>
      </w:r>
    </w:p>
    <w:p>
      <w:pPr>
        <w:pStyle w:val="NormalWeb"/>
        <w:spacing w:before="0" w:beforeAutospacing="0" w:after="0" w:afterAutospacing="0" w:line="500" w:lineRule="exact"/>
        <w:rPr>
          <w:rFonts w:ascii="新宋体" w:eastAsia="新宋体" w:hAnsi="新宋体"/>
          <w:szCs w:val="21"/>
        </w:rPr>
      </w:pPr>
      <w:r>
        <w:rPr>
          <w:rFonts w:ascii="新宋体" w:eastAsia="新宋体" w:hAnsi="新宋体" w:hint="eastAsia"/>
          <w:szCs w:val="21"/>
        </w:rPr>
        <w:t>屋面结构闭水试验检验；</w:t>
      </w:r>
    </w:p>
    <w:p>
      <w:pPr>
        <w:pStyle w:val="NormalWeb"/>
        <w:spacing w:before="0" w:beforeAutospacing="0" w:after="0" w:afterAutospacing="0" w:line="500" w:lineRule="exact"/>
        <w:rPr>
          <w:rFonts w:ascii="新宋体" w:eastAsia="新宋体" w:hAnsi="新宋体"/>
          <w:szCs w:val="21"/>
        </w:rPr>
      </w:pPr>
      <w:r>
        <w:rPr>
          <w:rFonts w:ascii="新宋体" w:eastAsia="新宋体" w:hAnsi="新宋体" w:hint="eastAsia"/>
          <w:szCs w:val="21"/>
        </w:rPr>
        <w:t>屋面保温基层干燥度及排气道检验；</w:t>
      </w:r>
    </w:p>
    <w:p>
      <w:pPr>
        <w:pStyle w:val="NormalWeb"/>
        <w:spacing w:before="0" w:beforeAutospacing="0" w:after="0" w:afterAutospacing="0" w:line="500" w:lineRule="exact"/>
        <w:rPr>
          <w:rFonts w:ascii="新宋体" w:eastAsia="新宋体" w:hAnsi="新宋体"/>
          <w:szCs w:val="21"/>
        </w:rPr>
      </w:pPr>
      <w:r>
        <w:rPr>
          <w:rFonts w:ascii="新宋体" w:eastAsia="新宋体" w:hAnsi="新宋体" w:hint="eastAsia"/>
          <w:szCs w:val="21"/>
        </w:rPr>
        <w:t>屋面保温封边、拼接、粘结工艺检验；</w:t>
      </w:r>
    </w:p>
    <w:p>
      <w:pPr>
        <w:pStyle w:val="NormalWeb"/>
        <w:spacing w:before="0" w:beforeAutospacing="0" w:after="0" w:afterAutospacing="0" w:line="500" w:lineRule="exact"/>
        <w:rPr>
          <w:rFonts w:ascii="新宋体" w:eastAsia="新宋体" w:hAnsi="新宋体"/>
          <w:color w:val="000000"/>
          <w:szCs w:val="21"/>
        </w:rPr>
      </w:pPr>
      <w:r>
        <w:rPr>
          <w:rFonts w:ascii="新宋体" w:eastAsia="新宋体" w:hAnsi="新宋体" w:hint="eastAsia"/>
          <w:color w:val="000000"/>
          <w:szCs w:val="21"/>
        </w:rPr>
        <w:t>女儿墙、出屋面管道、变形缝的砼挑耳或槽口检验；</w:t>
      </w:r>
    </w:p>
    <w:p>
      <w:pPr>
        <w:pStyle w:val="NormalWeb"/>
        <w:spacing w:before="0" w:beforeAutospacing="0" w:after="0" w:afterAutospacing="0" w:line="500" w:lineRule="exact"/>
        <w:rPr>
          <w:rFonts w:ascii="新宋体" w:eastAsia="新宋体" w:hAnsi="新宋体"/>
          <w:color w:val="000000"/>
          <w:szCs w:val="21"/>
        </w:rPr>
      </w:pPr>
      <w:r>
        <w:rPr>
          <w:rFonts w:ascii="新宋体" w:eastAsia="新宋体" w:hAnsi="新宋体" w:hint="eastAsia"/>
          <w:color w:val="000000"/>
          <w:szCs w:val="21"/>
        </w:rPr>
        <w:t>重要节点的槽口密封胶施打检验；</w:t>
      </w:r>
    </w:p>
    <w:p>
      <w:pPr>
        <w:pStyle w:val="NormalWeb"/>
        <w:spacing w:before="0" w:beforeAutospacing="0" w:after="0" w:afterAutospacing="0" w:line="500" w:lineRule="exact"/>
        <w:rPr>
          <w:rFonts w:ascii="新宋体" w:eastAsia="新宋体" w:hAnsi="新宋体"/>
          <w:color w:val="000000"/>
          <w:szCs w:val="21"/>
        </w:rPr>
      </w:pPr>
      <w:r>
        <w:rPr>
          <w:rFonts w:ascii="新宋体" w:eastAsia="新宋体" w:hAnsi="新宋体" w:hint="eastAsia"/>
          <w:color w:val="000000"/>
          <w:szCs w:val="21"/>
        </w:rPr>
        <w:t>转角、出入口、落水口等重要节点的附加防水层检验；</w:t>
      </w:r>
    </w:p>
    <w:p>
      <w:pPr>
        <w:pStyle w:val="NormalWeb"/>
        <w:spacing w:before="0" w:beforeAutospacing="0" w:after="0" w:afterAutospacing="0" w:line="500" w:lineRule="exact"/>
        <w:rPr>
          <w:rFonts w:ascii="新宋体" w:eastAsia="新宋体" w:hAnsi="新宋体"/>
          <w:color w:val="000000"/>
          <w:szCs w:val="21"/>
        </w:rPr>
      </w:pPr>
      <w:r>
        <w:rPr>
          <w:rFonts w:ascii="新宋体" w:eastAsia="新宋体" w:hAnsi="新宋体" w:hint="eastAsia"/>
          <w:color w:val="000000"/>
          <w:szCs w:val="21"/>
        </w:rPr>
        <w:t>屋面防水层闭水试验检验；</w:t>
      </w:r>
    </w:p>
    <w:p>
      <w:pPr>
        <w:pStyle w:val="NormalWeb"/>
        <w:spacing w:before="0" w:beforeAutospacing="0" w:after="0" w:afterAutospacing="0" w:line="500" w:lineRule="exact"/>
        <w:rPr>
          <w:rFonts w:ascii="新宋体" w:eastAsia="新宋体" w:hAnsi="新宋体"/>
          <w:color w:val="000000"/>
          <w:szCs w:val="21"/>
        </w:rPr>
      </w:pPr>
      <w:r>
        <w:rPr>
          <w:rFonts w:ascii="新宋体" w:eastAsia="新宋体" w:hAnsi="新宋体" w:hint="eastAsia"/>
          <w:color w:val="000000"/>
          <w:szCs w:val="21"/>
        </w:rPr>
        <w:t>屋面防水收头的压条、密封处理检验；</w:t>
      </w:r>
    </w:p>
    <w:p>
      <w:pPr>
        <w:pStyle w:val="NormalWeb"/>
        <w:spacing w:before="0" w:beforeAutospacing="0" w:after="0" w:afterAutospacing="0" w:line="500" w:lineRule="exact"/>
        <w:rPr>
          <w:rFonts w:ascii="新宋体" w:eastAsia="新宋体" w:hAnsi="新宋体"/>
          <w:color w:val="000000"/>
          <w:szCs w:val="21"/>
        </w:rPr>
      </w:pPr>
      <w:r>
        <w:rPr>
          <w:rFonts w:ascii="新宋体" w:eastAsia="新宋体" w:hAnsi="新宋体" w:hint="eastAsia"/>
          <w:color w:val="000000"/>
          <w:szCs w:val="21"/>
        </w:rPr>
        <w:t>浮筑隔离层检验；</w:t>
      </w:r>
    </w:p>
    <w:p>
      <w:pPr>
        <w:pStyle w:val="NormalWeb"/>
        <w:spacing w:before="0" w:beforeAutospacing="0" w:after="0" w:afterAutospacing="0" w:line="500" w:lineRule="exact"/>
        <w:rPr>
          <w:rFonts w:ascii="新宋体" w:eastAsia="新宋体" w:hAnsi="新宋体"/>
          <w:color w:val="000000"/>
          <w:szCs w:val="21"/>
        </w:rPr>
      </w:pPr>
      <w:r>
        <w:rPr>
          <w:rFonts w:ascii="新宋体" w:eastAsia="新宋体" w:hAnsi="新宋体" w:hint="eastAsia"/>
          <w:color w:val="000000"/>
          <w:szCs w:val="21"/>
        </w:rPr>
        <w:t>防水保护层分仓缝留置检验；</w:t>
      </w:r>
    </w:p>
    <w:p>
      <w:pPr>
        <w:pStyle w:val="NormalWeb"/>
        <w:spacing w:before="0" w:beforeAutospacing="0" w:after="0" w:afterAutospacing="0" w:line="500" w:lineRule="exact"/>
        <w:rPr>
          <w:rFonts w:ascii="新宋体" w:eastAsia="新宋体" w:hAnsi="新宋体"/>
          <w:color w:val="000000"/>
          <w:szCs w:val="21"/>
        </w:rPr>
      </w:pPr>
      <w:r>
        <w:rPr>
          <w:rFonts w:ascii="新宋体" w:eastAsia="新宋体" w:hAnsi="新宋体" w:hint="eastAsia"/>
          <w:color w:val="000000"/>
          <w:szCs w:val="21"/>
        </w:rPr>
        <w:t>防水保护层分仓缝抽条、清理、密封检验；</w:t>
      </w:r>
    </w:p>
    <w:p>
      <w:pPr>
        <w:spacing w:line="500" w:lineRule="exact"/>
        <w:rPr>
          <w:rFonts w:ascii="新宋体" w:eastAsia="新宋体" w:hAnsi="新宋体"/>
          <w:color w:val="000000"/>
          <w:szCs w:val="21"/>
        </w:rPr>
      </w:pPr>
      <w:r>
        <w:rPr>
          <w:rFonts w:ascii="新宋体" w:eastAsia="新宋体" w:hAnsi="新宋体" w:hint="eastAsia"/>
          <w:color w:val="000000"/>
          <w:szCs w:val="21"/>
        </w:rPr>
        <w:t>屋面排水及闭水试验检验。</w:t>
      </w:r>
    </w:p>
    <w:p>
      <w:pPr>
        <w:spacing w:line="500" w:lineRule="exact"/>
        <w:rPr>
          <w:b/>
          <w:color w:val="FF0000"/>
          <w:szCs w:val="21"/>
        </w:rPr>
      </w:pPr>
      <w:r>
        <w:rPr>
          <w:rFonts w:hint="eastAsia"/>
          <w:b/>
          <w:color w:val="FF0000"/>
          <w:szCs w:val="21"/>
        </w:rPr>
        <w:t>给水管道安装质量检验：</w:t>
      </w:r>
    </w:p>
    <w:p>
      <w:pPr>
        <w:spacing w:line="500" w:lineRule="exact"/>
        <w:ind w:right="640"/>
        <w:rPr>
          <w:szCs w:val="21"/>
        </w:rPr>
      </w:pPr>
      <w:r>
        <w:rPr>
          <w:rFonts w:hint="eastAsia"/>
          <w:szCs w:val="21"/>
        </w:rPr>
        <w:t>给水管道水压试验、系统通水试验检验；</w:t>
      </w:r>
    </w:p>
    <w:p>
      <w:pPr>
        <w:spacing w:line="500" w:lineRule="exact"/>
        <w:ind w:right="640"/>
        <w:rPr>
          <w:szCs w:val="21"/>
        </w:rPr>
      </w:pPr>
      <w:r>
        <w:rPr>
          <w:rFonts w:hint="eastAsia"/>
          <w:szCs w:val="21"/>
        </w:rPr>
        <w:t>生活给水系统管道冲洗和消毒检验；</w:t>
      </w:r>
    </w:p>
    <w:p>
      <w:pPr>
        <w:spacing w:line="500" w:lineRule="exact"/>
        <w:ind w:right="640"/>
        <w:rPr>
          <w:szCs w:val="21"/>
        </w:rPr>
      </w:pPr>
      <w:r>
        <w:rPr>
          <w:rFonts w:hint="eastAsia"/>
          <w:szCs w:val="21"/>
        </w:rPr>
        <w:t>直埋金属管道防腐检验；</w:t>
      </w:r>
    </w:p>
    <w:p>
      <w:pPr>
        <w:spacing w:line="500" w:lineRule="exact"/>
        <w:ind w:right="640"/>
        <w:rPr>
          <w:szCs w:val="21"/>
        </w:rPr>
        <w:sectPr>
          <w:headerReference w:type="default" r:id="rId37"/>
          <w:footerReference w:type="default" r:id="rId38"/>
          <w:type w:val="nextPage"/>
          <w:pgSz w:w="11906" w:h="16838"/>
          <w:pgMar w:top="1134" w:right="851" w:bottom="851" w:left="1418" w:header="851" w:footer="992" w:gutter="0"/>
          <w:pgNumType w:start="17"/>
          <w:cols w:num="1" w:space="720"/>
          <w:titlePg w:val="0"/>
          <w:docGrid w:type="lines" w:linePitch="312" w:charSpace="0"/>
        </w:sectPr>
      </w:pPr>
      <w:r>
        <w:rPr>
          <w:rFonts w:hint="eastAsia"/>
          <w:szCs w:val="21"/>
        </w:rPr>
        <w:t>给排水管道铺设的平行、垂直净距检验；</w:t>
      </w:r>
    </w:p>
    <w:p>
      <w:pPr>
        <w:spacing w:line="500" w:lineRule="exact"/>
        <w:ind w:right="640"/>
        <w:rPr>
          <w:szCs w:val="21"/>
        </w:rPr>
      </w:pPr>
      <w:r>
        <w:rPr>
          <w:rFonts w:hint="eastAsia"/>
          <w:szCs w:val="21"/>
        </w:rPr>
        <w:t>给水水平管道坡度坡向检验；</w:t>
      </w:r>
    </w:p>
    <w:p>
      <w:pPr>
        <w:spacing w:line="500" w:lineRule="exact"/>
        <w:ind w:right="640"/>
        <w:rPr>
          <w:szCs w:val="21"/>
        </w:rPr>
      </w:pPr>
      <w:r>
        <w:rPr>
          <w:rFonts w:hint="eastAsia"/>
          <w:szCs w:val="21"/>
        </w:rPr>
        <w:t>管道支、吊架检验；</w:t>
      </w:r>
    </w:p>
    <w:p>
      <w:pPr>
        <w:spacing w:line="500" w:lineRule="exact"/>
        <w:ind w:right="640"/>
        <w:rPr>
          <w:szCs w:val="21"/>
        </w:rPr>
      </w:pPr>
      <w:r>
        <w:rPr>
          <w:rFonts w:hint="eastAsia"/>
          <w:szCs w:val="21"/>
        </w:rPr>
        <w:t>水表安装检验；</w:t>
      </w:r>
    </w:p>
    <w:p>
      <w:pPr>
        <w:spacing w:line="500" w:lineRule="exact"/>
        <w:ind w:right="640"/>
        <w:rPr>
          <w:szCs w:val="21"/>
        </w:rPr>
      </w:pPr>
      <w:r>
        <w:rPr>
          <w:rFonts w:hint="eastAsia"/>
          <w:szCs w:val="21"/>
        </w:rPr>
        <w:t>水平管道纵横方向弯曲允许偏差检验；</w:t>
      </w:r>
    </w:p>
    <w:p>
      <w:pPr>
        <w:spacing w:line="500" w:lineRule="exact"/>
        <w:rPr>
          <w:b/>
          <w:color w:val="FF0000"/>
          <w:szCs w:val="21"/>
        </w:rPr>
      </w:pPr>
      <w:r>
        <w:rPr>
          <w:rFonts w:hint="eastAsia"/>
          <w:b/>
          <w:color w:val="FF0000"/>
          <w:szCs w:val="21"/>
        </w:rPr>
        <w:t>室内消火栓系统安装质量检验：</w:t>
      </w:r>
    </w:p>
    <w:p>
      <w:pPr>
        <w:spacing w:line="500" w:lineRule="exact"/>
        <w:ind w:right="640"/>
        <w:rPr>
          <w:szCs w:val="21"/>
        </w:rPr>
      </w:pPr>
      <w:r>
        <w:rPr>
          <w:rFonts w:hint="eastAsia"/>
          <w:szCs w:val="21"/>
        </w:rPr>
        <w:t>给水管道水压试验检验；</w:t>
      </w:r>
    </w:p>
    <w:p>
      <w:pPr>
        <w:spacing w:line="500" w:lineRule="exact"/>
        <w:ind w:right="640"/>
        <w:rPr>
          <w:szCs w:val="21"/>
        </w:rPr>
      </w:pPr>
      <w:r>
        <w:rPr>
          <w:rFonts w:hint="eastAsia"/>
          <w:szCs w:val="21"/>
        </w:rPr>
        <w:t>栓口朝外，并不应安放在门轴侧检验；</w:t>
      </w:r>
    </w:p>
    <w:p>
      <w:pPr>
        <w:spacing w:line="500" w:lineRule="exact"/>
        <w:ind w:right="640"/>
        <w:rPr>
          <w:szCs w:val="21"/>
        </w:rPr>
      </w:pPr>
      <w:r>
        <w:rPr>
          <w:rFonts w:hint="eastAsia"/>
          <w:szCs w:val="21"/>
        </w:rPr>
        <w:t>栓口中心距地面1.1m允许偏差检验；</w:t>
      </w:r>
    </w:p>
    <w:p>
      <w:pPr>
        <w:spacing w:line="500" w:lineRule="exact"/>
        <w:ind w:right="640"/>
        <w:rPr>
          <w:szCs w:val="21"/>
        </w:rPr>
      </w:pPr>
      <w:r>
        <w:rPr>
          <w:rFonts w:hint="eastAsia"/>
          <w:szCs w:val="21"/>
        </w:rPr>
        <w:t>阀门中心距箱侧面140mm距箱后内表面100mm允许偏差检验；</w:t>
      </w:r>
    </w:p>
    <w:p>
      <w:pPr>
        <w:spacing w:line="500" w:lineRule="exact"/>
        <w:ind w:right="640"/>
        <w:rPr>
          <w:szCs w:val="21"/>
        </w:rPr>
      </w:pPr>
      <w:r>
        <w:rPr>
          <w:rFonts w:hint="eastAsia"/>
          <w:szCs w:val="21"/>
        </w:rPr>
        <w:t>消火栓箱体安装的垂直度允许偏差检验。</w:t>
      </w:r>
    </w:p>
    <w:p>
      <w:pPr>
        <w:spacing w:line="500" w:lineRule="exact"/>
        <w:rPr>
          <w:b/>
          <w:color w:val="FF0000"/>
          <w:szCs w:val="21"/>
        </w:rPr>
      </w:pPr>
      <w:r>
        <w:rPr>
          <w:rFonts w:hint="eastAsia"/>
          <w:b/>
          <w:color w:val="FF0000"/>
          <w:szCs w:val="21"/>
        </w:rPr>
        <w:t>给水设备安装质量检验：</w:t>
      </w:r>
    </w:p>
    <w:p>
      <w:pPr>
        <w:spacing w:line="500" w:lineRule="exact"/>
        <w:ind w:right="640"/>
        <w:rPr>
          <w:szCs w:val="21"/>
        </w:rPr>
      </w:pPr>
      <w:r>
        <w:rPr>
          <w:rFonts w:hint="eastAsia"/>
          <w:szCs w:val="21"/>
        </w:rPr>
        <w:t>水泵基础检验；</w:t>
      </w:r>
    </w:p>
    <w:p>
      <w:pPr>
        <w:spacing w:line="500" w:lineRule="exact"/>
        <w:ind w:right="640"/>
        <w:rPr>
          <w:szCs w:val="21"/>
        </w:rPr>
      </w:pPr>
      <w:r>
        <w:rPr>
          <w:rFonts w:hint="eastAsia"/>
          <w:szCs w:val="21"/>
        </w:rPr>
        <w:t>水泵试运转的轴承升温检验；</w:t>
      </w:r>
    </w:p>
    <w:p>
      <w:pPr>
        <w:spacing w:line="500" w:lineRule="exact"/>
        <w:ind w:right="640"/>
        <w:rPr>
          <w:szCs w:val="21"/>
        </w:rPr>
      </w:pPr>
      <w:r>
        <w:rPr>
          <w:rFonts w:hint="eastAsia"/>
          <w:szCs w:val="21"/>
        </w:rPr>
        <w:t>敞口水箱满水试验和密闭水箱（罐）的水压试验检验；</w:t>
      </w:r>
    </w:p>
    <w:p>
      <w:pPr>
        <w:spacing w:line="500" w:lineRule="exact"/>
        <w:ind w:right="640"/>
        <w:rPr>
          <w:szCs w:val="21"/>
        </w:rPr>
      </w:pPr>
      <w:r>
        <w:rPr>
          <w:rFonts w:hint="eastAsia"/>
          <w:szCs w:val="21"/>
        </w:rPr>
        <w:t>水箱支架或底座安装检验；</w:t>
      </w:r>
    </w:p>
    <w:p>
      <w:pPr>
        <w:spacing w:line="500" w:lineRule="exact"/>
        <w:ind w:right="640"/>
        <w:rPr>
          <w:szCs w:val="21"/>
        </w:rPr>
      </w:pPr>
      <w:r>
        <w:rPr>
          <w:rFonts w:hint="eastAsia"/>
          <w:szCs w:val="21"/>
        </w:rPr>
        <w:t>水箱溢流管和泄放管安装检验；</w:t>
      </w:r>
    </w:p>
    <w:p>
      <w:pPr>
        <w:spacing w:line="500" w:lineRule="exact"/>
        <w:ind w:right="640"/>
        <w:rPr>
          <w:szCs w:val="21"/>
        </w:rPr>
      </w:pPr>
      <w:r>
        <w:rPr>
          <w:rFonts w:hint="eastAsia"/>
          <w:szCs w:val="21"/>
        </w:rPr>
        <w:t>立式水泵减震装置检验。</w:t>
      </w:r>
    </w:p>
    <w:p>
      <w:pPr>
        <w:spacing w:line="500" w:lineRule="exact"/>
        <w:rPr>
          <w:b/>
          <w:color w:val="FF0000"/>
          <w:szCs w:val="21"/>
        </w:rPr>
      </w:pPr>
      <w:r>
        <w:rPr>
          <w:rFonts w:hint="eastAsia"/>
          <w:b/>
          <w:color w:val="FF0000"/>
          <w:szCs w:val="21"/>
        </w:rPr>
        <w:t>室内排水管道及配件安装质量检验：</w:t>
      </w:r>
    </w:p>
    <w:p>
      <w:pPr>
        <w:spacing w:line="500" w:lineRule="exact"/>
        <w:ind w:right="640"/>
        <w:rPr>
          <w:szCs w:val="21"/>
        </w:rPr>
      </w:pPr>
      <w:r>
        <w:rPr>
          <w:rFonts w:hint="eastAsia"/>
          <w:szCs w:val="21"/>
        </w:rPr>
        <w:t>排水管道灌水压试验检验；</w:t>
      </w:r>
    </w:p>
    <w:p>
      <w:pPr>
        <w:spacing w:line="500" w:lineRule="exact"/>
        <w:ind w:right="640"/>
        <w:rPr>
          <w:szCs w:val="21"/>
        </w:rPr>
      </w:pPr>
      <w:r>
        <w:rPr>
          <w:rFonts w:hint="eastAsia"/>
          <w:szCs w:val="21"/>
        </w:rPr>
        <w:t>排水立管及水平干管通球试验检验；</w:t>
      </w:r>
    </w:p>
    <w:p>
      <w:pPr>
        <w:spacing w:line="500" w:lineRule="exact"/>
        <w:ind w:right="640"/>
        <w:rPr>
          <w:szCs w:val="21"/>
        </w:rPr>
      </w:pPr>
      <w:r>
        <w:rPr>
          <w:rFonts w:hint="eastAsia"/>
          <w:szCs w:val="21"/>
        </w:rPr>
        <w:t>排水塑料管伸缩节（阻火圈或防火套管）安装检验；</w:t>
      </w:r>
    </w:p>
    <w:p>
      <w:pPr>
        <w:spacing w:line="500" w:lineRule="exact"/>
        <w:ind w:right="640"/>
        <w:rPr>
          <w:szCs w:val="21"/>
        </w:rPr>
      </w:pPr>
      <w:r>
        <w:rPr>
          <w:rFonts w:hint="eastAsia"/>
          <w:szCs w:val="21"/>
        </w:rPr>
        <w:t>生活污水铸铁管、塑料管坡度检验；</w:t>
      </w:r>
    </w:p>
    <w:p>
      <w:pPr>
        <w:spacing w:line="500" w:lineRule="exact"/>
        <w:ind w:right="640"/>
        <w:rPr>
          <w:szCs w:val="21"/>
        </w:rPr>
      </w:pPr>
      <w:r>
        <w:rPr>
          <w:rFonts w:hint="eastAsia"/>
          <w:szCs w:val="21"/>
        </w:rPr>
        <w:t>生活污水管道设置检查口和清扫口检验；</w:t>
      </w:r>
    </w:p>
    <w:p>
      <w:pPr>
        <w:spacing w:line="500" w:lineRule="exact"/>
        <w:ind w:right="640"/>
        <w:rPr>
          <w:szCs w:val="21"/>
        </w:rPr>
      </w:pPr>
      <w:r>
        <w:rPr>
          <w:rFonts w:hint="eastAsia"/>
          <w:szCs w:val="21"/>
        </w:rPr>
        <w:t>管道支、吊架安装检验；</w:t>
      </w:r>
    </w:p>
    <w:p>
      <w:pPr>
        <w:spacing w:line="500" w:lineRule="exact"/>
        <w:ind w:right="640"/>
        <w:rPr>
          <w:szCs w:val="21"/>
        </w:rPr>
      </w:pPr>
      <w:r>
        <w:rPr>
          <w:rFonts w:hint="eastAsia"/>
          <w:szCs w:val="21"/>
        </w:rPr>
        <w:t>排水通气管安装检验；</w:t>
      </w:r>
    </w:p>
    <w:p>
      <w:pPr>
        <w:spacing w:line="500" w:lineRule="exact"/>
        <w:ind w:right="640"/>
        <w:rPr>
          <w:szCs w:val="21"/>
        </w:rPr>
      </w:pPr>
      <w:r>
        <w:rPr>
          <w:rFonts w:hint="eastAsia"/>
          <w:szCs w:val="21"/>
        </w:rPr>
        <w:t>横管纵横方向弯曲检验；</w:t>
      </w:r>
    </w:p>
    <w:p>
      <w:pPr>
        <w:spacing w:line="500" w:lineRule="exact"/>
        <w:ind w:right="640"/>
        <w:rPr>
          <w:szCs w:val="21"/>
        </w:rPr>
      </w:pPr>
      <w:r>
        <w:rPr>
          <w:rFonts w:hint="eastAsia"/>
          <w:szCs w:val="21"/>
        </w:rPr>
        <w:t>立管垂直度检验。</w:t>
      </w:r>
    </w:p>
    <w:p>
      <w:pPr>
        <w:spacing w:line="500" w:lineRule="exact"/>
        <w:rPr>
          <w:b/>
          <w:color w:val="FF0000"/>
          <w:szCs w:val="21"/>
        </w:rPr>
      </w:pPr>
      <w:r>
        <w:rPr>
          <w:rFonts w:hint="eastAsia"/>
          <w:b/>
          <w:color w:val="FF0000"/>
          <w:szCs w:val="21"/>
        </w:rPr>
        <w:t>室内雨水管道及配件安装质量检验：</w:t>
      </w:r>
      <w:r>
        <w:rPr>
          <w:b/>
          <w:color w:val="FF0000"/>
          <w:szCs w:val="21"/>
        </w:rPr>
        <w:br/>
      </w:r>
      <w:r>
        <w:rPr>
          <w:b/>
          <w:color w:val="FF0000"/>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9" w:history="1">
        <w:r>
          <w:rPr>
            <w:rFonts w:ascii="SimSun" w:eastAsia="SimSun" w:hAnsi="SimSun" w:cs="SimSun"/>
            <w:b/>
            <w:bCs/>
            <w:color w:val="0000EE"/>
            <w:kern w:val="0"/>
            <w:sz w:val="30"/>
            <w:szCs w:val="30"/>
            <w:u w:val="single" w:color="0000EE"/>
          </w:rPr>
          <w:t>https://d.book118.com/205324131340011101</w:t>
        </w:r>
      </w:hyperlink>
    </w:p>
    <w:p>
      <w:pPr>
        <w:spacing w:line="500" w:lineRule="exact"/>
        <w:rPr>
          <w:b/>
          <w:color w:val="FF0000"/>
          <w:szCs w:val="21"/>
        </w:rPr>
      </w:pPr>
    </w:p>
    <w:sectPr>
      <w:headerReference w:type="default" r:id="rId40"/>
      <w:footerReference w:type="default" r:id="rId41"/>
      <w:type w:val="nextPage"/>
      <w:pgSz w:w="11906" w:h="16838"/>
      <w:pgMar w:top="1134" w:right="851" w:bottom="851" w:left="1418" w:header="851" w:footer="992" w:gutter="0"/>
      <w:pgNumType w:start="18"/>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新宋体">
    <w:panose1 w:val="02010609030101010101"/>
    <w:charset w:val="86"/>
    <w:family w:val="modern"/>
    <w:pitch w:val="default"/>
    <w:sig w:usb0="00000203" w:usb1="288F0000" w:usb2="0000000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bookmarkStart w:id="0" w:name="_GoBack"/>
    <w:bookmarkEnd w:id="0"/>
    <w:r>
      <w:rPr>
        <w:rFonts w:hint="eastAsia"/>
        <w:lang w:eastAsia="zh-CN"/>
      </w:rPr>
      <w: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r>
      <w:rPr>
        <w:rFonts w:hint="eastAsia"/>
        <w:lang w:eastAsia="zh-CN"/>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r>
      <w:rPr>
        <w:rFonts w:hint="eastAsia"/>
        <w:lang w:eastAsia="zh-CN"/>
      </w:rPr>
      <w:t>.</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r>
      <w:rPr>
        <w:rFonts w:hint="eastAsia"/>
        <w:lang w:eastAsia="zh-CN"/>
      </w:rPr>
      <w:t>.</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r>
      <w:rPr>
        <w:rFonts w:hint="eastAsia"/>
        <w:lang w:eastAsia="zh-CN"/>
      </w:rPr>
      <w:t>.</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r>
      <w:rPr>
        <w:rFonts w:hint="eastAsia"/>
        <w:lang w:eastAsia="zh-CN"/>
      </w:rPr>
      <w:t>.</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r>
      <w:rPr>
        <w:rFonts w:hint="eastAsia"/>
        <w:lang w:eastAsia="zh-CN"/>
      </w:rPr>
      <w:t>.</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r>
      <w:rPr>
        <w:rFonts w:hint="eastAsia"/>
        <w:lang w:eastAsia="zh-CN"/>
      </w:rPr>
      <w:t>.</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r>
      <w:rPr>
        <w:rFonts w:hint="eastAsia"/>
        <w:lang w:eastAsia="zh-CN"/>
      </w:rPr>
      <w:t>.</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r>
      <w:rPr>
        <w:rFonts w:hint="eastAsia"/>
        <w:lang w:eastAsia="zh-CN"/>
      </w:rPr>
      <w:t>.</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r>
      <w:rPr>
        <w:rFonts w:hint="eastAsia"/>
        <w:lang w:eastAsia="zh-CN"/>
      </w:rPr>
      <w:t>.</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r>
      <w:rPr>
        <w:rFonts w:hint="eastAsia"/>
        <w:lang w:eastAsia="zh-CN"/>
      </w:rPr>
      <w:t>.</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r>
      <w:rPr>
        <w:rFonts w:hint="eastAsia"/>
        <w:lang w:eastAsia="zh-CN"/>
      </w:rPr>
      <w:t>.</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r>
      <w:rPr>
        <w:rFonts w:hint="eastAsia"/>
        <w:lang w:eastAsia="zh-CN"/>
      </w:rPr>
      <w:t>.</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r>
      <w:rPr>
        <w:rFonts w:hint="eastAsia"/>
        <w:lang w:eastAsia="zh-CN"/>
      </w:rPr>
      <w:t>.</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r>
      <w:rPr>
        <w:rFonts w:hint="eastAsia"/>
        <w:lang w:eastAsia="zh-CN"/>
      </w:rPr>
      <w:t>.</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r>
      <w:rPr>
        <w:rFonts w:hint="eastAsia"/>
        <w:lang w:eastAsia="zh-CN"/>
      </w:rPr>
      <w:t>.</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r>
      <w:rPr>
        <w:rFonts w:hint="eastAsia"/>
        <w:lang w:eastAsia="zh-CN"/>
      </w:rPr>
      <w:t>.</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B8348378"/>
    <w:multiLevelType w:val="singleLevel"/>
    <w:tmpl w:val="B8348378"/>
    <w:lvl w:ilvl="0">
      <w:start w:val="2"/>
      <w:numFmt w:val="decimal"/>
      <w:suff w:val="space"/>
      <w:lvlText w:val="%1、"/>
      <w:lvlJc w:val="left"/>
    </w:lvl>
  </w:abstractNum>
  <w:abstractNum w:abstractNumId="1">
    <w:nsid w:val="0000000A"/>
    <w:multiLevelType w:val="multilevel"/>
    <w:tmpl w:val="0000000A"/>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
    <w:nsid w:val="58784FBD"/>
    <w:multiLevelType w:val="singleLevel"/>
    <w:tmpl w:val="58784FBD"/>
    <w:lvl w:ilvl="0">
      <w:start w:val="2"/>
      <w:numFmt w:val="chineseCounting"/>
      <w:suff w:val="nothing"/>
      <w:lvlText w:val="%1、"/>
      <w:lvlJc w:val="left"/>
      <w:rPr>
        <w:rFonts w:hint="eastAsia"/>
      </w:rPr>
    </w:lvl>
  </w:abstractNum>
  <w:num w:numId="1">
    <w:abstractNumId w:val="2"/>
  </w:num>
  <w:num w:numId="2">
    <w:abstractNumId w:val="0"/>
  </w:num>
  <w:num w:numId="3">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15:person w15:author="微软用户">
    <w15:presenceInfo w15:providerId="None" w15:userId="微软用户"/>
  </w15:person>
  <w15:person w15:author="think">
    <w15:presenceInfo w15:providerId="None" w15:userId="think"/>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805313"/>
    <w:rsid w:val="000E37D2"/>
    <w:rsid w:val="001C57FA"/>
    <w:rsid w:val="001F7868"/>
    <w:rsid w:val="003A0998"/>
    <w:rsid w:val="00562B22"/>
    <w:rsid w:val="00865759"/>
    <w:rsid w:val="00CE1BFA"/>
    <w:rsid w:val="02037627"/>
    <w:rsid w:val="055F3097"/>
    <w:rsid w:val="0B7225E7"/>
    <w:rsid w:val="0B8B600A"/>
    <w:rsid w:val="0C751F22"/>
    <w:rsid w:val="0E7A7663"/>
    <w:rsid w:val="0FA47A5E"/>
    <w:rsid w:val="10770036"/>
    <w:rsid w:val="10871DE8"/>
    <w:rsid w:val="12E3405A"/>
    <w:rsid w:val="13744947"/>
    <w:rsid w:val="144D6D52"/>
    <w:rsid w:val="148464A9"/>
    <w:rsid w:val="15412CCB"/>
    <w:rsid w:val="161060FB"/>
    <w:rsid w:val="17CF6DB6"/>
    <w:rsid w:val="19933FB6"/>
    <w:rsid w:val="1AEF32D3"/>
    <w:rsid w:val="1B805313"/>
    <w:rsid w:val="1BB2685E"/>
    <w:rsid w:val="1BDD1695"/>
    <w:rsid w:val="1C577492"/>
    <w:rsid w:val="1C6F045F"/>
    <w:rsid w:val="1CE50928"/>
    <w:rsid w:val="1E1C6E85"/>
    <w:rsid w:val="2075301B"/>
    <w:rsid w:val="210F17A3"/>
    <w:rsid w:val="25661D1F"/>
    <w:rsid w:val="286E5AEE"/>
    <w:rsid w:val="2C975641"/>
    <w:rsid w:val="2FF50EA2"/>
    <w:rsid w:val="30F00806"/>
    <w:rsid w:val="311D6609"/>
    <w:rsid w:val="31D64EDF"/>
    <w:rsid w:val="32406498"/>
    <w:rsid w:val="32C218FB"/>
    <w:rsid w:val="337F72A4"/>
    <w:rsid w:val="34325D2D"/>
    <w:rsid w:val="352F07C3"/>
    <w:rsid w:val="37D3581A"/>
    <w:rsid w:val="37E84ADE"/>
    <w:rsid w:val="383B0FA6"/>
    <w:rsid w:val="3B0A61D5"/>
    <w:rsid w:val="3ED100FB"/>
    <w:rsid w:val="3F001633"/>
    <w:rsid w:val="40086E21"/>
    <w:rsid w:val="40975E3D"/>
    <w:rsid w:val="416A0CC1"/>
    <w:rsid w:val="419E7476"/>
    <w:rsid w:val="41D84061"/>
    <w:rsid w:val="420F2AA8"/>
    <w:rsid w:val="42AB6572"/>
    <w:rsid w:val="42EA17B3"/>
    <w:rsid w:val="45CE3FC7"/>
    <w:rsid w:val="4C135BD6"/>
    <w:rsid w:val="4D7B29C6"/>
    <w:rsid w:val="4DDB3D80"/>
    <w:rsid w:val="4EED7944"/>
    <w:rsid w:val="5062517D"/>
    <w:rsid w:val="508C35BF"/>
    <w:rsid w:val="52186A47"/>
    <w:rsid w:val="52845714"/>
    <w:rsid w:val="570A4ADF"/>
    <w:rsid w:val="576331F9"/>
    <w:rsid w:val="582927AB"/>
    <w:rsid w:val="5BCC6526"/>
    <w:rsid w:val="5CCB5009"/>
    <w:rsid w:val="5E1F5972"/>
    <w:rsid w:val="5F2153CB"/>
    <w:rsid w:val="605B10E9"/>
    <w:rsid w:val="608F2DF9"/>
    <w:rsid w:val="61097719"/>
    <w:rsid w:val="61F406F0"/>
    <w:rsid w:val="6210420F"/>
    <w:rsid w:val="62C501BE"/>
    <w:rsid w:val="62DB5527"/>
    <w:rsid w:val="638E0FA7"/>
    <w:rsid w:val="64127190"/>
    <w:rsid w:val="64826C26"/>
    <w:rsid w:val="653120BA"/>
    <w:rsid w:val="66190A04"/>
    <w:rsid w:val="66552D24"/>
    <w:rsid w:val="66CA1AFC"/>
    <w:rsid w:val="67031BA7"/>
    <w:rsid w:val="6BD80EE9"/>
    <w:rsid w:val="6D7E4274"/>
    <w:rsid w:val="6EFB12BC"/>
    <w:rsid w:val="73202D58"/>
    <w:rsid w:val="74F11DAB"/>
    <w:rsid w:val="77DB26CE"/>
    <w:rsid w:val="79BF6C28"/>
    <w:rsid w:val="7B0B0EB8"/>
    <w:rsid w:val="7D933910"/>
    <w:rsid w:val="7E6E3335"/>
    <w:rsid w:val="7ED017FB"/>
    <w:rsid w:val="7F4000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semiHidden="0" w:uiPriority="0" w:qFormat="1"/>
    <w:lsdException w:name="heading 4" w:semiHidden="0"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39" w:qFormat="1"/>
    <w:lsdException w:name="toc 2" w:semiHidden="0" w:uiPriority="39" w:qFormat="1"/>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qFormat="1"/>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qFormat="1"/>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iPriority="0"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qFormat="1"/>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Calibri" w:eastAsia="宋体" w:hAnsi="Calibri" w:cs="Times New Roman"/>
      <w:kern w:val="2"/>
      <w:sz w:val="21"/>
      <w:lang w:val="en-US" w:eastAsia="zh-CN" w:bidi="ar-SA"/>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paragraph" w:styleId="Heading3">
    <w:name w:val="heading 3"/>
    <w:basedOn w:val="Normal"/>
    <w:next w:val="Normal"/>
    <w:autoRedefine/>
    <w:unhideWhenUsed/>
    <w:qFormat/>
    <w:pPr>
      <w:keepNext/>
      <w:keepLines/>
      <w:spacing w:before="260" w:after="260" w:line="413" w:lineRule="auto"/>
      <w:outlineLvl w:val="2"/>
    </w:pPr>
    <w:rPr>
      <w:b/>
      <w:sz w:val="32"/>
    </w:rPr>
  </w:style>
  <w:style w:type="paragraph" w:styleId="Heading4">
    <w:name w:val="heading 4"/>
    <w:basedOn w:val="Normal"/>
    <w:next w:val="Normal"/>
    <w:autoRedefine/>
    <w:unhideWhenUsed/>
    <w:qFormat/>
    <w:pPr>
      <w:keepNext/>
      <w:keepLines/>
      <w:spacing w:before="280" w:after="290" w:line="372" w:lineRule="auto"/>
      <w:outlineLvl w:val="3"/>
    </w:pPr>
    <w:rPr>
      <w:rFonts w:ascii="Arial" w:eastAsia="黑体" w:hAnsi="Arial"/>
      <w:b/>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CommentText">
    <w:name w:val="annotation text"/>
    <w:basedOn w:val="Normal"/>
    <w:qFormat/>
    <w:pPr>
      <w:jc w:val="left"/>
    </w:pPr>
  </w:style>
  <w:style w:type="paragraph" w:styleId="BodyText">
    <w:name w:val="Body Text"/>
    <w:basedOn w:val="Normal"/>
    <w:qFormat/>
    <w:rPr>
      <w:sz w:val="28"/>
    </w:rPr>
  </w:style>
  <w:style w:type="paragraph" w:styleId="BodyTextIndent2">
    <w:name w:val="Body Text Indent 2"/>
    <w:basedOn w:val="Normal"/>
    <w:autoRedefine/>
    <w:qFormat/>
    <w:pPr>
      <w:ind w:firstLine="720" w:firstLineChars="300"/>
    </w:pPr>
    <w:rPr>
      <w:sz w:val="24"/>
    </w:rPr>
  </w:style>
  <w:style w:type="paragraph" w:styleId="Footer">
    <w:name w:val="footer"/>
    <w:basedOn w:val="Normal"/>
    <w:autoRedefine/>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uiPriority w:val="39"/>
    <w:unhideWhenUsed/>
    <w:qFormat/>
  </w:style>
  <w:style w:type="paragraph" w:styleId="TOC2">
    <w:name w:val="toc 2"/>
    <w:basedOn w:val="Normal"/>
    <w:next w:val="Normal"/>
    <w:uiPriority w:val="39"/>
    <w:unhideWhenUsed/>
    <w:qFormat/>
    <w:pPr>
      <w:ind w:left="420" w:leftChars="200"/>
    </w:pPr>
  </w:style>
  <w:style w:type="paragraph" w:styleId="NormalWeb">
    <w:name w:val="Normal (Web)"/>
    <w:basedOn w:val="Normal"/>
    <w:autoRedefine/>
    <w:qFormat/>
    <w:pPr>
      <w:widowControl/>
      <w:spacing w:before="100" w:beforeAutospacing="1" w:after="100" w:afterAutospacing="1"/>
      <w:jc w:val="left"/>
    </w:pPr>
    <w:rPr>
      <w:rFonts w:ascii="宋体" w:hAnsi="宋体"/>
      <w:kern w:val="0"/>
      <w:szCs w:val="24"/>
    </w:rPr>
  </w:style>
  <w:style w:type="character" w:styleId="Hyperlink">
    <w:name w:val="Hyperlink"/>
    <w:basedOn w:val="DefaultParagraphFont"/>
    <w:autoRedefine/>
    <w:qFormat/>
    <w:rPr>
      <w:color w:val="0000FF"/>
      <w:u w:val="single"/>
    </w:rPr>
  </w:style>
  <w:style w:type="character" w:styleId="CommentReference">
    <w:name w:val="annotation reference"/>
    <w:basedOn w:val="DefaultParagraphFont"/>
    <w:autoRedefine/>
    <w:qFormat/>
    <w:rPr>
      <w:sz w:val="21"/>
      <w:szCs w:val="21"/>
    </w:rPr>
  </w:style>
  <w:style w:type="paragraph" w:customStyle="1" w:styleId="WPSOffice1">
    <w:name w:val="WPSOffice手动目录 1"/>
    <w:qFormat/>
    <w:rPr>
      <w:rFonts w:asciiTheme="minorHAnsi" w:eastAsiaTheme="minorEastAsia" w:hAnsiTheme="minorHAnsi" w:cstheme="minorBidi"/>
      <w:lang w:val="en-US" w:eastAsia="zh-CN" w:bidi="ar-SA"/>
    </w:rPr>
  </w:style>
  <w:style w:type="paragraph" w:customStyle="1" w:styleId="WPSOffice2">
    <w:name w:val="WPSOffice手动目录 2"/>
    <w:qFormat/>
    <w:pPr>
      <w:ind w:left="200" w:leftChars="200"/>
    </w:pPr>
    <w:rPr>
      <w:rFonts w:asciiTheme="minorHAnsi" w:eastAsiaTheme="minorEastAsia" w:hAnsiTheme="minorHAnsi" w:cstheme="minorBidi"/>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footer" Target="footer10.xml" /><Relationship Id="rId25" Type="http://schemas.openxmlformats.org/officeDocument/2006/relationships/header" Target="header11.xml" /><Relationship Id="rId26" Type="http://schemas.openxmlformats.org/officeDocument/2006/relationships/footer" Target="footer11.xm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header" Target="header14.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header" Target="header16.xml" /><Relationship Id="rId36" Type="http://schemas.openxmlformats.org/officeDocument/2006/relationships/footer" Target="footer16.xm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hyperlink" Target="https://d.book118.com/205324131340011101" TargetMode="External" /><Relationship Id="rId4" Type="http://schemas.openxmlformats.org/officeDocument/2006/relationships/customXml" Target="../customXml/item1.xml" /><Relationship Id="rId40" Type="http://schemas.openxmlformats.org/officeDocument/2006/relationships/header" Target="header18.xml" /><Relationship Id="rId41" Type="http://schemas.openxmlformats.org/officeDocument/2006/relationships/footer" Target="footer18.xml" /><Relationship Id="rId42" Type="http://schemas.openxmlformats.org/officeDocument/2006/relationships/theme" Target="theme/theme1.xml" /><Relationship Id="rId43" Type="http://schemas.openxmlformats.org/officeDocument/2006/relationships/numbering" Target="numbering.xml" /><Relationship Id="rId44" Type="http://schemas.openxmlformats.org/officeDocument/2006/relationships/styles" Target="styles.xml" /><Relationship Id="rId45" Type="http://schemas.microsoft.com/office/2011/relationships/people" Target="people.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20</Pages>
  <Words>4504</Words>
  <Characters>25674</Characters>
  <Application>Microsoft Office Word</Application>
  <DocSecurity>0</DocSecurity>
  <Lines>213</Lines>
  <Paragraphs>60</Paragraphs>
  <ScaleCrop>false</ScaleCrop>
  <Company/>
  <LinksUpToDate>false</LinksUpToDate>
  <CharactersWithSpaces>30118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蒙山草寇</dc:creator>
  <cp:lastModifiedBy>WPS_1665839600</cp:lastModifiedBy>
  <cp:revision>2</cp:revision>
  <dcterms:created xsi:type="dcterms:W3CDTF">2020-02-14T02:06:00Z</dcterms:created>
  <dcterms:modified xsi:type="dcterms:W3CDTF">2024-01-31T17:48:35Z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4AC9872B3C594B6A982EA05A6F1BEDE8_12</vt:lpwstr>
  </property>
  <property fmtid="{D5CDD505-2E9C-101B-9397-08002B2CF9AE}" pid="3" name="KSOProductBuildVer">
    <vt:lpwstr>2052-12.1.0.16120</vt:lpwstr>
  </property>
</Properties>
</file>