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食盐项目可行性分析报告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957190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一)、食盐项目建设期原辅材料供应情况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)、食盐项目运营期原辅材料供应及质量管理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食盐项目建设背景及必要性分析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、食盐项目概论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)、食盐项目承办单位基本情况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(二)、食盐项目概况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三)、食盐项目评价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一)、食盐项目风险分析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二)、食盐项目风险对策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五)、食盐项目实施保障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二)、社会责任食盐项目与计划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8953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149317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项目商业计划书是为了规范食盐项目的实施步骤和计划而编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的。通过详细描述食盐项目的背景和目标，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食盐项目建设期原辅材料供应情况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稳定的重要环节。本章将详细探讨食盐项目建设期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食盐项目建设期原辅材料供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接的影响。下面是食盐项目建设期原辅材料供应情况的主要内容：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(二)、食盐项目运营期原辅材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食盐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。下面是食盐项目运营期原辅材料供应及质量管理的关键方面：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698" w:bottom="0" w:left="1785" w:header="0" w:footer="0" w:gutter="0"/>
          <w:pgNumType w:start="6"/>
          <w:cols w:space="708"/>
        </w:sectPr>
      </w:pPr>
    </w:p>
    <w:p>
      <w:pPr>
        <w:spacing w:before="245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二、食盐项目建设背景及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414" w:lineRule="auto"/>
        <w:ind w:left="34" w:right="3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食盐行业作为一个充满</w:t>
      </w:r>
      <w:r>
        <w:rPr>
          <w:rFonts w:ascii="FangSong" w:eastAsia="FangSong" w:hAnsi="FangSong" w:cs="FangSong"/>
          <w:spacing w:val="-3"/>
          <w:sz w:val="28"/>
          <w:szCs w:val="28"/>
        </w:rPr>
        <w:t>活</w:t>
      </w:r>
      <w:r>
        <w:rPr>
          <w:rFonts w:ascii="FangSong" w:eastAsia="FangSong" w:hAnsi="FangSong" w:cs="FangSong"/>
          <w:spacing w:val="-2"/>
          <w:sz w:val="28"/>
          <w:szCs w:val="28"/>
        </w:rPr>
        <w:t>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食盐行业在技术上取得了显著的突破。高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*食盐行业**是一片充满活力的领域，囊括了广泛的产品和服务。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1" w:right="16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食盐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638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right="5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食盐行业在技术上取得了显著的突破。高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6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五、食盐项目概论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一)、食盐项目承办单位基本情况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(二)、食盐项目概况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  <w:sectPr>
          <w:footerReference w:type="default" r:id="rId6"/>
          <w:pgSz w:w="11906" w:h="16839"/>
          <w:pgMar w:top="1431" w:right="1697" w:bottom="400" w:left="1785" w:header="0" w:footer="0" w:gutter="0"/>
          <w:pgNumType w:start="18"/>
          <w:cols w:space="708"/>
        </w:sectPr>
      </w:pPr>
      <w:r>
        <w:rPr>
          <w:rFonts w:ascii="FangSong" w:eastAsia="FangSong" w:hAnsi="FangSong" w:cs="FangSong"/>
          <w:spacing w:val="-12"/>
          <w:sz w:val="28"/>
          <w:szCs w:val="28"/>
        </w:rPr>
        <w:t>食盐项目名称：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食盐项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食</w:t>
      </w:r>
      <w:r>
        <w:rPr>
          <w:rFonts w:ascii="FangSong" w:eastAsia="FangSong" w:hAnsi="FangSong" w:cs="FangSong"/>
          <w:spacing w:val="-12"/>
          <w:sz w:val="28"/>
          <w:szCs w:val="28"/>
        </w:rPr>
        <w:t>盐项目类型：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ectPr>
          <w:footerReference w:type="default" r:id="rId7"/>
          <w:type w:val="nextPage"/>
          <w:pgSz w:w="11906" w:h="16839"/>
          <w:pgMar w:top="1431" w:right="1697" w:bottom="400" w:left="1785" w:header="0" w:footer="0" w:gutter="0"/>
          <w:pgNumType w:start="19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0"/>
          <w:sz w:val="28"/>
          <w:szCs w:val="28"/>
        </w:rPr>
        <w:t>食</w:t>
      </w:r>
      <w:r>
        <w:rPr>
          <w:rFonts w:ascii="FangSong" w:eastAsia="FangSong" w:hAnsi="FangSong" w:cs="FangSong"/>
          <w:spacing w:val="-18"/>
          <w:sz w:val="28"/>
          <w:szCs w:val="28"/>
        </w:rPr>
        <w:t>盐项目地点：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食</w:t>
      </w:r>
      <w:r>
        <w:rPr>
          <w:rFonts w:ascii="FangSong" w:eastAsia="FangSong" w:hAnsi="FangSong" w:cs="FangSong"/>
          <w:spacing w:val="-18"/>
          <w:sz w:val="28"/>
          <w:szCs w:val="28"/>
        </w:rPr>
        <w:t>盐项目规模：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食</w:t>
      </w:r>
      <w:r>
        <w:rPr>
          <w:rFonts w:ascii="FangSong" w:eastAsia="FangSong" w:hAnsi="FangSong" w:cs="FangSong"/>
          <w:spacing w:val="-15"/>
          <w:sz w:val="28"/>
          <w:szCs w:val="28"/>
        </w:rPr>
        <w:t>盐项目周期：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6" w:line="417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食盐项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食盐项目的建设旨在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(三)、食盐项目评价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该食盐项目处于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盐项目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资源配置是确保食盐项目成功实施的核心要素之一。在岗位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我们根据食盐项目规模和复杂性制定了合理的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备所需的经验和技</w:t>
      </w:r>
      <w:r>
        <w:rPr>
          <w:rFonts w:ascii="FangSong" w:eastAsia="FangSong" w:hAnsi="FangSong" w:cs="FangSong"/>
          <w:spacing w:val="-2"/>
          <w:sz w:val="28"/>
          <w:szCs w:val="28"/>
        </w:rPr>
        <w:t>能，以提高工作效率和质量。强调团队协作机制，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通过培训和团队建设活动促进沟通，确保团队内部的信息流通</w:t>
      </w:r>
      <w:r>
        <w:rPr>
          <w:rFonts w:ascii="FangSong" w:eastAsia="FangSong" w:hAnsi="FangSong" w:cs="FangSong"/>
          <w:spacing w:val="-1"/>
          <w:sz w:val="28"/>
          <w:szCs w:val="28"/>
        </w:rPr>
        <w:t>畅</w:t>
      </w:r>
      <w:r>
        <w:rPr>
          <w:rFonts w:ascii="FangSong" w:eastAsia="FangSong" w:hAnsi="FangSong" w:cs="FangSong"/>
          <w:sz w:val="28"/>
          <w:szCs w:val="28"/>
        </w:rPr>
        <w:t>顺。</w:t>
      </w:r>
    </w:p>
    <w:p>
      <w:pPr>
        <w:spacing w:before="10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具备应对食盐项目挑战的能力。通过这些人力资源配置策略，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为食盐项目的顺利实施提供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坚实的支持。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9"/>
          <w:pgSz w:w="11906" w:h="16839"/>
          <w:pgMar w:top="1431" w:right="1743" w:bottom="400" w:left="1785" w:header="0" w:footer="0" w:gutter="0"/>
          <w:pgNumType w:start="21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为确保食盐项目团队的协调运作和高效执行，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pacing w:val="-8"/>
          <w:sz w:val="28"/>
          <w:szCs w:val="28"/>
        </w:rPr>
        <w:t>配</w:t>
      </w:r>
    </w:p>
    <w:p>
      <w:pPr>
        <w:sectPr>
          <w:footerReference w:type="default" r:id="rId10"/>
          <w:type w:val="nextPage"/>
          <w:pgSz w:w="11906" w:h="16839"/>
          <w:pgMar w:top="1431" w:right="1743" w:bottom="400" w:left="1785" w:header="0" w:footer="0" w:gutter="0"/>
          <w:pgNumType w:start="22"/>
          <w:cols w:space="708"/>
          <w:titlePg w:val="0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为不同层面，并采用灵活的策略来满足食盐项目需求。</w:t>
      </w:r>
    </w:p>
    <w:p>
      <w:pPr>
        <w:spacing w:before="29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招</w:t>
      </w:r>
      <w:r>
        <w:rPr>
          <w:rFonts w:ascii="FangSong" w:eastAsia="FangSong" w:hAnsi="FangSong" w:cs="FangSong"/>
          <w:spacing w:val="-2"/>
          <w:sz w:val="28"/>
          <w:szCs w:val="28"/>
        </w:rPr>
        <w:t>募到最适合食盐项目的人才。</w:t>
      </w:r>
    </w:p>
    <w:p>
      <w:pPr>
        <w:spacing w:before="1" w:line="411" w:lineRule="auto"/>
        <w:ind w:left="37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岗位分工：明确食盐项目各个岗位的职责和任务，根据团队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成员的专业特长和兴趣分配适当的工作职责。充分发挥每位团队成</w:t>
      </w:r>
      <w:r>
        <w:rPr>
          <w:rFonts w:ascii="FangSong" w:eastAsia="FangSong" w:hAnsi="FangSong" w:cs="FangSong"/>
          <w:spacing w:val="-2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的专</w:t>
      </w:r>
      <w:r>
        <w:rPr>
          <w:rFonts w:ascii="FangSong" w:eastAsia="FangSong" w:hAnsi="FangSong" w:cs="FangSong"/>
          <w:spacing w:val="-3"/>
          <w:sz w:val="28"/>
          <w:szCs w:val="28"/>
        </w:rPr>
        <w:t>业优势，提高工作效率和执行力。</w:t>
      </w:r>
    </w:p>
    <w:p>
      <w:pPr>
        <w:spacing w:before="1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展目标，并提供培训和资源支持，助力其在食盐项目中不断成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</w:p>
    <w:p>
      <w:pPr>
        <w:sectPr>
          <w:footerReference w:type="default" r:id="rId11"/>
          <w:pgSz w:w="11906" w:h="16839"/>
          <w:pgMar w:top="1431" w:right="1763" w:bottom="40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8" w:firstLine="1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</w:rPr>
        <w:t>员工熟悉实际工作流程，提高实际操作技能。这可以通过虚拟仿</w:t>
      </w:r>
      <w:r>
        <w:rPr>
          <w:rFonts w:ascii="FangSong" w:eastAsia="FangSong" w:hAnsi="FangSong" w:cs="FangSong"/>
          <w:spacing w:val="-2"/>
          <w:sz w:val="28"/>
          <w:szCs w:val="28"/>
        </w:rPr>
        <w:t>真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盐</w:t>
      </w:r>
      <w:r>
        <w:rPr>
          <w:rFonts w:ascii="FangSong" w:eastAsia="FangSong" w:hAnsi="FangSong" w:cs="FangSong"/>
          <w:spacing w:val="-2"/>
          <w:sz w:val="28"/>
          <w:szCs w:val="28"/>
        </w:rPr>
        <w:t>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)、食盐项目风险分析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3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受市场变化和竞争压力的影响，食盐项目面临市场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需求</w:t>
      </w:r>
      <w:r>
        <w:rPr>
          <w:rFonts w:ascii="FangSong" w:eastAsia="FangSong" w:hAnsi="FangSong" w:cs="FangSong"/>
          <w:spacing w:val="-8"/>
          <w:sz w:val="28"/>
          <w:szCs w:val="28"/>
        </w:rPr>
        <w:t>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影响食盐项目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盈利能力。</w:t>
      </w:r>
    </w:p>
    <w:p>
      <w:pPr>
        <w:spacing w:before="2" w:line="411" w:lineRule="auto"/>
        <w:ind w:left="34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技术方面的不确定性可能导致食盐项目进度延误</w:t>
      </w:r>
      <w:r>
        <w:rPr>
          <w:rFonts w:ascii="FangSong" w:eastAsia="FangSong" w:hAnsi="FangSong" w:cs="FangSong"/>
          <w:spacing w:val="-2"/>
          <w:sz w:val="28"/>
          <w:szCs w:val="28"/>
        </w:rPr>
        <w:t>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成本增加。新技术的引入或技术问题的发生可能对食盐项目的顺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产生负面影响。</w:t>
      </w:r>
    </w:p>
    <w:p>
      <w:pPr>
        <w:spacing w:before="3" w:line="414" w:lineRule="auto"/>
        <w:ind w:left="31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政府政策和法规的变化可能对食盐项目产生</w:t>
      </w:r>
      <w:r>
        <w:rPr>
          <w:rFonts w:ascii="FangSong" w:eastAsia="FangSong" w:hAnsi="FangSong" w:cs="FangSong"/>
          <w:spacing w:val="-2"/>
          <w:sz w:val="28"/>
          <w:szCs w:val="28"/>
        </w:rPr>
        <w:t>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大影响。不符合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保、安全等法规要求可能导致食盐项目的停工或罚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款</w:t>
      </w:r>
      <w:r>
        <w:rPr>
          <w:rFonts w:ascii="FangSong" w:eastAsia="FangSong" w:hAnsi="FangSong" w:cs="FangSong"/>
          <w:spacing w:val="-5"/>
          <w:sz w:val="28"/>
          <w:szCs w:val="28"/>
        </w:rPr>
        <w:t>，增加经济成本。</w:t>
      </w:r>
    </w:p>
    <w:p>
      <w:pPr>
        <w:sectPr>
          <w:footerReference w:type="default" r:id="rId12"/>
          <w:pgSz w:w="11906" w:h="16839"/>
          <w:pgMar w:top="1431" w:right="1750" w:bottom="40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82" w:firstLine="57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资金紧张或融资渠道受限可能导致食盐项目无法按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计划进行。汇率</w:t>
      </w:r>
      <w:r>
        <w:rPr>
          <w:rFonts w:ascii="FangSong" w:eastAsia="FangSong" w:hAnsi="FangSong" w:cs="FangSong"/>
          <w:spacing w:val="-4"/>
          <w:sz w:val="28"/>
          <w:szCs w:val="28"/>
        </w:rPr>
        <w:t>波</w:t>
      </w:r>
      <w:r>
        <w:rPr>
          <w:rFonts w:ascii="FangSong" w:eastAsia="FangSong" w:hAnsi="FangSong" w:cs="FangSong"/>
          <w:spacing w:val="-3"/>
          <w:sz w:val="28"/>
          <w:szCs w:val="28"/>
        </w:rPr>
        <w:t>动和利率上升也可能对食盐项目的资金需求和成本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成不利影响。</w:t>
      </w:r>
    </w:p>
    <w:p>
      <w:pPr>
        <w:spacing w:before="2" w:line="415" w:lineRule="auto"/>
        <w:ind w:left="49" w:right="8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地震、洪水等自然灾害可能对食盐项目区域产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生负面影响，损坏</w:t>
      </w:r>
      <w:r>
        <w:rPr>
          <w:rFonts w:ascii="FangSong" w:eastAsia="FangSong" w:hAnsi="FangSong" w:cs="FangSong"/>
          <w:spacing w:val="-2"/>
          <w:sz w:val="28"/>
          <w:szCs w:val="28"/>
        </w:rPr>
        <w:t>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(二)、食盐项目风险对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我们旨在最大程度地降低食盐项目面临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各</w:t>
      </w:r>
      <w:r>
        <w:rPr>
          <w:rFonts w:ascii="FangSong" w:eastAsia="FangSong" w:hAnsi="FangSong" w:cs="FangSong"/>
          <w:spacing w:val="-2"/>
          <w:sz w:val="28"/>
          <w:szCs w:val="28"/>
        </w:rPr>
        <w:t>种风险，确保食盐项目能够在复杂多变的环境中稳健前行。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在食盐项目开始前进行充分的技术可行性研究，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引</w:t>
      </w:r>
      <w:r>
        <w:rPr>
          <w:rFonts w:ascii="FangSong" w:eastAsia="FangSong" w:hAnsi="FangSong" w:cs="FangSong"/>
          <w:spacing w:val="-12"/>
          <w:sz w:val="28"/>
          <w:szCs w:val="28"/>
        </w:rPr>
        <w:t>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确保食盐项目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按</w:t>
      </w:r>
      <w:r>
        <w:rPr>
          <w:rFonts w:ascii="FangSong" w:eastAsia="FangSong" w:hAnsi="FangSong" w:cs="FangSong"/>
          <w:spacing w:val="-7"/>
          <w:sz w:val="28"/>
          <w:szCs w:val="28"/>
        </w:rPr>
        <w:t>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降低法规变更对食盐项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6" w:lineRule="auto"/>
        <w:ind w:left="31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轻食盐项目因不可抗力而受到的损失，确保食盐项目的可持续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ectPr>
          <w:footerReference w:type="default" r:id="rId13"/>
          <w:pgSz w:w="11906" w:h="16839"/>
          <w:pgMar w:top="1431" w:right="1718" w:bottom="40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食盐项目的建设</w:t>
      </w:r>
      <w:r>
        <w:rPr>
          <w:rFonts w:ascii="FangSong" w:eastAsia="FangSong" w:hAnsi="FangSong" w:cs="FangSong"/>
          <w:spacing w:val="-5"/>
          <w:sz w:val="28"/>
          <w:szCs w:val="28"/>
        </w:rPr>
        <w:t>周</w:t>
      </w:r>
      <w:r>
        <w:rPr>
          <w:rFonts w:ascii="FangSong" w:eastAsia="FangSong" w:hAnsi="FangSong" w:cs="FangSong"/>
          <w:spacing w:val="-3"/>
          <w:sz w:val="28"/>
          <w:szCs w:val="28"/>
        </w:rPr>
        <w:t>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个月，其中包括食盐项目前期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准备、工程勘察与设计、土建工程施工、设备采购、设备安装调试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关键阶段。这个时间框架将充分考虑到各个阶段的工作内容和交叉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响，以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保食盐项目的高效推进。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具体的建设进度将在食盐项目启动时明确制定，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并按照里程碑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划进行监测和调整</w:t>
      </w:r>
      <w:r>
        <w:rPr>
          <w:rFonts w:ascii="FangSong" w:eastAsia="FangSong" w:hAnsi="FangSong" w:cs="FangSong"/>
          <w:spacing w:val="-3"/>
          <w:sz w:val="28"/>
          <w:szCs w:val="28"/>
        </w:rPr>
        <w:t>。各个阶段的完成情况将通过定期的进度报告进行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食盐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以保障食盐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89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员工培训将是食盐项目实施的一个重要环节。我们将提供全面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包括但不限于食盐项目背景、工作流程、安全操作规程等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地完</w:t>
      </w:r>
      <w:r>
        <w:rPr>
          <w:rFonts w:ascii="FangSong" w:eastAsia="FangSong" w:hAnsi="FangSong" w:cs="FangSong"/>
          <w:spacing w:val="-4"/>
          <w:sz w:val="28"/>
          <w:szCs w:val="28"/>
        </w:rPr>
        <w:t>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(五)、食盐项目实施保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食盐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我们将采取以下措施保障食盐项目的顺利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8"/>
          <w:sz w:val="28"/>
          <w:szCs w:val="28"/>
        </w:rPr>
        <w:t>行：</w:t>
      </w:r>
    </w:p>
    <w:p>
      <w:pPr>
        <w:spacing w:before="2" w:line="411" w:lineRule="auto"/>
        <w:ind w:left="35" w:right="10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定</w:t>
      </w:r>
      <w:r>
        <w:rPr>
          <w:rFonts w:ascii="FangSong" w:eastAsia="FangSong" w:hAnsi="FangSong" w:cs="FangSong"/>
          <w:spacing w:val="-17"/>
          <w:sz w:val="28"/>
          <w:szCs w:val="28"/>
        </w:rPr>
        <w:t>期</w:t>
      </w:r>
      <w:r>
        <w:rPr>
          <w:rFonts w:ascii="FangSong" w:eastAsia="FangSong" w:hAnsi="FangSong" w:cs="FangSong"/>
          <w:spacing w:val="-10"/>
          <w:sz w:val="28"/>
          <w:szCs w:val="28"/>
        </w:rPr>
        <w:t>评估和调整：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对食盐项目进度、成本和质量进行定期评估，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时</w:t>
      </w:r>
      <w:r>
        <w:rPr>
          <w:rFonts w:ascii="FangSong" w:eastAsia="FangSong" w:hAnsi="FangSong" w:cs="FangSong"/>
          <w:spacing w:val="-4"/>
          <w:sz w:val="28"/>
          <w:szCs w:val="28"/>
        </w:rPr>
        <w:t>调整计划以适应变化。</w:t>
      </w:r>
    </w:p>
    <w:p>
      <w:pPr>
        <w:spacing w:before="1" w:line="411" w:lineRule="auto"/>
        <w:ind w:left="37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建立高效的沟通渠道，促进食盐项目团队之间的</w:t>
      </w:r>
      <w:r>
        <w:rPr>
          <w:rFonts w:ascii="FangSong" w:eastAsia="FangSong" w:hAnsi="FangSong" w:cs="FangSong"/>
          <w:spacing w:val="-3"/>
          <w:sz w:val="28"/>
          <w:szCs w:val="28"/>
        </w:rPr>
        <w:t>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作，减少信息滞后。</w:t>
      </w:r>
    </w:p>
    <w:p>
      <w:pPr>
        <w:spacing w:before="1" w:line="411" w:lineRule="auto"/>
        <w:ind w:left="63" w:right="189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实施全面的质量管理体系，确保食盐项目交付的产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服务符合高标准。</w:t>
      </w:r>
    </w:p>
    <w:p>
      <w:pPr>
        <w:spacing w:before="2" w:line="415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过以上一系列的管理和保障措施，我们确信食盐项目将在高效、</w:t>
      </w:r>
    </w:p>
    <w:p>
      <w:pPr>
        <w:sectPr>
          <w:footerReference w:type="default" r:id="rId15"/>
          <w:pgSz w:w="11906" w:h="16839"/>
          <w:pgMar w:top="1431" w:right="1610" w:bottom="40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社会责任食盐</w:t>
      </w:r>
      <w:r>
        <w:rPr>
          <w:rFonts w:ascii="FangSong" w:eastAsia="FangSong" w:hAnsi="FangSong" w:cs="FangSong"/>
          <w:spacing w:val="-1"/>
          <w:sz w:val="28"/>
          <w:szCs w:val="28"/>
        </w:rPr>
        <w:t>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(二)、社会责任食盐项目与计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扶</w:t>
      </w:r>
      <w:r>
        <w:rPr>
          <w:rFonts w:ascii="FangSong" w:eastAsia="FangSong" w:hAnsi="FangSong" w:cs="FangSong"/>
          <w:spacing w:val="-3"/>
          <w:sz w:val="28"/>
          <w:szCs w:val="28"/>
        </w:rPr>
        <w:t>贫</w:t>
      </w:r>
      <w:r>
        <w:rPr>
          <w:rFonts w:ascii="FangSong" w:eastAsia="FangSong" w:hAnsi="FangSong" w:cs="FangSong"/>
          <w:spacing w:val="-2"/>
          <w:sz w:val="28"/>
          <w:szCs w:val="28"/>
        </w:rPr>
        <w:t>帮困食盐项目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https://d.book118.com/206002225225010102</w:t>
        </w:r>
      </w:hyperlink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17"/>
      <w:pgSz w:w="11906" w:h="16839"/>
      <w:pgMar w:top="1431" w:right="1743" w:bottom="40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206002225225010102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2024-03-13T13:06:12Z</vt:filetime>
  </property>
  <property fmtid="{D5CDD505-2E9C-101B-9397-08002B2CF9AE}" pid="3" name="CRO">
    <vt:lpwstr>wqlLaW5nc29mdCBQREYgdG8gV1BTIDgw</vt:lpwstr>
  </property>
</Properties>
</file>