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窗帘门帘行业相关公司设立可行性研究报告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一、窗帘门帘筹建公司基本信息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_Toc8177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(七)、窗帘门帘项目建设必要性分析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8" w:history="1">
        <w:r>
          <w:rPr>
            <w:rFonts w:ascii="仿宋" w:eastAsia="仿宋" w:hAnsi="仿宋" w:cs="仿宋" w:hint="eastAsia"/>
            <w:lang w:eastAsia="zh-CN"/>
          </w:rPr>
          <w:t>(一)、窗帘门帘项目选址原则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_Toc11362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(五)、窗帘门帘项目选址综合评价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六、窗帘门帘项目经济效益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(三)、窗帘门帘项目盈利能力分析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_Toc7141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(一)、窗帘门帘项目进度安排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5" w:history="1">
        <w:r>
          <w:rPr>
            <w:rFonts w:ascii="仿宋" w:eastAsia="仿宋" w:hAnsi="仿宋" w:cs="仿宋" w:hint="eastAsia"/>
            <w:lang w:eastAsia="zh-CN"/>
          </w:rPr>
          <w:t>(二)、窗帘门帘项目实施保障措施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_Toc27145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_Toc6610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_Toc30025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(一)、窗帘门帘项目背景分析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(二)、窗帘门帘项目建设必要性分析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_Toc27129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_Toc27183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(二)、合作窗帘门帘项目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_Toc23333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_Toc16172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996"/>
      <w:r>
        <w:rPr>
          <w:rFonts w:ascii="仿宋" w:eastAsia="仿宋" w:hAnsi="仿宋" w:cs="仿宋" w:hint="eastAsia"/>
          <w:sz w:val="28"/>
          <w:lang w:eastAsia="zh-CN"/>
        </w:rPr>
        <w:t>一、窗帘门帘筹建公司基本信息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0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00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87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31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0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经营范围：从事XXX相关业务(企业依法自主选择经营窗帘门帘项目，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开展经营活动；依法须经批准的窗帘门帘项目，经相关部门批准后依批准的内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容开展经营活动；不得从事本市产业政策禁止和限制类窗帘门帘项目的经营活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00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https://d.book118.com/206054221225010050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窗帘门帘行业相关公司设立可行性研究报告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054221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2024-02-03T14:52:00Z</dcterms:created>
  <dcterms:modified xsi:type="dcterms:W3CDTF">2024-02-03T14:52:26Z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1267B794E20F476C864A2CE8BDFE2054_11</vt:lpwstr>
  </property>
  <property fmtid="{D5CDD505-2E9C-101B-9397-08002B2CF9AE}" pid="3" name="KSOProductBuildVer">
    <vt:lpwstr>2052-12.1.0.16250</vt:lpwstr>
  </property>
</Properties>
</file>