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left"/>
        <w:rPr>
          <w:rFonts w:hint="eastAsia"/>
        </w:rPr>
      </w:pPr>
    </w:p>
    <w:p>
      <w:pPr>
        <w:rPr>
          <w:rFonts w:ascii="宋体" w:hint="eastAsia"/>
          <w:sz w:val="28"/>
          <w:szCs w:val="28"/>
        </w:rPr>
      </w:pPr>
    </w:p>
    <w:p>
      <w:pPr>
        <w:pStyle w:val="BodyText"/>
        <w:spacing w:line="520" w:lineRule="exact"/>
        <w:rPr>
          <w:rFonts w:ascii="黑体" w:eastAsia="黑体"/>
          <w:bCs/>
          <w:color w:val="000000"/>
          <w:sz w:val="44"/>
        </w:rPr>
      </w:pPr>
      <w:r>
        <w:rPr>
          <w:rFonts w:ascii="黑体" w:eastAsia="黑体" w:hAnsi="宋体" w:hint="eastAsia"/>
          <w:sz w:val="44"/>
          <w:szCs w:val="44"/>
        </w:rPr>
        <w:t>基于PLC的清灰控制系统设计</w:t>
      </w:r>
    </w:p>
    <w:p>
      <w:pPr>
        <w:pStyle w:val="BodyText"/>
        <w:spacing w:line="520" w:lineRule="exact"/>
        <w:rPr>
          <w:rFonts w:hint="eastAsia"/>
          <w:color w:val="000000"/>
          <w:spacing w:val="-10"/>
          <w:sz w:val="44"/>
        </w:rPr>
      </w:pPr>
    </w:p>
    <w:p>
      <w:pPr>
        <w:rPr>
          <w:rFonts w:ascii="宋体" w:hint="eastAsia"/>
          <w:sz w:val="28"/>
          <w:szCs w:val="28"/>
        </w:rPr>
      </w:pPr>
    </w:p>
    <w:p>
      <w:pPr>
        <w:pStyle w:val="BodyText"/>
        <w:spacing w:line="300" w:lineRule="auto"/>
        <w:rPr>
          <w:rFonts w:ascii="Times New Roman" w:hint="eastAsia"/>
          <w:b/>
          <w:spacing w:val="-10"/>
          <w:sz w:val="32"/>
          <w:szCs w:val="32"/>
        </w:rPr>
      </w:pPr>
      <w:r>
        <w:rPr>
          <w:rFonts w:ascii="Times New Roman" w:hint="eastAsia"/>
          <w:b/>
          <w:spacing w:val="-10"/>
          <w:sz w:val="32"/>
          <w:szCs w:val="32"/>
        </w:rPr>
        <w:t xml:space="preserve">Design of Ash Cleaning Control System </w:t>
      </w:r>
    </w:p>
    <w:p>
      <w:pPr>
        <w:pStyle w:val="BodyText"/>
        <w:spacing w:line="300" w:lineRule="auto"/>
        <w:rPr>
          <w:rFonts w:ascii="Times New Roman"/>
          <w:b/>
          <w:spacing w:val="-10"/>
          <w:sz w:val="32"/>
          <w:szCs w:val="32"/>
        </w:rPr>
      </w:pPr>
      <w:r>
        <w:rPr>
          <w:rFonts w:ascii="Times New Roman" w:hint="eastAsia"/>
          <w:b/>
          <w:spacing w:val="-10"/>
          <w:sz w:val="32"/>
          <w:szCs w:val="32"/>
        </w:rPr>
        <w:t>Based on PLC</w:t>
      </w:r>
    </w:p>
    <w:p>
      <w:pPr>
        <w:jc w:val="center"/>
        <w:rPr>
          <w:rFonts w:ascii="隶书" w:eastAsia="隶书" w:hint="eastAsia"/>
          <w:b/>
          <w:spacing w:val="-10"/>
          <w:sz w:val="18"/>
        </w:rPr>
      </w:pPr>
      <w:r>
        <w:rPr>
          <w:rFonts w:hint="eastAsia"/>
          <w:b/>
          <w:spacing w:val="-10"/>
          <w:sz w:val="32"/>
          <w:szCs w:val="32"/>
        </w:rPr>
        <w:t xml:space="preserve"> </w:t>
      </w:r>
      <w:r>
        <w:rPr>
          <w:rFonts w:hint="eastAsia"/>
          <w:b/>
          <w:spacing w:val="-10"/>
          <w:sz w:val="30"/>
        </w:rPr>
        <w:t xml:space="preserve"> </w:t>
      </w:r>
    </w:p>
    <w:p>
      <w:pPr>
        <w:pStyle w:val="BodyText"/>
        <w:spacing w:line="300" w:lineRule="auto"/>
        <w:jc w:val="both"/>
        <w:rPr>
          <w:rFonts w:ascii="Times New Roman" w:hint="eastAsia"/>
          <w:b/>
          <w:spacing w:val="-10"/>
          <w:sz w:val="30"/>
        </w:rPr>
      </w:pPr>
    </w:p>
    <w:p>
      <w:pPr>
        <w:rPr>
          <w:rFonts w:ascii="黑体" w:eastAsia="黑体" w:hint="eastAsia"/>
        </w:rPr>
      </w:pPr>
    </w:p>
    <w:p>
      <w:pPr>
        <w:rPr>
          <w:rFonts w:ascii="黑体" w:eastAsia="黑体" w:hint="eastAsia"/>
        </w:rPr>
      </w:pPr>
    </w:p>
    <w:p>
      <w:pPr>
        <w:rPr>
          <w:rFonts w:ascii="黑体" w:eastAsia="黑体" w:hint="eastAsia"/>
        </w:rPr>
      </w:pPr>
    </w:p>
    <w:p>
      <w:pPr>
        <w:pStyle w:val="Heading2"/>
        <w:spacing w:line="440" w:lineRule="exact"/>
        <w:jc w:val="left"/>
        <w:rPr>
          <w:rFonts w:hint="eastAsia"/>
          <w:sz w:val="36"/>
          <w:szCs w:val="36"/>
        </w:rPr>
        <w:sectPr>
          <w:headerReference w:type="default" r:id="rId4"/>
          <w:pgSz w:w="11906" w:h="16838"/>
          <w:pgMar w:top="1440" w:right="1800" w:bottom="1440" w:left="1800" w:header="851" w:footer="992" w:gutter="0"/>
          <w:pgNumType w:fmt="upperRoman"/>
          <w:cols w:space="708"/>
          <w:docGrid w:type="lines" w:linePitch="312"/>
        </w:sectPr>
      </w:pPr>
    </w:p>
    <w:p>
      <w:pPr>
        <w:pStyle w:val="Heading1"/>
        <w:spacing w:before="240" w:after="120" w:line="240" w:lineRule="auto"/>
        <w:jc w:val="center"/>
        <w:rPr>
          <w:rFonts w:ascii="黑体" w:eastAsia="黑体" w:hAnsi="黑体" w:cs="黑体"/>
          <w:sz w:val="36"/>
          <w:szCs w:val="36"/>
        </w:rPr>
      </w:pPr>
      <w:bookmarkStart w:id="0" w:name="_Toc303"/>
      <w:bookmarkStart w:id="1" w:name="_Toc724"/>
      <w:bookmarkStart w:id="2" w:name="_Toc1200"/>
      <w:bookmarkStart w:id="3" w:name="_Toc29940"/>
      <w:bookmarkStart w:id="4" w:name="_Toc24232"/>
      <w:bookmarkStart w:id="5" w:name="_Toc18644"/>
      <w:bookmarkStart w:id="6" w:name="_Toc1378"/>
      <w:bookmarkStart w:id="7" w:name="_Toc13619"/>
      <w:bookmarkStart w:id="8" w:name="_Toc12588"/>
      <w:r>
        <w:rPr>
          <w:rFonts w:ascii="黑体" w:eastAsia="黑体" w:hAnsi="黑体" w:cs="黑体" w:hint="eastAsia"/>
          <w:sz w:val="36"/>
          <w:szCs w:val="36"/>
        </w:rPr>
        <w:t>摘要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>
      <w:pPr>
        <w:spacing w:line="440" w:lineRule="exact"/>
        <w:ind w:firstLine="480" w:firstLineChars="200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在世界环境日益恶劣的大背景下，节能和能源再利用变成了重要课题。在锅炉运作系统中，工作人员常常会在锅炉尾部装置省煤器，以此降低排烟温度，进一步提高锅炉热效率。但由于省煤器布置在烟道内，在一定周期范围内会形成局部结灰，令使用效率大打折扣。因此，可以利用清灰装置对省煤器进行请灰，让省煤器发挥更大的经济效益。</w:t>
      </w:r>
    </w:p>
    <w:p>
      <w:pPr>
        <w:spacing w:line="440" w:lineRule="exact"/>
        <w:ind w:firstLine="480" w:firstLineChars="200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设计中采用</w:t>
      </w:r>
      <w:r>
        <w:rPr>
          <w:rFonts w:ascii="Times New Roman" w:hAnsi="Times New Roman"/>
          <w:color w:val="000000"/>
          <w:sz w:val="24"/>
        </w:rPr>
        <w:t>PLC</w:t>
      </w:r>
      <w:r>
        <w:rPr>
          <w:rFonts w:ascii="宋体" w:hAnsi="宋体" w:cs="宋体" w:hint="eastAsia"/>
          <w:color w:val="000000"/>
          <w:sz w:val="24"/>
        </w:rPr>
        <w:t>的</w:t>
      </w:r>
      <w:r>
        <w:rPr>
          <w:rFonts w:ascii="Times New Roman" w:hAnsi="Times New Roman"/>
          <w:color w:val="000000"/>
          <w:sz w:val="24"/>
        </w:rPr>
        <w:t>S7-200</w:t>
      </w:r>
      <w:r>
        <w:rPr>
          <w:rFonts w:ascii="宋体" w:hAnsi="宋体" w:cs="宋体" w:hint="eastAsia"/>
          <w:color w:val="000000"/>
          <w:sz w:val="24"/>
        </w:rPr>
        <w:t>系列</w:t>
      </w:r>
      <w:r>
        <w:rPr>
          <w:rFonts w:ascii="Times New Roman" w:hAnsi="Times New Roman"/>
          <w:color w:val="000000"/>
          <w:sz w:val="24"/>
        </w:rPr>
        <w:t>CPU22</w:t>
      </w:r>
      <w:r>
        <w:rPr>
          <w:rFonts w:ascii="Times New Roman" w:hAnsi="Times New Roman" w:hint="eastAsia"/>
          <w:color w:val="000000"/>
          <w:sz w:val="24"/>
        </w:rPr>
        <w:t>4</w:t>
      </w:r>
      <w:r>
        <w:rPr>
          <w:rFonts w:ascii="宋体" w:hAnsi="宋体" w:cs="宋体" w:hint="eastAsia"/>
          <w:color w:val="000000"/>
          <w:sz w:val="24"/>
        </w:rPr>
        <w:t>作为主控制器。在系统中首先通过热电偶温度计来检测通入省煤器的烟灰温度，温度计输出的信号由开关量变送器进行模数转换后，再输入</w:t>
      </w:r>
      <w:r>
        <w:rPr>
          <w:rFonts w:ascii="Times New Roman" w:hAnsi="Times New Roman"/>
          <w:color w:val="000000"/>
          <w:sz w:val="24"/>
        </w:rPr>
        <w:t>PLC</w:t>
      </w:r>
      <w:r>
        <w:rPr>
          <w:rFonts w:ascii="宋体" w:hAnsi="宋体" w:cs="宋体" w:hint="eastAsia"/>
          <w:color w:val="000000"/>
          <w:sz w:val="24"/>
        </w:rPr>
        <w:t>。同时对</w:t>
      </w:r>
      <w:r>
        <w:rPr>
          <w:rFonts w:ascii="Times New Roman" w:hAnsi="Times New Roman"/>
          <w:color w:val="000000"/>
          <w:sz w:val="24"/>
        </w:rPr>
        <w:t>PLC</w:t>
      </w:r>
      <w:r>
        <w:rPr>
          <w:rFonts w:ascii="宋体" w:hAnsi="宋体" w:cs="宋体" w:hint="eastAsia"/>
          <w:color w:val="000000"/>
          <w:sz w:val="24"/>
        </w:rPr>
        <w:t>进行软件设计，包括程序和梯形图的编写，对清灰器的启动，启动频率，工作时长以及系统的关闭进行控制。设计还包括清灰器的选择，供油供电等相关内容，在抗干扰方面也做了相关措施，最终实现了在</w:t>
      </w:r>
      <w:r>
        <w:rPr>
          <w:rFonts w:ascii="Times New Roman" w:hAnsi="Times New Roman"/>
          <w:color w:val="000000"/>
          <w:sz w:val="24"/>
        </w:rPr>
        <w:t>PLC</w:t>
      </w:r>
      <w:r>
        <w:rPr>
          <w:rFonts w:ascii="宋体" w:hAnsi="宋体" w:cs="宋体" w:hint="eastAsia"/>
          <w:color w:val="000000"/>
          <w:sz w:val="24"/>
        </w:rPr>
        <w:t>的控制下，清灰系统对省煤器进行吹灰的效果。</w:t>
      </w:r>
    </w:p>
    <w:p>
      <w:pPr>
        <w:spacing w:line="440" w:lineRule="exact"/>
        <w:rPr>
          <w:rFonts w:ascii="黑体" w:eastAsia="黑体" w:hAnsi="黑体" w:cs="黑体" w:hint="eastAsia"/>
          <w:b/>
          <w:bCs/>
          <w:color w:val="000000"/>
          <w:sz w:val="24"/>
        </w:rPr>
      </w:pPr>
    </w:p>
    <w:p>
      <w:pPr>
        <w:spacing w:line="440" w:lineRule="exact"/>
        <w:rPr>
          <w:rFonts w:ascii="宋体" w:hAnsi="宋体" w:cs="宋体" w:hint="eastAsia"/>
          <w:color w:val="000000"/>
          <w:sz w:val="24"/>
        </w:rPr>
      </w:pPr>
      <w:r>
        <w:rPr>
          <w:rFonts w:ascii="黑体" w:eastAsia="黑体" w:hAnsi="黑体" w:cs="黑体" w:hint="eastAsia"/>
          <w:b/>
          <w:bCs/>
          <w:color w:val="000000"/>
          <w:sz w:val="24"/>
        </w:rPr>
        <w:t>关键词</w:t>
      </w:r>
      <w:r>
        <w:rPr>
          <w:rFonts w:ascii="宋体" w:hAnsi="宋体" w:cs="宋体" w:hint="eastAsia"/>
          <w:color w:val="000000"/>
          <w:sz w:val="24"/>
        </w:rPr>
        <w:t>：省煤器；清灰；</w:t>
      </w:r>
      <w:r>
        <w:rPr>
          <w:rFonts w:ascii="Times New Roman" w:hAnsi="Times New Roman"/>
          <w:color w:val="000000"/>
          <w:sz w:val="24"/>
        </w:rPr>
        <w:t>PLC</w:t>
      </w:r>
    </w:p>
    <w:p>
      <w:pPr>
        <w:spacing w:line="440" w:lineRule="exact"/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</w:p>
    <w:p>
      <w:pPr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br/>
      </w:r>
      <w:r>
        <w:rPr>
          <w:rFonts w:ascii="宋体" w:hAnsi="宋体" w:cs="宋体" w:hint="eastAsia"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https://d.book118.com/206113132230010045</w:t>
        </w:r>
      </w:hyperlink>
    </w:p>
    <w:p>
      <w:pPr>
        <w:rPr>
          <w:rFonts w:ascii="宋体" w:hAnsi="宋体" w:cs="宋体" w:hint="eastAsia"/>
          <w:color w:val="000000"/>
          <w:sz w:val="24"/>
        </w:rPr>
      </w:pPr>
    </w:p>
    <w:sectPr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pgNumType w:fmt="upperRoman" w:start="1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altName w:val="微软雅黑"/>
    <w:panose1 w:val="02010509060101010101"/>
    <w:charset w:val="86"/>
    <w:family w:val="modern"/>
    <w:pitch w:val="default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v:stroke linestyle="single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I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thinThickSmallGap" w:sz="12" w:space="1" w:color="auto"/>
      </w:pBdr>
      <w:tabs>
        <w:tab w:val="center" w:pos="4153"/>
        <w:tab w:val="right" w:pos="8306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thinThickSmallGap" w:sz="12" w:space="1" w:color="auto"/>
      </w:pBdr>
      <w:tabs>
        <w:tab w:val="center" w:pos="4153"/>
        <w:tab w:val="right" w:pos="8306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D7A827"/>
    <w:multiLevelType w:val="singleLevel"/>
    <w:tmpl w:val="8AD7A827"/>
    <w:lvl w:ilvl="0">
      <w:start w:val="1"/>
      <w:numFmt w:val="decimal"/>
      <w:lvlText w:val="[%1]"/>
      <w:lvlJc w:val="left"/>
      <w:pPr>
        <w:tabs>
          <w:tab w:val="num" w:pos="312"/>
        </w:tabs>
      </w:pPr>
    </w:lvl>
  </w:abstractNum>
  <w:abstractNum w:abstractNumId="1">
    <w:nsid w:val="3A5C2194"/>
    <w:multiLevelType w:val="singleLevel"/>
    <w:tmpl w:val="3A5C2194"/>
    <w:lvl w:ilvl="0">
      <w:start w:val="1"/>
      <w:numFmt w:val="decimal"/>
      <w:suff w:val="nothing"/>
      <w:lvlText w:val="（%1）"/>
      <w:lvlJc w:val="left"/>
    </w:lvl>
  </w:abstractNum>
  <w:abstractNum w:abstractNumId="2">
    <w:nsid w:val="50EBBC5B"/>
    <w:multiLevelType w:val="singleLevel"/>
    <w:tmpl w:val="50EBBC5B"/>
    <w:lvl w:ilvl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420"/>
  <w:drawingGridVerticalSpacing w:val="156"/>
  <w:doNotShadeFormData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0FF1"/>
    <w:rsid w:val="000C27EC"/>
    <w:rsid w:val="001C4C99"/>
    <w:rsid w:val="002D035C"/>
    <w:rsid w:val="005017FA"/>
    <w:rsid w:val="00513F9A"/>
    <w:rsid w:val="0059066A"/>
    <w:rsid w:val="00605165"/>
    <w:rsid w:val="00624E5F"/>
    <w:rsid w:val="007665E1"/>
    <w:rsid w:val="008C30C5"/>
    <w:rsid w:val="00A534C5"/>
    <w:rsid w:val="00A6002F"/>
    <w:rsid w:val="00C429DA"/>
    <w:rsid w:val="00D4316D"/>
    <w:rsid w:val="00D90B24"/>
    <w:rsid w:val="00DE2399"/>
    <w:rsid w:val="00E5671B"/>
    <w:rsid w:val="00E73950"/>
    <w:rsid w:val="00FE3E33"/>
    <w:rsid w:val="01874B3E"/>
    <w:rsid w:val="04DB1283"/>
    <w:rsid w:val="051619C8"/>
    <w:rsid w:val="0517759A"/>
    <w:rsid w:val="06364B19"/>
    <w:rsid w:val="09005544"/>
    <w:rsid w:val="090B6946"/>
    <w:rsid w:val="097814CF"/>
    <w:rsid w:val="0AF326FA"/>
    <w:rsid w:val="0E6E03FA"/>
    <w:rsid w:val="0E930259"/>
    <w:rsid w:val="0E963957"/>
    <w:rsid w:val="1012430F"/>
    <w:rsid w:val="120C6EEC"/>
    <w:rsid w:val="1366571B"/>
    <w:rsid w:val="142926A6"/>
    <w:rsid w:val="143F4108"/>
    <w:rsid w:val="16E16923"/>
    <w:rsid w:val="16F54B51"/>
    <w:rsid w:val="19703399"/>
    <w:rsid w:val="1BAE5892"/>
    <w:rsid w:val="1BC07126"/>
    <w:rsid w:val="1DB75740"/>
    <w:rsid w:val="20184D91"/>
    <w:rsid w:val="21A36ECC"/>
    <w:rsid w:val="21DF24E0"/>
    <w:rsid w:val="221A3004"/>
    <w:rsid w:val="2285724F"/>
    <w:rsid w:val="23D8648F"/>
    <w:rsid w:val="25FE3A47"/>
    <w:rsid w:val="29072436"/>
    <w:rsid w:val="29FF2D3C"/>
    <w:rsid w:val="2AC303FD"/>
    <w:rsid w:val="2B471CFE"/>
    <w:rsid w:val="311E0577"/>
    <w:rsid w:val="318F3243"/>
    <w:rsid w:val="341B28C4"/>
    <w:rsid w:val="348D7722"/>
    <w:rsid w:val="37F95EE8"/>
    <w:rsid w:val="382B06C7"/>
    <w:rsid w:val="3A875EB2"/>
    <w:rsid w:val="3D4F0373"/>
    <w:rsid w:val="3DC02E43"/>
    <w:rsid w:val="3E496358"/>
    <w:rsid w:val="3FAA57BF"/>
    <w:rsid w:val="429964FB"/>
    <w:rsid w:val="45DB1666"/>
    <w:rsid w:val="479F7651"/>
    <w:rsid w:val="47AA4DCD"/>
    <w:rsid w:val="47AE0DBA"/>
    <w:rsid w:val="480D5465"/>
    <w:rsid w:val="48770CCC"/>
    <w:rsid w:val="4A1458D7"/>
    <w:rsid w:val="4AC735B7"/>
    <w:rsid w:val="4C1B1751"/>
    <w:rsid w:val="4C3F5115"/>
    <w:rsid w:val="4E6F2ED8"/>
    <w:rsid w:val="4FC71E57"/>
    <w:rsid w:val="543B4E03"/>
    <w:rsid w:val="55A55469"/>
    <w:rsid w:val="567F59F6"/>
    <w:rsid w:val="56D97275"/>
    <w:rsid w:val="58C3038F"/>
    <w:rsid w:val="59870B99"/>
    <w:rsid w:val="599F3FBF"/>
    <w:rsid w:val="59AE3BBD"/>
    <w:rsid w:val="60A25398"/>
    <w:rsid w:val="60EB6103"/>
    <w:rsid w:val="61D768B4"/>
    <w:rsid w:val="6645309B"/>
    <w:rsid w:val="676E5E9E"/>
    <w:rsid w:val="69E33D46"/>
    <w:rsid w:val="6AFC2B30"/>
    <w:rsid w:val="6B24376E"/>
    <w:rsid w:val="6CBA7DBE"/>
    <w:rsid w:val="6D6D31D0"/>
    <w:rsid w:val="6EEB0054"/>
    <w:rsid w:val="6F8B437C"/>
    <w:rsid w:val="709D10E4"/>
    <w:rsid w:val="744D2719"/>
    <w:rsid w:val="7778196B"/>
    <w:rsid w:val="77E27838"/>
    <w:rsid w:val="7E337CDF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eastAsia="宋体" w:hAnsi="Times New Roman" w:cs="Times New Roman"/>
      <w:b/>
      <w:kern w:val="44"/>
      <w:sz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 w:cs="Times New Roman"/>
      <w:b/>
      <w:sz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Times New Roman" w:eastAsia="宋体" w:hAnsi="Times New Roman" w:cs="Times New Roman"/>
      <w:b/>
      <w:sz w:val="32"/>
    </w:rPr>
  </w:style>
  <w:style w:type="paragraph" w:styleId="Heading4">
    <w:name w:val="heading 4"/>
    <w:basedOn w:val="Normal"/>
    <w:next w:val="Normal"/>
    <w:qFormat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eastAsia="黑体" w:hAnsi="Arial" w:cs="Times New Roman"/>
      <w:b/>
      <w:sz w:val="28"/>
    </w:rPr>
  </w:style>
  <w:style w:type="paragraph" w:styleId="Heading5">
    <w:name w:val="heading 5"/>
    <w:basedOn w:val="Normal"/>
    <w:next w:val="Normal"/>
    <w:qFormat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rFonts w:ascii="Times New Roman" w:eastAsia="宋体" w:hAnsi="Times New Roman" w:cs="Times New Roman"/>
      <w:b/>
      <w:sz w:val="28"/>
    </w:rPr>
  </w:style>
  <w:style w:type="paragraph" w:styleId="Heading6">
    <w:name w:val="heading 6"/>
    <w:basedOn w:val="Normal"/>
    <w:next w:val="Normal"/>
    <w:qFormat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eastAsia="黑体" w:hAnsi="Arial" w:cs="Times New Roman"/>
      <w:b/>
      <w:sz w:val="24"/>
    </w:rPr>
  </w:style>
  <w:style w:type="character" w:default="1" w:styleId="DefaultParagraphFont">
    <w:name w:val="Default Paragraph Font"/>
    <w:rPr>
      <w:rFonts w:ascii="Times New Roman" w:eastAsia="宋体" w:hAnsi="Times New Roman" w:cs="Times New Roman"/>
    </w:rPr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pPr>
      <w:jc w:val="left"/>
    </w:pPr>
    <w:rPr>
      <w:rFonts w:ascii="Times New Roman" w:eastAsia="宋体" w:hAnsi="Times New Roman" w:cs="Times New Roman"/>
    </w:rPr>
  </w:style>
  <w:style w:type="paragraph" w:styleId="BodyText">
    <w:name w:val="Body Text"/>
    <w:basedOn w:val="Normal"/>
    <w:pPr>
      <w:spacing w:line="600" w:lineRule="exact"/>
      <w:jc w:val="center"/>
    </w:pPr>
    <w:rPr>
      <w:rFonts w:ascii="隶书" w:eastAsia="隶书" w:hAnsi="Times New Roman" w:cs="Times New Roman"/>
      <w:sz w:val="48"/>
      <w:szCs w:val="20"/>
    </w:rPr>
  </w:style>
  <w:style w:type="paragraph" w:styleId="TOC3">
    <w:name w:val="toc 3"/>
    <w:basedOn w:val="Normal"/>
    <w:next w:val="Normal"/>
    <w:pPr>
      <w:ind w:left="840" w:leftChars="400"/>
    </w:pPr>
    <w:rPr>
      <w:rFonts w:ascii="Times New Roman" w:eastAsia="宋体" w:hAnsi="Times New Roman" w:cs="Times New Roman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eastAsia="宋体" w:hAnsi="Times New Roman" w:cs="Times New Roman"/>
      <w:sz w:val="18"/>
    </w:rPr>
  </w:style>
  <w:style w:type="paragraph" w:styleId="TOC1">
    <w:name w:val="toc 1"/>
    <w:basedOn w:val="Normal"/>
    <w:next w:val="Normal"/>
    <w:rPr>
      <w:rFonts w:ascii="Times New Roman" w:eastAsia="宋体" w:hAnsi="Times New Roman" w:cs="Times New Roman"/>
    </w:rPr>
  </w:style>
  <w:style w:type="paragraph" w:styleId="TOC2">
    <w:name w:val="toc 2"/>
    <w:basedOn w:val="Normal"/>
    <w:next w:val="Normal"/>
    <w:pPr>
      <w:ind w:left="420" w:leftChars="200"/>
    </w:pPr>
    <w:rPr>
      <w:rFonts w:ascii="Times New Roman" w:eastAsia="宋体" w:hAnsi="Times New Roman" w:cs="Times New Roman"/>
    </w:rPr>
  </w:style>
  <w:style w:type="paragraph" w:styleId="NormalWeb">
    <w:name w:val="Normal (Web)"/>
    <w:basedOn w:val="Normal"/>
    <w:pPr>
      <w:spacing w:before="100" w:beforeAutospacing="1" w:after="100" w:afterAutospacing="1"/>
      <w:ind w:left="0" w:right="0"/>
      <w:jc w:val="left"/>
    </w:pPr>
    <w:rPr>
      <w:rFonts w:ascii="Times New Roman" w:eastAsia="宋体" w:hAnsi="Times New Roman" w:cs="Times New Roman"/>
      <w:kern w:val="0"/>
      <w:sz w:val="24"/>
      <w:lang w:val="en-US" w:eastAsia="zh-CN" w:bidi="ar"/>
    </w:rPr>
  </w:style>
  <w:style w:type="table" w:styleId="TableGrid">
    <w:name w:val="Table Grid"/>
    <w:basedOn w:val="TableNormal"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Pr>
      <w:rFonts w:ascii="Times New Roman" w:eastAsia="宋体" w:hAnsi="Times New Roman" w:cs="Times New Roman"/>
      <w:color w:val="0000FF"/>
      <w:u w:val="single"/>
    </w:rPr>
  </w:style>
  <w:style w:type="paragraph" w:customStyle="1" w:styleId="WPSOffice1">
    <w:name w:val="WPSOffice手动目录 1"/>
    <w:rPr>
      <w:lang w:val="en-US" w:eastAsia="zh-CN" w:bidi="ar-SA"/>
    </w:rPr>
  </w:style>
  <w:style w:type="paragraph" w:customStyle="1" w:styleId="WPSOffice3">
    <w:name w:val="WPSOffice手动目录 3"/>
    <w:pPr>
      <w:ind w:leftChars="400"/>
    </w:pPr>
    <w:rPr>
      <w:lang w:val="en-US" w:eastAsia="zh-CN" w:bidi="ar-SA"/>
    </w:rPr>
  </w:style>
  <w:style w:type="paragraph" w:customStyle="1" w:styleId="WPSOffice2">
    <w:name w:val="WPSOffice手动目录 2"/>
    <w:pPr>
      <w:ind w:leftChars="200"/>
    </w:pPr>
    <w:rPr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yperlink" Target="https://d.book118.com/206113132230010045" TargetMode="Externa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1825</Words>
  <Characters>10408</Characters>
  <Application>Microsoft Office Word</Application>
  <DocSecurity>0</DocSecurity>
  <Lines>86</Lines>
  <Paragraphs>24</Paragraphs>
  <ScaleCrop>false</ScaleCrop>
  <Company/>
  <LinksUpToDate>false</LinksUpToDate>
  <CharactersWithSpaces>12209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 艷</dc:creator>
  <cp:lastModifiedBy>张老师</cp:lastModifiedBy>
  <cp:revision>15</cp:revision>
  <cp:lastPrinted>2021-06-01T12:59:00Z</cp:lastPrinted>
  <dcterms:created xsi:type="dcterms:W3CDTF">2019-04-09T07:10:00Z</dcterms:created>
  <dcterms:modified xsi:type="dcterms:W3CDTF">2023-11-04T07:46:55Z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45599A0D8AD241E49F2F068692D64C4E_12</vt:lpwstr>
  </property>
  <property fmtid="{D5CDD505-2E9C-101B-9397-08002B2CF9AE}" pid="3" name="KSOProductBuildVer">
    <vt:lpwstr>2052-12.1.0.15712</vt:lpwstr>
  </property>
</Properties>
</file>