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溶剂型色浆行业相关公司筹备报告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1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_Toc20041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_Toc15948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_Toc4700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_Toc8131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(一)、溶剂型色浆项目选址原则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(五)、溶剂型色浆项目选址综合评价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_Toc23777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_Toc18745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" w:history="1">
        <w:r>
          <w:rPr>
            <w:rFonts w:ascii="仿宋" w:eastAsia="仿宋" w:hAnsi="仿宋" w:cs="仿宋" w:hint="eastAsia"/>
            <w:lang w:eastAsia="zh-CN"/>
          </w:rPr>
          <w:t>(七)、溶剂型色浆项目建设必要性分析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_Toc25604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(一)、溶剂型色浆项目进度安排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(二)、溶剂型色浆项目实施保障措施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七、溶剂型色浆项目风险分析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(一)、溶剂型色浆项目风险分析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(二)、溶剂型色浆项目风险对策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_Toc11262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4" w:history="1">
        <w:r>
          <w:rPr>
            <w:rFonts w:ascii="仿宋" w:eastAsia="仿宋" w:hAnsi="仿宋" w:cs="仿宋" w:hint="eastAsia"/>
            <w:lang w:eastAsia="zh-CN"/>
          </w:rPr>
          <w:t>(五)、溶剂型色浆项目总投资</w:t>
        </w:r>
        <w:r>
          <w:tab/>
        </w:r>
        <w:r>
          <w:fldChar w:fldCharType="begin"/>
        </w:r>
        <w:r>
          <w:instrText xml:space="preserve"> PAGEREF _Toc22694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十、溶剂型色浆项目经济效益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(三)、溶剂型色浆项目盈利能力分析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_Toc20479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(二)、合作溶剂型色浆项目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_Toc32039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_Toc18283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1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5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6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https://d.book118.com/206140103021010041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140103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2024-01-01T21:27:00Z</dcterms:created>
  <dcterms:modified xsi:type="dcterms:W3CDTF">2024-01-01T21:27:43Z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8C090D623F4F4A2281D50028ECB8B274_11</vt:lpwstr>
  </property>
  <property fmtid="{D5CDD505-2E9C-101B-9397-08002B2CF9AE}" pid="3" name="KSOProductBuildVer">
    <vt:lpwstr>2052-12.1.0.16120</vt:lpwstr>
  </property>
</Properties>
</file>