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>
      <w:pPr>
        <w:rPr>
          <w:rFonts w:ascii="仿宋" w:eastAsia="仿宋" w:hAnsi="仿宋" w:cs="仿宋" w:hint="eastAsia"/>
          <w:b/>
          <w:sz w:val="40"/>
        </w:rPr>
      </w:pPr>
      <w:bookmarkStart w:id="0" w:name="_GoBack"/>
      <w:bookmarkEnd w:id="0"/>
    </w:p>
    <w:p>
      <w:pPr>
        <w:rPr>
          <w:rFonts w:ascii="仿宋" w:eastAsia="仿宋" w:hAnsi="仿宋" w:cs="仿宋" w:hint="eastAsia"/>
          <w:b/>
          <w:sz w:val="40"/>
        </w:rPr>
      </w:pPr>
    </w:p>
    <w:p>
      <w:pPr>
        <w:rPr>
          <w:rFonts w:ascii="仿宋" w:eastAsia="仿宋" w:hAnsi="仿宋" w:cs="仿宋" w:hint="eastAsia"/>
          <w:b/>
          <w:sz w:val="40"/>
        </w:rPr>
      </w:pPr>
    </w:p>
    <w:p>
      <w:pPr>
        <w:spacing w:before="254" w:line="360" w:lineRule="auto"/>
        <w:ind w:left="273"/>
        <w:jc w:val="center"/>
        <w:outlineLvl w:val="0"/>
        <w:rPr>
          <w:rFonts w:ascii="微软雅黑" w:eastAsia="微软雅黑" w:hAnsi="微软雅黑" w:cs="微软雅黑"/>
          <w:b/>
          <w:bCs/>
          <w:color w:val="2D54A0"/>
          <w:spacing w:val="8"/>
          <w:sz w:val="59"/>
          <w:szCs w:val="59"/>
        </w:rPr>
      </w:pPr>
      <w:r>
        <w:rPr>
          <w:rFonts w:ascii="微软雅黑" w:eastAsia="微软雅黑" w:hAnsi="微软雅黑" w:cs="微软雅黑"/>
          <w:b/>
          <w:bCs/>
          <w:color w:val="2D54A0"/>
          <w:spacing w:val="9"/>
          <w:sz w:val="59"/>
          <w:szCs w:val="59"/>
        </w:rPr>
        <w:t>2024年非金属粉末行业趋势</w:t>
      </w:r>
      <w:r>
        <w:rPr>
          <w:rFonts w:ascii="微软雅黑" w:eastAsia="微软雅黑" w:hAnsi="微软雅黑" w:cs="微软雅黑"/>
          <w:b/>
          <w:bCs/>
          <w:color w:val="2D54A0"/>
          <w:spacing w:val="8"/>
          <w:sz w:val="59"/>
          <w:szCs w:val="59"/>
        </w:rPr>
        <w:t>报告</w:t>
      </w:r>
    </w:p>
    <w:p>
      <w:pPr>
        <w:spacing w:before="254" w:line="360" w:lineRule="auto"/>
        <w:ind w:left="273"/>
        <w:jc w:val="center"/>
        <w:outlineLvl w:val="0"/>
        <w:rPr>
          <w:rFonts w:ascii="微软雅黑" w:eastAsia="微软雅黑" w:hAnsi="微软雅黑" w:cs="微软雅黑"/>
          <w:b/>
          <w:bCs/>
          <w:color w:val="2D54A0"/>
          <w:spacing w:val="8"/>
          <w:sz w:val="59"/>
          <w:szCs w:val="59"/>
        </w:rPr>
      </w:pPr>
    </w:p>
    <w:p>
      <w:pPr>
        <w:spacing w:before="254" w:line="360" w:lineRule="auto"/>
        <w:ind w:left="273"/>
        <w:jc w:val="center"/>
        <w:outlineLvl w:val="0"/>
        <w:rPr>
          <w:rFonts w:ascii="微软雅黑" w:eastAsia="微软雅黑" w:hAnsi="微软雅黑" w:cs="微软雅黑"/>
          <w:b/>
          <w:bCs/>
          <w:color w:val="2D54A0"/>
          <w:spacing w:val="8"/>
          <w:sz w:val="59"/>
          <w:szCs w:val="59"/>
        </w:rPr>
      </w:pPr>
    </w:p>
    <w:p>
      <w:pPr>
        <w:spacing w:before="254" w:line="360" w:lineRule="auto"/>
        <w:ind w:left="273"/>
        <w:jc w:val="center"/>
        <w:outlineLvl w:val="0"/>
        <w:rPr>
          <w:rFonts w:ascii="微软雅黑" w:eastAsia="微软雅黑" w:hAnsi="微软雅黑" w:cs="微软雅黑"/>
          <w:b/>
          <w:bCs/>
          <w:color w:val="2D54A0"/>
          <w:spacing w:val="8"/>
          <w:sz w:val="59"/>
          <w:szCs w:val="59"/>
        </w:rPr>
      </w:pPr>
    </w:p>
    <w:p>
      <w:pPr>
        <w:spacing w:before="254" w:line="360" w:lineRule="auto"/>
        <w:ind w:left="273"/>
        <w:jc w:val="center"/>
        <w:outlineLvl w:val="0"/>
        <w:rPr>
          <w:rFonts w:ascii="微软雅黑" w:eastAsia="微软雅黑" w:hAnsi="微软雅黑" w:cs="微软雅黑"/>
          <w:b/>
          <w:bCs/>
          <w:color w:val="2D54A0"/>
          <w:spacing w:val="8"/>
          <w:sz w:val="59"/>
          <w:szCs w:val="59"/>
        </w:rPr>
      </w:pPr>
    </w:p>
    <w:p>
      <w:pPr>
        <w:spacing w:before="254" w:line="360" w:lineRule="auto"/>
        <w:ind w:left="273"/>
        <w:jc w:val="center"/>
        <w:outlineLvl w:val="0"/>
        <w:rPr>
          <w:rFonts w:ascii="微软雅黑" w:eastAsia="微软雅黑" w:hAnsi="微软雅黑" w:cs="微软雅黑" w:hint="default"/>
          <w:b/>
          <w:bCs/>
          <w:color w:val="2D54A0"/>
          <w:spacing w:val="8"/>
          <w:sz w:val="44"/>
          <w:szCs w:val="44"/>
        </w:rPr>
        <w:sectPr>
          <w:headerReference w:type="default" r:id="rId4"/>
          <w:footerReference w:type="default" r:id="rId5"/>
          <w:pgSz w:w="11906" w:h="16838"/>
          <w:pgMar w:top="1440" w:right="1800" w:bottom="1440" w:left="1800" w:header="851" w:footer="992" w:gutter="0"/>
          <w:cols w:num="1" w:space="425"/>
          <w:docGrid w:type="lines" w:linePitch="312" w:charSpace="0"/>
        </w:sectPr>
      </w:pPr>
      <w:r>
        <w:rPr>
          <w:rFonts w:ascii="微软雅黑" w:eastAsia="微软雅黑" w:hAnsi="微软雅黑" w:cs="微软雅黑" w:hint="eastAsia"/>
          <w:b/>
          <w:bCs/>
          <w:color w:val="2D54A0"/>
          <w:spacing w:val="8"/>
          <w:sz w:val="44"/>
          <w:szCs w:val="44"/>
          <w:lang w:val="en-US" w:eastAsia="zh-CN"/>
        </w:rPr>
        <w:t>《2024年最新评估分析》</w:t>
      </w:r>
    </w:p>
    <w:p>
      <w:pPr>
        <w:spacing w:line="360" w:lineRule="auto"/>
        <w:jc w:val="center"/>
        <w:rPr>
          <w:rFonts w:ascii="微软雅黑" w:eastAsia="微软雅黑" w:hAnsi="微软雅黑" w:cs="微软雅黑" w:hint="eastAsia"/>
          <w:b/>
          <w:bCs w:val="0"/>
          <w:color w:val="2E54A1" w:themeColor="accent1" w:themeShade="BF"/>
          <w:sz w:val="40"/>
        </w:rPr>
      </w:pPr>
      <w:r>
        <w:rPr>
          <w:rFonts w:ascii="微软雅黑" w:eastAsia="微软雅黑" w:hAnsi="微软雅黑" w:cs="微软雅黑" w:hint="eastAsia"/>
          <w:b/>
          <w:bCs w:val="0"/>
          <w:color w:val="2E54A1" w:themeColor="accent1" w:themeShade="BF"/>
          <w:sz w:val="40"/>
          <w:lang w:eastAsia="zh-CN"/>
        </w:rPr>
        <w:t>目录</w:t>
      </w:r>
    </w:p>
    <w:p>
      <w:pPr>
        <w:pStyle w:val="TOC1"/>
        <w:tabs>
          <w:tab w:val="right" w:leader="dot" w:pos="8306"/>
        </w:tabs>
      </w:pPr>
      <w:r>
        <w:fldChar w:fldCharType="begin"/>
      </w:r>
      <w:r>
        <w:instrText>TOC \h \z</w:instrText>
      </w:r>
      <w:r>
        <w:fldChar w:fldCharType="separate"/>
      </w:r>
      <w:hyperlink w:anchor="_Toc25062" w:history="1">
        <w:r>
          <w:rPr>
            <w:rFonts w:ascii="微软雅黑" w:eastAsia="微软雅黑" w:hAnsi="微软雅黑" w:cs="微软雅黑" w:hint="eastAsia"/>
            <w:color w:val="001CAC" w:themeColor="hyperlink" w:themeShade="BF"/>
            <w:lang w:eastAsia="zh-CN"/>
          </w:rPr>
          <w:t>前言</w:t>
        </w:r>
        <w:r>
          <w:tab/>
        </w:r>
        <w:r>
          <w:fldChar w:fldCharType="begin"/>
        </w:r>
        <w:r>
          <w:instrText xml:space="preserve"> PAGEREF _Toc25062 \h </w:instrText>
        </w:r>
        <w:r>
          <w:fldChar w:fldCharType="separate"/>
        </w:r>
        <w:r>
          <w:t>4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24238" w:history="1">
        <w:r>
          <w:rPr>
            <w:rFonts w:ascii="微软雅黑" w:eastAsia="微软雅黑" w:hAnsi="微软雅黑" w:cs="微软雅黑" w:hint="eastAsia"/>
            <w:color w:val="001CAC" w:themeColor="hyperlink" w:themeShade="BF"/>
            <w:szCs w:val="32"/>
            <w:lang w:eastAsia="zh-CN"/>
          </w:rPr>
          <w:t>一、非金属粉末行业运营管理及商业模式分析</w:t>
        </w:r>
        <w:r>
          <w:tab/>
        </w:r>
        <w:r>
          <w:fldChar w:fldCharType="begin"/>
        </w:r>
        <w:r>
          <w:instrText xml:space="preserve"> PAGEREF _Toc24238 \h </w:instrText>
        </w:r>
        <w:r>
          <w:fldChar w:fldCharType="separate"/>
        </w:r>
        <w:r>
          <w:t>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6733" w:history="1">
        <w:r>
          <w:rPr>
            <w:rFonts w:ascii="宋体" w:eastAsia="宋体" w:hAnsi="宋体" w:cs="宋体" w:hint="eastAsia"/>
            <w:bCs w:val="0"/>
            <w:szCs w:val="28"/>
            <w:lang w:eastAsia="zh-CN"/>
          </w:rPr>
          <w:t>(一)、非金属粉末行业数字化发展方案</w:t>
        </w:r>
        <w:r>
          <w:tab/>
        </w:r>
        <w:r>
          <w:fldChar w:fldCharType="begin"/>
        </w:r>
        <w:r>
          <w:instrText xml:space="preserve"> PAGEREF _Toc26733 \h </w:instrText>
        </w:r>
        <w:r>
          <w:fldChar w:fldCharType="separate"/>
        </w:r>
        <w:r>
          <w:t>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0972" w:history="1">
        <w:r>
          <w:rPr>
            <w:rFonts w:ascii="宋体" w:eastAsia="宋体" w:hAnsi="宋体" w:cs="宋体" w:hint="eastAsia"/>
            <w:bCs w:val="0"/>
            <w:szCs w:val="28"/>
            <w:lang w:eastAsia="zh-CN"/>
          </w:rPr>
          <w:t>(二)、非金属粉末行业新型运营方式</w:t>
        </w:r>
        <w:r>
          <w:tab/>
        </w:r>
        <w:r>
          <w:fldChar w:fldCharType="begin"/>
        </w:r>
        <w:r>
          <w:instrText xml:space="preserve"> PAGEREF _Toc10972 \h </w:instrText>
        </w:r>
        <w:r>
          <w:fldChar w:fldCharType="separate"/>
        </w:r>
        <w:r>
          <w:t>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5792" w:history="1">
        <w:r>
          <w:rPr>
            <w:rFonts w:ascii="宋体" w:eastAsia="宋体" w:hAnsi="宋体" w:cs="宋体" w:hint="eastAsia"/>
            <w:bCs w:val="0"/>
            <w:szCs w:val="28"/>
            <w:lang w:eastAsia="zh-CN"/>
          </w:rPr>
          <w:t>(三)、非金属粉末行业风险管理</w:t>
        </w:r>
        <w:r>
          <w:tab/>
        </w:r>
        <w:r>
          <w:fldChar w:fldCharType="begin"/>
        </w:r>
        <w:r>
          <w:instrText xml:space="preserve"> PAGEREF _Toc25792 \h </w:instrText>
        </w:r>
        <w:r>
          <w:fldChar w:fldCharType="separate"/>
        </w:r>
        <w:r>
          <w:t>10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4848" w:history="1">
        <w:r>
          <w:rPr>
            <w:rFonts w:ascii="微软雅黑" w:eastAsia="微软雅黑" w:hAnsi="微软雅黑" w:cs="微软雅黑" w:hint="eastAsia"/>
            <w:color w:val="001CAC" w:themeColor="hyperlink" w:themeShade="BF"/>
            <w:szCs w:val="32"/>
            <w:lang w:eastAsia="zh-CN"/>
          </w:rPr>
          <w:t>二、非金属粉末行业财务管理分析</w:t>
        </w:r>
        <w:r>
          <w:tab/>
        </w:r>
        <w:r>
          <w:fldChar w:fldCharType="begin"/>
        </w:r>
        <w:r>
          <w:instrText xml:space="preserve"> PAGEREF _Toc4848 \h </w:instrText>
        </w:r>
        <w:r>
          <w:fldChar w:fldCharType="separate"/>
        </w:r>
        <w:r>
          <w:t>14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5753" w:history="1">
        <w:r>
          <w:rPr>
            <w:rFonts w:ascii="宋体" w:eastAsia="宋体" w:hAnsi="宋体" w:cs="宋体" w:hint="eastAsia"/>
            <w:bCs w:val="0"/>
            <w:szCs w:val="28"/>
            <w:lang w:eastAsia="zh-CN"/>
          </w:rPr>
          <w:t>(一)、非金属粉末行业财务管理制度</w:t>
        </w:r>
        <w:r>
          <w:tab/>
        </w:r>
        <w:r>
          <w:fldChar w:fldCharType="begin"/>
        </w:r>
        <w:r>
          <w:instrText xml:space="preserve"> PAGEREF _Toc5753 \h </w:instrText>
        </w:r>
        <w:r>
          <w:fldChar w:fldCharType="separate"/>
        </w:r>
        <w:r>
          <w:t>14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5489" w:history="1">
        <w:r>
          <w:rPr>
            <w:rFonts w:ascii="宋体" w:eastAsia="宋体" w:hAnsi="宋体" w:cs="宋体" w:hint="eastAsia"/>
            <w:bCs w:val="0"/>
            <w:szCs w:val="28"/>
            <w:lang w:eastAsia="zh-CN"/>
          </w:rPr>
          <w:t>(二)、非金属粉末行业经济效益分析</w:t>
        </w:r>
        <w:r>
          <w:tab/>
        </w:r>
        <w:r>
          <w:fldChar w:fldCharType="begin"/>
        </w:r>
        <w:r>
          <w:instrText xml:space="preserve"> PAGEREF _Toc15489 \h </w:instrText>
        </w:r>
        <w:r>
          <w:fldChar w:fldCharType="separate"/>
        </w:r>
        <w:r>
          <w:t>15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6547" w:history="1">
        <w:r>
          <w:rPr>
            <w:rFonts w:ascii="宋体" w:eastAsia="宋体" w:hAnsi="宋体" w:cs="宋体" w:hint="eastAsia"/>
            <w:bCs w:val="0"/>
            <w:szCs w:val="28"/>
            <w:lang w:eastAsia="zh-CN"/>
          </w:rPr>
          <w:t>(三)、非金属粉末行业收入及成本核算</w:t>
        </w:r>
        <w:r>
          <w:tab/>
        </w:r>
        <w:r>
          <w:fldChar w:fldCharType="begin"/>
        </w:r>
        <w:r>
          <w:instrText xml:space="preserve"> PAGEREF _Toc26547 \h </w:instrText>
        </w:r>
        <w:r>
          <w:fldChar w:fldCharType="separate"/>
        </w:r>
        <w:r>
          <w:t>17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6557" w:history="1">
        <w:r>
          <w:rPr>
            <w:rFonts w:ascii="宋体" w:eastAsia="宋体" w:hAnsi="宋体" w:cs="宋体" w:hint="eastAsia"/>
            <w:bCs w:val="0"/>
            <w:szCs w:val="28"/>
            <w:lang w:eastAsia="zh-CN"/>
          </w:rPr>
          <w:t>(四)、非金属粉末行业成本管理</w:t>
        </w:r>
        <w:r>
          <w:tab/>
        </w:r>
        <w:r>
          <w:fldChar w:fldCharType="begin"/>
        </w:r>
        <w:r>
          <w:instrText xml:space="preserve"> PAGEREF _Toc16557 \h </w:instrText>
        </w:r>
        <w:r>
          <w:fldChar w:fldCharType="separate"/>
        </w:r>
        <w:r>
          <w:t>18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20152" w:history="1">
        <w:r>
          <w:rPr>
            <w:rFonts w:ascii="微软雅黑" w:eastAsia="微软雅黑" w:hAnsi="微软雅黑" w:cs="微软雅黑" w:hint="eastAsia"/>
            <w:color w:val="001CAC" w:themeColor="hyperlink" w:themeShade="BF"/>
            <w:szCs w:val="32"/>
            <w:lang w:eastAsia="zh-CN"/>
          </w:rPr>
          <w:t>三、可持续发展与绿色经营</w:t>
        </w:r>
        <w:r>
          <w:tab/>
        </w:r>
        <w:r>
          <w:fldChar w:fldCharType="begin"/>
        </w:r>
        <w:r>
          <w:instrText xml:space="preserve"> PAGEREF _Toc20152 \h </w:instrText>
        </w:r>
        <w:r>
          <w:fldChar w:fldCharType="separate"/>
        </w:r>
        <w:r>
          <w:t>22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8094" w:history="1">
        <w:r>
          <w:rPr>
            <w:rFonts w:ascii="宋体" w:eastAsia="宋体" w:hAnsi="宋体" w:cs="宋体" w:hint="eastAsia"/>
            <w:bCs w:val="0"/>
            <w:szCs w:val="28"/>
            <w:lang w:eastAsia="zh-CN"/>
          </w:rPr>
          <w:t>(一)、可持续发展战略与目标</w:t>
        </w:r>
        <w:r>
          <w:tab/>
        </w:r>
        <w:r>
          <w:fldChar w:fldCharType="begin"/>
        </w:r>
        <w:r>
          <w:instrText xml:space="preserve"> PAGEREF _Toc8094 \h </w:instrText>
        </w:r>
        <w:r>
          <w:fldChar w:fldCharType="separate"/>
        </w:r>
        <w:r>
          <w:t>22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0762" w:history="1">
        <w:r>
          <w:rPr>
            <w:rFonts w:ascii="宋体" w:eastAsia="宋体" w:hAnsi="宋体" w:cs="宋体" w:hint="eastAsia"/>
            <w:bCs w:val="0"/>
            <w:szCs w:val="28"/>
            <w:lang w:eastAsia="zh-CN"/>
          </w:rPr>
          <w:t>(二)、环保政策与实践</w:t>
        </w:r>
        <w:r>
          <w:tab/>
        </w:r>
        <w:r>
          <w:fldChar w:fldCharType="begin"/>
        </w:r>
        <w:r>
          <w:instrText xml:space="preserve"> PAGEREF _Toc10762 \h </w:instrText>
        </w:r>
        <w:r>
          <w:fldChar w:fldCharType="separate"/>
        </w:r>
        <w:r>
          <w:t>24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266" w:history="1">
        <w:r>
          <w:rPr>
            <w:rFonts w:ascii="宋体" w:eastAsia="宋体" w:hAnsi="宋体" w:cs="宋体" w:hint="eastAsia"/>
            <w:bCs w:val="0"/>
            <w:szCs w:val="28"/>
            <w:lang w:eastAsia="zh-CN"/>
          </w:rPr>
          <w:t>(三)、资源利用与循环经济</w:t>
        </w:r>
        <w:r>
          <w:tab/>
        </w:r>
        <w:r>
          <w:fldChar w:fldCharType="begin"/>
        </w:r>
        <w:r>
          <w:instrText xml:space="preserve"> PAGEREF _Toc2266 \h </w:instrText>
        </w:r>
        <w:r>
          <w:fldChar w:fldCharType="separate"/>
        </w:r>
        <w:r>
          <w:t>26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0959" w:history="1">
        <w:r>
          <w:rPr>
            <w:rFonts w:ascii="宋体" w:eastAsia="宋体" w:hAnsi="宋体" w:cs="宋体" w:hint="eastAsia"/>
            <w:bCs w:val="0"/>
            <w:szCs w:val="28"/>
            <w:lang w:eastAsia="zh-CN"/>
          </w:rPr>
          <w:t>(四)、碳中和与生态足迹</w:t>
        </w:r>
        <w:r>
          <w:tab/>
        </w:r>
        <w:r>
          <w:fldChar w:fldCharType="begin"/>
        </w:r>
        <w:r>
          <w:instrText xml:space="preserve"> PAGEREF _Toc20959 \h </w:instrText>
        </w:r>
        <w:r>
          <w:fldChar w:fldCharType="separate"/>
        </w:r>
        <w:r>
          <w:t>27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26469" w:history="1">
        <w:r>
          <w:rPr>
            <w:rFonts w:ascii="微软雅黑" w:eastAsia="微软雅黑" w:hAnsi="微软雅黑" w:cs="微软雅黑" w:hint="eastAsia"/>
            <w:color w:val="001CAC" w:themeColor="hyperlink" w:themeShade="BF"/>
            <w:szCs w:val="32"/>
            <w:lang w:eastAsia="zh-CN"/>
          </w:rPr>
          <w:t>四、非金属粉末行业质量管理方案</w:t>
        </w:r>
        <w:r>
          <w:tab/>
        </w:r>
        <w:r>
          <w:fldChar w:fldCharType="begin"/>
        </w:r>
        <w:r>
          <w:instrText xml:space="preserve"> PAGEREF _Toc26469 \h </w:instrText>
        </w:r>
        <w:r>
          <w:fldChar w:fldCharType="separate"/>
        </w:r>
        <w:r>
          <w:t>29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2866" w:history="1">
        <w:r>
          <w:rPr>
            <w:rFonts w:ascii="宋体" w:eastAsia="宋体" w:hAnsi="宋体" w:cs="宋体" w:hint="eastAsia"/>
            <w:bCs w:val="0"/>
            <w:szCs w:val="28"/>
            <w:lang w:eastAsia="zh-CN"/>
          </w:rPr>
          <w:t>(一)、非金属粉末行业质量管理要求</w:t>
        </w:r>
        <w:r>
          <w:tab/>
        </w:r>
        <w:r>
          <w:fldChar w:fldCharType="begin"/>
        </w:r>
        <w:r>
          <w:instrText xml:space="preserve"> PAGEREF _Toc12866 \h </w:instrText>
        </w:r>
        <w:r>
          <w:fldChar w:fldCharType="separate"/>
        </w:r>
        <w:r>
          <w:t>29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2476" w:history="1">
        <w:r>
          <w:rPr>
            <w:rFonts w:ascii="宋体" w:eastAsia="宋体" w:hAnsi="宋体" w:cs="宋体" w:hint="eastAsia"/>
            <w:bCs w:val="0"/>
            <w:szCs w:val="28"/>
            <w:lang w:eastAsia="zh-CN"/>
          </w:rPr>
          <w:t>(二)、非金属粉末行业服务质量管理方案</w:t>
        </w:r>
        <w:r>
          <w:tab/>
        </w:r>
        <w:r>
          <w:fldChar w:fldCharType="begin"/>
        </w:r>
        <w:r>
          <w:instrText xml:space="preserve"> PAGEREF _Toc22476 \h </w:instrText>
        </w:r>
        <w:r>
          <w:fldChar w:fldCharType="separate"/>
        </w:r>
        <w:r>
          <w:t>30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7033" w:history="1">
        <w:r>
          <w:rPr>
            <w:rFonts w:ascii="宋体" w:eastAsia="宋体" w:hAnsi="宋体" w:cs="宋体" w:hint="eastAsia"/>
            <w:bCs w:val="0"/>
            <w:szCs w:val="28"/>
            <w:lang w:eastAsia="zh-CN"/>
          </w:rPr>
          <w:t>(三)、非金属粉末行业质量成本管理方案</w:t>
        </w:r>
        <w:r>
          <w:tab/>
        </w:r>
        <w:r>
          <w:fldChar w:fldCharType="begin"/>
        </w:r>
        <w:r>
          <w:instrText xml:space="preserve"> PAGEREF _Toc7033 \h </w:instrText>
        </w:r>
        <w:r>
          <w:fldChar w:fldCharType="separate"/>
        </w:r>
        <w:r>
          <w:t>31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8067" w:history="1">
        <w:r>
          <w:rPr>
            <w:rFonts w:ascii="微软雅黑" w:eastAsia="微软雅黑" w:hAnsi="微软雅黑" w:cs="微软雅黑" w:hint="eastAsia"/>
            <w:color w:val="001CAC" w:themeColor="hyperlink" w:themeShade="BF"/>
            <w:szCs w:val="32"/>
            <w:lang w:eastAsia="zh-CN"/>
          </w:rPr>
          <w:t>五、环境与社会责任</w:t>
        </w:r>
        <w:r>
          <w:tab/>
        </w:r>
        <w:r>
          <w:fldChar w:fldCharType="begin"/>
        </w:r>
        <w:r>
          <w:instrText xml:space="preserve"> PAGEREF _Toc8067 \h </w:instrText>
        </w:r>
        <w:r>
          <w:fldChar w:fldCharType="separate"/>
        </w:r>
        <w:r>
          <w:t>32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8801" w:history="1">
        <w:r>
          <w:rPr>
            <w:rFonts w:ascii="宋体" w:eastAsia="宋体" w:hAnsi="宋体" w:cs="宋体" w:hint="eastAsia"/>
            <w:bCs w:val="0"/>
            <w:szCs w:val="28"/>
            <w:lang w:eastAsia="zh-CN"/>
          </w:rPr>
          <w:t>(一)、环境影响评估</w:t>
        </w:r>
        <w:r>
          <w:tab/>
        </w:r>
        <w:r>
          <w:fldChar w:fldCharType="begin"/>
        </w:r>
        <w:r>
          <w:instrText xml:space="preserve"> PAGEREF _Toc8801 \h </w:instrText>
        </w:r>
        <w:r>
          <w:fldChar w:fldCharType="separate"/>
        </w:r>
        <w:r>
          <w:t>32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4402" w:history="1">
        <w:r>
          <w:rPr>
            <w:rFonts w:ascii="宋体" w:eastAsia="宋体" w:hAnsi="宋体" w:cs="宋体" w:hint="eastAsia"/>
            <w:bCs w:val="0"/>
            <w:szCs w:val="28"/>
            <w:lang w:eastAsia="zh-CN"/>
          </w:rPr>
          <w:t>(二)、社会责任与可持续发展</w:t>
        </w:r>
        <w:r>
          <w:tab/>
        </w:r>
        <w:r>
          <w:fldChar w:fldCharType="begin"/>
        </w:r>
        <w:r>
          <w:instrText xml:space="preserve"> PAGEREF _Toc14402 \h </w:instrText>
        </w:r>
        <w:r>
          <w:fldChar w:fldCharType="separate"/>
        </w:r>
        <w:r>
          <w:t>33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30940" w:history="1">
        <w:r>
          <w:rPr>
            <w:rFonts w:ascii="微软雅黑" w:eastAsia="微软雅黑" w:hAnsi="微软雅黑" w:cs="微软雅黑" w:hint="eastAsia"/>
            <w:color w:val="001CAC" w:themeColor="hyperlink" w:themeShade="BF"/>
            <w:szCs w:val="32"/>
            <w:lang w:eastAsia="zh-CN"/>
          </w:rPr>
          <w:t>六、非金属粉末行业人才招聘与发展</w:t>
        </w:r>
        <w:r>
          <w:tab/>
        </w:r>
        <w:r>
          <w:fldChar w:fldCharType="begin"/>
        </w:r>
        <w:r>
          <w:instrText xml:space="preserve"> PAGEREF _Toc30940 \h </w:instrText>
        </w:r>
        <w:r>
          <w:fldChar w:fldCharType="separate"/>
        </w:r>
        <w:r>
          <w:t>33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2344" w:history="1">
        <w:r>
          <w:rPr>
            <w:rFonts w:ascii="宋体" w:eastAsia="宋体" w:hAnsi="宋体" w:cs="宋体" w:hint="eastAsia"/>
            <w:bCs w:val="0"/>
            <w:szCs w:val="28"/>
            <w:lang w:eastAsia="zh-CN"/>
          </w:rPr>
          <w:t>(一)、人才需求分析</w:t>
        </w:r>
        <w:r>
          <w:tab/>
        </w:r>
        <w:r>
          <w:fldChar w:fldCharType="begin"/>
        </w:r>
        <w:r>
          <w:instrText xml:space="preserve"> PAGEREF _Toc22344 \h </w:instrText>
        </w:r>
        <w:r>
          <w:fldChar w:fldCharType="separate"/>
        </w:r>
        <w:r>
          <w:t>33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9866" w:history="1">
        <w:r>
          <w:rPr>
            <w:rFonts w:ascii="宋体" w:eastAsia="宋体" w:hAnsi="宋体" w:cs="宋体" w:hint="eastAsia"/>
            <w:bCs w:val="0"/>
            <w:szCs w:val="28"/>
            <w:lang w:eastAsia="zh-CN"/>
          </w:rPr>
          <w:t>(二)、招聘计划与流程</w:t>
        </w:r>
        <w:r>
          <w:tab/>
        </w:r>
        <w:r>
          <w:fldChar w:fldCharType="begin"/>
        </w:r>
        <w:r>
          <w:instrText xml:space="preserve"> PAGEREF _Toc9866 \h </w:instrText>
        </w:r>
        <w:r>
          <w:fldChar w:fldCharType="separate"/>
        </w:r>
        <w:r>
          <w:t>35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2438" w:history="1">
        <w:r>
          <w:rPr>
            <w:rFonts w:ascii="宋体" w:eastAsia="宋体" w:hAnsi="宋体" w:cs="宋体" w:hint="eastAsia"/>
            <w:bCs w:val="0"/>
            <w:szCs w:val="28"/>
            <w:lang w:eastAsia="zh-CN"/>
          </w:rPr>
          <w:t>(三)、员工培训与发展</w:t>
        </w:r>
        <w:r>
          <w:tab/>
        </w:r>
        <w:r>
          <w:fldChar w:fldCharType="begin"/>
        </w:r>
        <w:r>
          <w:instrText xml:space="preserve"> PAGEREF _Toc22438 \h </w:instrText>
        </w:r>
        <w:r>
          <w:fldChar w:fldCharType="separate"/>
        </w:r>
        <w:r>
          <w:t>37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164" w:history="1">
        <w:r>
          <w:rPr>
            <w:rFonts w:ascii="宋体" w:eastAsia="宋体" w:hAnsi="宋体" w:cs="宋体" w:hint="eastAsia"/>
            <w:bCs w:val="0"/>
            <w:szCs w:val="28"/>
            <w:lang w:eastAsia="zh-CN"/>
          </w:rPr>
          <w:t>(四)、绩效考核与激励</w:t>
        </w:r>
        <w:r>
          <w:tab/>
        </w:r>
        <w:r>
          <w:fldChar w:fldCharType="begin"/>
        </w:r>
        <w:r>
          <w:instrText xml:space="preserve"> PAGEREF _Toc3164 \h </w:instrText>
        </w:r>
        <w:r>
          <w:fldChar w:fldCharType="separate"/>
        </w:r>
        <w:r>
          <w:t>38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6632" w:history="1">
        <w:r>
          <w:rPr>
            <w:rFonts w:ascii="宋体" w:eastAsia="宋体" w:hAnsi="宋体" w:cs="宋体" w:hint="eastAsia"/>
            <w:bCs w:val="0"/>
            <w:szCs w:val="28"/>
            <w:lang w:eastAsia="zh-CN"/>
          </w:rPr>
          <w:t>(五)、人才流动与留存</w:t>
        </w:r>
        <w:r>
          <w:tab/>
        </w:r>
        <w:r>
          <w:fldChar w:fldCharType="begin"/>
        </w:r>
        <w:r>
          <w:instrText xml:space="preserve"> PAGEREF _Toc26632 \h </w:instrText>
        </w:r>
        <w:r>
          <w:fldChar w:fldCharType="separate"/>
        </w:r>
        <w:r>
          <w:t>39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12749" w:history="1">
        <w:r>
          <w:rPr>
            <w:rFonts w:ascii="微软雅黑" w:eastAsia="微软雅黑" w:hAnsi="微软雅黑" w:cs="微软雅黑" w:hint="eastAsia"/>
            <w:color w:val="001CAC" w:themeColor="hyperlink" w:themeShade="BF"/>
            <w:szCs w:val="32"/>
            <w:lang w:eastAsia="zh-CN"/>
          </w:rPr>
          <w:t>七、非金属粉末行业市场营销分析</w:t>
        </w:r>
        <w:r>
          <w:tab/>
        </w:r>
        <w:r>
          <w:fldChar w:fldCharType="begin"/>
        </w:r>
        <w:r>
          <w:instrText xml:space="preserve"> PAGEREF _Toc12749 \h </w:instrText>
        </w:r>
        <w:r>
          <w:fldChar w:fldCharType="separate"/>
        </w:r>
        <w:r>
          <w:t>40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8080" w:history="1">
        <w:r>
          <w:rPr>
            <w:rFonts w:ascii="宋体" w:eastAsia="宋体" w:hAnsi="宋体" w:cs="宋体" w:hint="eastAsia"/>
            <w:bCs w:val="0"/>
            <w:szCs w:val="28"/>
            <w:lang w:eastAsia="zh-CN"/>
          </w:rPr>
          <w:t>(一)、非金属粉末行业市场营销总体思路</w:t>
        </w:r>
        <w:r>
          <w:tab/>
        </w:r>
        <w:r>
          <w:fldChar w:fldCharType="begin"/>
        </w:r>
        <w:r>
          <w:instrText xml:space="preserve"> PAGEREF _Toc8080 \h </w:instrText>
        </w:r>
        <w:r>
          <w:fldChar w:fldCharType="separate"/>
        </w:r>
        <w:r>
          <w:t>40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4286" w:history="1">
        <w:r>
          <w:rPr>
            <w:rFonts w:ascii="宋体" w:eastAsia="宋体" w:hAnsi="宋体" w:cs="宋体" w:hint="eastAsia"/>
            <w:bCs w:val="0"/>
            <w:szCs w:val="28"/>
            <w:lang w:eastAsia="zh-CN"/>
          </w:rPr>
          <w:t>(二)、非金属粉末行业组织市场分析</w:t>
        </w:r>
        <w:r>
          <w:tab/>
        </w:r>
        <w:r>
          <w:fldChar w:fldCharType="begin"/>
        </w:r>
        <w:r>
          <w:instrText xml:space="preserve"> PAGEREF _Toc4286 \h </w:instrText>
        </w:r>
        <w:r>
          <w:fldChar w:fldCharType="separate"/>
        </w:r>
        <w:r>
          <w:t>42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1425" w:history="1">
        <w:r>
          <w:rPr>
            <w:rFonts w:ascii="宋体" w:eastAsia="宋体" w:hAnsi="宋体" w:cs="宋体" w:hint="eastAsia"/>
            <w:bCs w:val="0"/>
            <w:szCs w:val="28"/>
            <w:lang w:eastAsia="zh-CN"/>
          </w:rPr>
          <w:t>(三)、非金属粉末行业目标市场营销战略</w:t>
        </w:r>
        <w:r>
          <w:tab/>
        </w:r>
        <w:r>
          <w:fldChar w:fldCharType="begin"/>
        </w:r>
        <w:r>
          <w:instrText xml:space="preserve"> PAGEREF _Toc31425 \h </w:instrText>
        </w:r>
        <w:r>
          <w:fldChar w:fldCharType="separate"/>
        </w:r>
        <w:r>
          <w:t>43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  <w:sectPr>
          <w:headerReference w:type="default" r:id="rId6"/>
          <w:footerReference w:type="default" r:id="rId7"/>
          <w:type w:val="nextPage"/>
          <w:pgSz w:w="11906" w:h="16838"/>
          <w:pgMar w:top="1440" w:right="1800" w:bottom="1440" w:left="1800" w:header="851" w:footer="992" w:gutter="0"/>
          <w:pgNumType w:start="2"/>
          <w:cols w:num="1" w:space="425"/>
          <w:titlePg w:val="0"/>
          <w:docGrid w:type="lines" w:linePitch="312" w:charSpace="0"/>
        </w:sectPr>
      </w:pPr>
      <w:hyperlink w:anchor="_Toc32067" w:history="1">
        <w:r>
          <w:rPr>
            <w:rFonts w:ascii="宋体" w:eastAsia="宋体" w:hAnsi="宋体" w:cs="宋体" w:hint="eastAsia"/>
            <w:bCs w:val="0"/>
            <w:szCs w:val="28"/>
            <w:lang w:eastAsia="zh-CN"/>
          </w:rPr>
          <w:t>(四)、非金属粉末行业定价策略</w:t>
        </w:r>
        <w:r>
          <w:tab/>
        </w:r>
        <w:r>
          <w:fldChar w:fldCharType="begin"/>
        </w:r>
        <w:r>
          <w:instrText xml:space="preserve"> PAGEREF _Toc32067 \h </w:instrText>
        </w:r>
        <w:r>
          <w:fldChar w:fldCharType="separate"/>
        </w:r>
        <w:r>
          <w:t>44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188" w:history="1">
        <w:r>
          <w:rPr>
            <w:rFonts w:ascii="宋体" w:eastAsia="宋体" w:hAnsi="宋体" w:cs="宋体" w:hint="eastAsia"/>
            <w:bCs w:val="0"/>
            <w:szCs w:val="28"/>
            <w:lang w:eastAsia="zh-CN"/>
          </w:rPr>
          <w:t>(五)、非金属粉末行业促销策略</w:t>
        </w:r>
        <w:r>
          <w:tab/>
        </w:r>
        <w:r>
          <w:fldChar w:fldCharType="begin"/>
        </w:r>
        <w:r>
          <w:instrText xml:space="preserve"> PAGEREF _Toc2188 \h </w:instrText>
        </w:r>
        <w:r>
          <w:fldChar w:fldCharType="separate"/>
        </w:r>
        <w:r>
          <w:t>46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8912" w:history="1">
        <w:r>
          <w:rPr>
            <w:rFonts w:ascii="宋体" w:eastAsia="宋体" w:hAnsi="宋体" w:cs="宋体" w:hint="eastAsia"/>
            <w:bCs w:val="0"/>
            <w:szCs w:val="28"/>
            <w:lang w:eastAsia="zh-CN"/>
          </w:rPr>
          <w:t>(六)、非金属粉末行业品牌策略</w:t>
        </w:r>
        <w:r>
          <w:tab/>
        </w:r>
        <w:r>
          <w:fldChar w:fldCharType="begin"/>
        </w:r>
        <w:r>
          <w:instrText xml:space="preserve"> PAGEREF _Toc28912 \h </w:instrText>
        </w:r>
        <w:r>
          <w:fldChar w:fldCharType="separate"/>
        </w:r>
        <w:r>
          <w:t>48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4349" w:history="1">
        <w:r>
          <w:rPr>
            <w:rFonts w:ascii="宋体" w:eastAsia="宋体" w:hAnsi="宋体" w:cs="宋体" w:hint="eastAsia"/>
            <w:bCs w:val="0"/>
            <w:szCs w:val="28"/>
            <w:lang w:eastAsia="zh-CN"/>
          </w:rPr>
          <w:t>(七)、非金属粉末行业关系营销</w:t>
        </w:r>
        <w:r>
          <w:tab/>
        </w:r>
        <w:r>
          <w:fldChar w:fldCharType="begin"/>
        </w:r>
        <w:r>
          <w:instrText xml:space="preserve"> PAGEREF _Toc4349 \h </w:instrText>
        </w:r>
        <w:r>
          <w:fldChar w:fldCharType="separate"/>
        </w:r>
        <w:r>
          <w:t>50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2091" w:history="1">
        <w:r>
          <w:rPr>
            <w:rFonts w:ascii="宋体" w:eastAsia="宋体" w:hAnsi="宋体" w:cs="宋体" w:hint="eastAsia"/>
            <w:bCs w:val="0"/>
            <w:szCs w:val="28"/>
            <w:lang w:eastAsia="zh-CN"/>
          </w:rPr>
          <w:t>(八)、非金属粉末行业体验营销</w:t>
        </w:r>
        <w:r>
          <w:tab/>
        </w:r>
        <w:r>
          <w:fldChar w:fldCharType="begin"/>
        </w:r>
        <w:r>
          <w:instrText xml:space="preserve"> PAGEREF _Toc32091 \h </w:instrText>
        </w:r>
        <w:r>
          <w:fldChar w:fldCharType="separate"/>
        </w:r>
        <w:r>
          <w:t>52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589" w:history="1">
        <w:r>
          <w:rPr>
            <w:rFonts w:ascii="宋体" w:eastAsia="宋体" w:hAnsi="宋体" w:cs="宋体" w:hint="eastAsia"/>
            <w:bCs w:val="0"/>
            <w:szCs w:val="28"/>
            <w:lang w:eastAsia="zh-CN"/>
          </w:rPr>
          <w:t>(九)、非金属粉末行业互联网营销</w:t>
        </w:r>
        <w:r>
          <w:tab/>
        </w:r>
        <w:r>
          <w:fldChar w:fldCharType="begin"/>
        </w:r>
        <w:r>
          <w:instrText xml:space="preserve"> PAGEREF _Toc2589 \h </w:instrText>
        </w:r>
        <w:r>
          <w:fldChar w:fldCharType="separate"/>
        </w:r>
        <w:r>
          <w:t>53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2039" w:history="1">
        <w:r>
          <w:rPr>
            <w:rFonts w:ascii="微软雅黑" w:eastAsia="微软雅黑" w:hAnsi="微软雅黑" w:cs="微软雅黑" w:hint="eastAsia"/>
            <w:color w:val="001CAC" w:themeColor="hyperlink" w:themeShade="BF"/>
            <w:szCs w:val="32"/>
            <w:lang w:eastAsia="zh-CN"/>
          </w:rPr>
          <w:t>八、项目技术流程</w:t>
        </w:r>
        <w:r>
          <w:tab/>
        </w:r>
        <w:r>
          <w:fldChar w:fldCharType="begin"/>
        </w:r>
        <w:r>
          <w:instrText xml:space="preserve"> PAGEREF _Toc2039 \h </w:instrText>
        </w:r>
        <w:r>
          <w:fldChar w:fldCharType="separate"/>
        </w:r>
        <w:r>
          <w:t>55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5370" w:history="1">
        <w:r>
          <w:rPr>
            <w:rFonts w:ascii="宋体" w:eastAsia="宋体" w:hAnsi="宋体" w:cs="宋体" w:hint="eastAsia"/>
            <w:bCs w:val="0"/>
            <w:szCs w:val="28"/>
            <w:lang w:eastAsia="zh-CN"/>
          </w:rPr>
          <w:t>(一)、技术方案选择</w:t>
        </w:r>
        <w:r>
          <w:tab/>
        </w:r>
        <w:r>
          <w:fldChar w:fldCharType="begin"/>
        </w:r>
        <w:r>
          <w:instrText xml:space="preserve"> PAGEREF _Toc5370 \h </w:instrText>
        </w:r>
        <w:r>
          <w:fldChar w:fldCharType="separate"/>
        </w:r>
        <w:r>
          <w:t>55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6751" w:history="1">
        <w:r>
          <w:rPr>
            <w:rFonts w:ascii="宋体" w:eastAsia="宋体" w:hAnsi="宋体" w:cs="宋体" w:hint="eastAsia"/>
            <w:bCs w:val="0"/>
            <w:szCs w:val="28"/>
            <w:lang w:eastAsia="zh-CN"/>
          </w:rPr>
          <w:t>(二)、设备选型方案</w:t>
        </w:r>
        <w:r>
          <w:tab/>
        </w:r>
        <w:r>
          <w:fldChar w:fldCharType="begin"/>
        </w:r>
        <w:r>
          <w:instrText xml:space="preserve"> PAGEREF _Toc16751 \h </w:instrText>
        </w:r>
        <w:r>
          <w:fldChar w:fldCharType="separate"/>
        </w:r>
        <w:r>
          <w:t>56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9458" w:history="1">
        <w:r>
          <w:rPr>
            <w:rFonts w:ascii="宋体" w:eastAsia="宋体" w:hAnsi="宋体" w:cs="宋体" w:hint="eastAsia"/>
            <w:bCs w:val="0"/>
            <w:szCs w:val="28"/>
            <w:lang w:eastAsia="zh-CN"/>
          </w:rPr>
          <w:t>(三)、技术流程与工艺设计</w:t>
        </w:r>
        <w:r>
          <w:tab/>
        </w:r>
        <w:r>
          <w:fldChar w:fldCharType="begin"/>
        </w:r>
        <w:r>
          <w:instrText xml:space="preserve"> PAGEREF _Toc19458 \h </w:instrText>
        </w:r>
        <w:r>
          <w:fldChar w:fldCharType="separate"/>
        </w:r>
        <w:r>
          <w:t>56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7464" w:history="1">
        <w:r>
          <w:rPr>
            <w:rFonts w:ascii="微软雅黑" w:eastAsia="微软雅黑" w:hAnsi="微软雅黑" w:cs="微软雅黑" w:hint="eastAsia"/>
            <w:color w:val="001CAC" w:themeColor="hyperlink" w:themeShade="BF"/>
            <w:szCs w:val="32"/>
            <w:lang w:eastAsia="zh-CN"/>
          </w:rPr>
          <w:t>九、非金属粉末行业人力资源管理策略</w:t>
        </w:r>
        <w:r>
          <w:tab/>
        </w:r>
        <w:r>
          <w:fldChar w:fldCharType="begin"/>
        </w:r>
        <w:r>
          <w:instrText xml:space="preserve"> PAGEREF _Toc7464 \h </w:instrText>
        </w:r>
        <w:r>
          <w:fldChar w:fldCharType="separate"/>
        </w:r>
        <w:r>
          <w:t>58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3577" w:history="1">
        <w:r>
          <w:rPr>
            <w:rFonts w:ascii="宋体" w:eastAsia="宋体" w:hAnsi="宋体" w:cs="宋体" w:hint="eastAsia"/>
            <w:bCs w:val="0"/>
            <w:szCs w:val="28"/>
            <w:lang w:eastAsia="zh-CN"/>
          </w:rPr>
          <w:t>(一)、非金属粉末行业人力资源管理原则</w:t>
        </w:r>
        <w:r>
          <w:tab/>
        </w:r>
        <w:r>
          <w:fldChar w:fldCharType="begin"/>
        </w:r>
        <w:r>
          <w:instrText xml:space="preserve"> PAGEREF _Toc13577 \h </w:instrText>
        </w:r>
        <w:r>
          <w:fldChar w:fldCharType="separate"/>
        </w:r>
        <w:r>
          <w:t>58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9083" w:history="1">
        <w:r>
          <w:rPr>
            <w:rFonts w:ascii="宋体" w:eastAsia="宋体" w:hAnsi="宋体" w:cs="宋体" w:hint="eastAsia"/>
            <w:bCs w:val="0"/>
            <w:szCs w:val="28"/>
            <w:lang w:eastAsia="zh-CN"/>
          </w:rPr>
          <w:t>(二)、非金属粉末行业劳动关系管理</w:t>
        </w:r>
        <w:r>
          <w:tab/>
        </w:r>
        <w:r>
          <w:fldChar w:fldCharType="begin"/>
        </w:r>
        <w:r>
          <w:instrText xml:space="preserve"> PAGEREF _Toc29083 \h </w:instrText>
        </w:r>
        <w:r>
          <w:fldChar w:fldCharType="separate"/>
        </w:r>
        <w:r>
          <w:t>61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1927" w:history="1">
        <w:r>
          <w:rPr>
            <w:rFonts w:ascii="宋体" w:eastAsia="宋体" w:hAnsi="宋体" w:cs="宋体" w:hint="eastAsia"/>
            <w:bCs w:val="0"/>
            <w:szCs w:val="28"/>
            <w:lang w:eastAsia="zh-CN"/>
          </w:rPr>
          <w:t>(三)、非金属粉末行业人员配置方案</w:t>
        </w:r>
        <w:r>
          <w:tab/>
        </w:r>
        <w:r>
          <w:fldChar w:fldCharType="begin"/>
        </w:r>
        <w:r>
          <w:instrText xml:space="preserve"> PAGEREF _Toc31927 \h </w:instrText>
        </w:r>
        <w:r>
          <w:fldChar w:fldCharType="separate"/>
        </w:r>
        <w:r>
          <w:t>62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8827" w:history="1">
        <w:r>
          <w:rPr>
            <w:rFonts w:ascii="宋体" w:eastAsia="宋体" w:hAnsi="宋体" w:cs="宋体" w:hint="eastAsia"/>
            <w:bCs w:val="0"/>
            <w:szCs w:val="28"/>
            <w:lang w:eastAsia="zh-CN"/>
          </w:rPr>
          <w:t>(四)、非金属粉末行业员工招聘方案</w:t>
        </w:r>
        <w:r>
          <w:tab/>
        </w:r>
        <w:r>
          <w:fldChar w:fldCharType="begin"/>
        </w:r>
        <w:r>
          <w:instrText xml:space="preserve"> PAGEREF _Toc28827 \h </w:instrText>
        </w:r>
        <w:r>
          <w:fldChar w:fldCharType="separate"/>
        </w:r>
        <w:r>
          <w:t>63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636" w:history="1">
        <w:r>
          <w:rPr>
            <w:rFonts w:ascii="宋体" w:eastAsia="宋体" w:hAnsi="宋体" w:cs="宋体" w:hint="eastAsia"/>
            <w:bCs w:val="0"/>
            <w:szCs w:val="28"/>
            <w:lang w:eastAsia="zh-CN"/>
          </w:rPr>
          <w:t>(五)、非金属粉末行业绩效和薪酬管理方案</w:t>
        </w:r>
        <w:r>
          <w:tab/>
        </w:r>
        <w:r>
          <w:fldChar w:fldCharType="begin"/>
        </w:r>
        <w:r>
          <w:instrText xml:space="preserve"> PAGEREF _Toc3636 \h </w:instrText>
        </w:r>
        <w:r>
          <w:fldChar w:fldCharType="separate"/>
        </w:r>
        <w:r>
          <w:t>64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4270" w:history="1">
        <w:r>
          <w:rPr>
            <w:rFonts w:ascii="宋体" w:eastAsia="宋体" w:hAnsi="宋体" w:cs="宋体" w:hint="eastAsia"/>
            <w:bCs w:val="0"/>
            <w:szCs w:val="28"/>
            <w:lang w:eastAsia="zh-CN"/>
          </w:rPr>
          <w:t>(六)、非金属粉末行业员工福利管理方案</w:t>
        </w:r>
        <w:r>
          <w:tab/>
        </w:r>
        <w:r>
          <w:fldChar w:fldCharType="begin"/>
        </w:r>
        <w:r>
          <w:instrText xml:space="preserve"> PAGEREF _Toc24270 \h </w:instrText>
        </w:r>
        <w:r>
          <w:fldChar w:fldCharType="separate"/>
        </w:r>
        <w:r>
          <w:t>66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28991" w:history="1">
        <w:r>
          <w:rPr>
            <w:rFonts w:ascii="微软雅黑" w:eastAsia="微软雅黑" w:hAnsi="微软雅黑" w:cs="微软雅黑" w:hint="eastAsia"/>
            <w:color w:val="001CAC" w:themeColor="hyperlink" w:themeShade="BF"/>
            <w:szCs w:val="32"/>
            <w:lang w:eastAsia="zh-CN"/>
          </w:rPr>
          <w:t>十、项目背景与概况</w:t>
        </w:r>
        <w:r>
          <w:tab/>
        </w:r>
        <w:r>
          <w:fldChar w:fldCharType="begin"/>
        </w:r>
        <w:r>
          <w:instrText xml:space="preserve"> PAGEREF _Toc28991 \h </w:instrText>
        </w:r>
        <w:r>
          <w:fldChar w:fldCharType="separate"/>
        </w:r>
        <w:r>
          <w:t>68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7613" w:history="1">
        <w:r>
          <w:rPr>
            <w:rFonts w:ascii="宋体" w:eastAsia="宋体" w:hAnsi="宋体" w:cs="宋体" w:hint="eastAsia"/>
            <w:bCs w:val="0"/>
            <w:szCs w:val="28"/>
            <w:lang w:eastAsia="zh-CN"/>
          </w:rPr>
          <w:t>(一)、项目背景介绍</w:t>
        </w:r>
        <w:r>
          <w:tab/>
        </w:r>
        <w:r>
          <w:fldChar w:fldCharType="begin"/>
        </w:r>
        <w:r>
          <w:instrText xml:space="preserve"> PAGEREF _Toc27613 \h </w:instrText>
        </w:r>
        <w:r>
          <w:fldChar w:fldCharType="separate"/>
        </w:r>
        <w:r>
          <w:t>68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7171" w:history="1">
        <w:r>
          <w:rPr>
            <w:rFonts w:ascii="宋体" w:eastAsia="宋体" w:hAnsi="宋体" w:cs="宋体" w:hint="eastAsia"/>
            <w:bCs w:val="0"/>
            <w:szCs w:val="28"/>
            <w:lang w:eastAsia="zh-CN"/>
          </w:rPr>
          <w:t>(二)、项目概况与目标</w:t>
        </w:r>
        <w:r>
          <w:tab/>
        </w:r>
        <w:r>
          <w:fldChar w:fldCharType="begin"/>
        </w:r>
        <w:r>
          <w:instrText xml:space="preserve"> PAGEREF _Toc27171 \h </w:instrText>
        </w:r>
        <w:r>
          <w:fldChar w:fldCharType="separate"/>
        </w:r>
        <w:r>
          <w:t>68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2817" w:history="1">
        <w:r>
          <w:rPr>
            <w:rFonts w:ascii="宋体" w:eastAsia="宋体" w:hAnsi="宋体" w:cs="宋体" w:hint="eastAsia"/>
            <w:bCs w:val="0"/>
            <w:szCs w:val="28"/>
            <w:lang w:eastAsia="zh-CN"/>
          </w:rPr>
          <w:t>(三)、非金属粉末行业及市场分析</w:t>
        </w:r>
        <w:r>
          <w:tab/>
        </w:r>
        <w:r>
          <w:fldChar w:fldCharType="begin"/>
        </w:r>
        <w:r>
          <w:instrText xml:space="preserve"> PAGEREF _Toc22817 \h </w:instrText>
        </w:r>
        <w:r>
          <w:fldChar w:fldCharType="separate"/>
        </w:r>
        <w:r>
          <w:t>69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29217" w:history="1">
        <w:r>
          <w:rPr>
            <w:rFonts w:ascii="微软雅黑" w:eastAsia="微软雅黑" w:hAnsi="微软雅黑" w:cs="微软雅黑" w:hint="eastAsia"/>
            <w:color w:val="001CAC" w:themeColor="hyperlink" w:themeShade="BF"/>
            <w:szCs w:val="32"/>
            <w:lang w:eastAsia="zh-CN"/>
          </w:rPr>
          <w:t>十一、非金属粉末行业选址方案分析</w:t>
        </w:r>
        <w:r>
          <w:tab/>
        </w:r>
        <w:r>
          <w:fldChar w:fldCharType="begin"/>
        </w:r>
        <w:r>
          <w:instrText xml:space="preserve"> PAGEREF _Toc29217 \h </w:instrText>
        </w:r>
        <w:r>
          <w:fldChar w:fldCharType="separate"/>
        </w:r>
        <w:r>
          <w:t>70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9173" w:history="1">
        <w:r>
          <w:rPr>
            <w:rFonts w:ascii="宋体" w:eastAsia="宋体" w:hAnsi="宋体" w:cs="宋体" w:hint="eastAsia"/>
            <w:bCs w:val="0"/>
            <w:szCs w:val="28"/>
            <w:lang w:eastAsia="zh-CN"/>
          </w:rPr>
          <w:t>(一)、非金属粉末行业选址影响因素</w:t>
        </w:r>
        <w:r>
          <w:tab/>
        </w:r>
        <w:r>
          <w:fldChar w:fldCharType="begin"/>
        </w:r>
        <w:r>
          <w:instrText xml:space="preserve"> PAGEREF _Toc19173 \h </w:instrText>
        </w:r>
        <w:r>
          <w:fldChar w:fldCharType="separate"/>
        </w:r>
        <w:r>
          <w:t>70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5185" w:history="1">
        <w:r>
          <w:rPr>
            <w:rFonts w:ascii="宋体" w:eastAsia="宋体" w:hAnsi="宋体" w:cs="宋体" w:hint="eastAsia"/>
            <w:bCs w:val="0"/>
            <w:szCs w:val="28"/>
            <w:lang w:eastAsia="zh-CN"/>
          </w:rPr>
          <w:t>(二)、非金属粉末行业选址原则</w:t>
        </w:r>
        <w:r>
          <w:tab/>
        </w:r>
        <w:r>
          <w:fldChar w:fldCharType="begin"/>
        </w:r>
        <w:r>
          <w:instrText xml:space="preserve"> PAGEREF _Toc5185 \h </w:instrText>
        </w:r>
        <w:r>
          <w:fldChar w:fldCharType="separate"/>
        </w:r>
        <w:r>
          <w:t>72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6488" w:history="1">
        <w:r>
          <w:rPr>
            <w:rFonts w:ascii="宋体" w:eastAsia="宋体" w:hAnsi="宋体" w:cs="宋体" w:hint="eastAsia"/>
            <w:bCs w:val="0"/>
            <w:szCs w:val="28"/>
            <w:lang w:eastAsia="zh-CN"/>
          </w:rPr>
          <w:t>(三)、消费习惯对非金属粉末行业选址的影响</w:t>
        </w:r>
        <w:r>
          <w:tab/>
        </w:r>
        <w:r>
          <w:fldChar w:fldCharType="begin"/>
        </w:r>
        <w:r>
          <w:instrText xml:space="preserve"> PAGEREF _Toc16488 \h </w:instrText>
        </w:r>
        <w:r>
          <w:fldChar w:fldCharType="separate"/>
        </w:r>
        <w:r>
          <w:t>73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2961" w:history="1">
        <w:r>
          <w:rPr>
            <w:rFonts w:ascii="宋体" w:eastAsia="宋体" w:hAnsi="宋体" w:cs="宋体" w:hint="eastAsia"/>
            <w:bCs w:val="0"/>
            <w:szCs w:val="28"/>
            <w:lang w:eastAsia="zh-CN"/>
          </w:rPr>
          <w:t>(四)、消费能力对非金属粉末行业选址的影响</w:t>
        </w:r>
        <w:r>
          <w:tab/>
        </w:r>
        <w:r>
          <w:fldChar w:fldCharType="begin"/>
        </w:r>
        <w:r>
          <w:instrText xml:space="preserve"> PAGEREF _Toc22961 \h </w:instrText>
        </w:r>
        <w:r>
          <w:fldChar w:fldCharType="separate"/>
        </w:r>
        <w:r>
          <w:t>74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0809" w:history="1">
        <w:r>
          <w:rPr>
            <w:rFonts w:ascii="宋体" w:eastAsia="宋体" w:hAnsi="宋体" w:cs="宋体" w:hint="eastAsia"/>
            <w:bCs w:val="0"/>
            <w:szCs w:val="28"/>
            <w:lang w:eastAsia="zh-CN"/>
          </w:rPr>
          <w:t>(五)、经营成本对非金属粉末行业选址的影响</w:t>
        </w:r>
        <w:r>
          <w:tab/>
        </w:r>
        <w:r>
          <w:fldChar w:fldCharType="begin"/>
        </w:r>
        <w:r>
          <w:instrText xml:space="preserve"> PAGEREF _Toc20809 \h </w:instrText>
        </w:r>
        <w:r>
          <w:fldChar w:fldCharType="separate"/>
        </w:r>
        <w:r>
          <w:t>76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586" w:history="1">
        <w:r>
          <w:rPr>
            <w:rFonts w:ascii="宋体" w:eastAsia="宋体" w:hAnsi="宋体" w:cs="宋体" w:hint="eastAsia"/>
            <w:bCs w:val="0"/>
            <w:szCs w:val="28"/>
            <w:lang w:eastAsia="zh-CN"/>
          </w:rPr>
          <w:t>(六)、交通条件对非金属粉末行业选址的影响</w:t>
        </w:r>
        <w:r>
          <w:tab/>
        </w:r>
        <w:r>
          <w:fldChar w:fldCharType="begin"/>
        </w:r>
        <w:r>
          <w:instrText xml:space="preserve"> PAGEREF _Toc2586 \h </w:instrText>
        </w:r>
        <w:r>
          <w:fldChar w:fldCharType="separate"/>
        </w:r>
        <w:r>
          <w:t>78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775" w:history="1">
        <w:r>
          <w:rPr>
            <w:rFonts w:ascii="微软雅黑" w:eastAsia="微软雅黑" w:hAnsi="微软雅黑" w:cs="微软雅黑" w:hint="eastAsia"/>
            <w:color w:val="001CAC" w:themeColor="hyperlink" w:themeShade="BF"/>
            <w:szCs w:val="32"/>
            <w:lang w:eastAsia="zh-CN"/>
          </w:rPr>
          <w:t>十二、非金属粉末行业项目管理与实施</w:t>
        </w:r>
        <w:r>
          <w:tab/>
        </w:r>
        <w:r>
          <w:fldChar w:fldCharType="begin"/>
        </w:r>
        <w:r>
          <w:instrText xml:space="preserve"> PAGEREF _Toc775 \h </w:instrText>
        </w:r>
        <w:r>
          <w:fldChar w:fldCharType="separate"/>
        </w:r>
        <w:r>
          <w:t>79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6512" w:history="1">
        <w:r>
          <w:rPr>
            <w:rFonts w:ascii="宋体" w:eastAsia="宋体" w:hAnsi="宋体" w:cs="宋体" w:hint="eastAsia"/>
            <w:bCs w:val="0"/>
            <w:szCs w:val="28"/>
            <w:lang w:eastAsia="zh-CN"/>
          </w:rPr>
          <w:t>(一)、项目进度安排</w:t>
        </w:r>
        <w:r>
          <w:tab/>
        </w:r>
        <w:r>
          <w:fldChar w:fldCharType="begin"/>
        </w:r>
        <w:r>
          <w:instrText xml:space="preserve"> PAGEREF _Toc26512 \h </w:instrText>
        </w:r>
        <w:r>
          <w:fldChar w:fldCharType="separate"/>
        </w:r>
        <w:r>
          <w:t>79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4498" w:history="1">
        <w:r>
          <w:rPr>
            <w:rFonts w:ascii="宋体" w:eastAsia="宋体" w:hAnsi="宋体" w:cs="宋体" w:hint="eastAsia"/>
            <w:bCs w:val="0"/>
            <w:szCs w:val="28"/>
            <w:lang w:eastAsia="zh-CN"/>
          </w:rPr>
          <w:t>(二)、项目实施保障措施</w:t>
        </w:r>
        <w:r>
          <w:tab/>
        </w:r>
        <w:r>
          <w:fldChar w:fldCharType="begin"/>
        </w:r>
        <w:r>
          <w:instrText xml:space="preserve"> PAGEREF _Toc24498 \h </w:instrText>
        </w:r>
        <w:r>
          <w:fldChar w:fldCharType="separate"/>
        </w:r>
        <w:r>
          <w:t>79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823" w:history="1">
        <w:r>
          <w:rPr>
            <w:rFonts w:ascii="宋体" w:eastAsia="宋体" w:hAnsi="宋体" w:cs="宋体" w:hint="eastAsia"/>
            <w:bCs w:val="0"/>
            <w:szCs w:val="28"/>
            <w:lang w:eastAsia="zh-CN"/>
          </w:rPr>
          <w:t>(三)、项目风险分析与对策</w:t>
        </w:r>
        <w:r>
          <w:tab/>
        </w:r>
        <w:r>
          <w:fldChar w:fldCharType="begin"/>
        </w:r>
        <w:r>
          <w:instrText xml:space="preserve"> PAGEREF _Toc2823 \h </w:instrText>
        </w:r>
        <w:r>
          <w:fldChar w:fldCharType="separate"/>
        </w:r>
        <w:r>
          <w:t>80</w:t>
        </w:r>
        <w:r>
          <w:fldChar w:fldCharType="end"/>
        </w:r>
      </w:hyperlink>
    </w:p>
    <w:p>
      <w:r>
        <w:fldChar w:fldCharType="end"/>
      </w:r>
      <w:r>
        <w:br/>
      </w:r>
      <w: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8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https://d.book118.com/206203052012010040</w:t>
        </w:r>
      </w:hyperlink>
    </w:p>
    <w:p/>
    <w:sectPr>
      <w:headerReference w:type="default" r:id="rId9"/>
      <w:footerReference w:type="default" r:id="rId10"/>
      <w:type w:val="nextPage"/>
      <w:pgSz w:w="11906" w:h="16838"/>
      <w:pgMar w:top="1440" w:right="1800" w:bottom="1440" w:left="1800" w:header="851" w:footer="992" w:gutter="0"/>
      <w:pgNumType w:start="3"/>
      <w:cols w:num="1" w:space="425"/>
      <w:titlePg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1</w:t>
    </w:r>
    <w:r>
      <w:rPr>
        <w:rStyle w:val="PageNumber"/>
      </w:rPr>
      <w:fldChar w:fldCharType="end"/>
    </w:r>
  </w:p>
  <w:p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2</w:t>
    </w:r>
    <w:r>
      <w:rPr>
        <w:rStyle w:val="PageNumber"/>
      </w:rPr>
      <w:fldChar w:fldCharType="end"/>
    </w:r>
  </w:p>
  <w:p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3</w:t>
    </w:r>
    <w:r>
      <w:rPr>
        <w:rStyle w:val="PageNumber"/>
      </w:rPr>
      <w:fldChar w:fldCharType="end"/>
    </w:r>
  </w:p>
  <w:p>
    <w:pPr>
      <w:pStyle w:val="Footer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eastAsia="zh-CN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eastAsia="zh-CN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eastAsia="zh-CN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482775B3"/>
    <w:rsid w:val="02623C3C"/>
    <w:rsid w:val="03734037"/>
    <w:rsid w:val="13614867"/>
    <w:rsid w:val="32FE4D4E"/>
    <w:rsid w:val="3DAC44EE"/>
    <w:rsid w:val="453746B4"/>
    <w:rsid w:val="482775B3"/>
    <w:rsid w:val="49C53810"/>
    <w:rsid w:val="4E155AC7"/>
    <w:rsid w:val="50930768"/>
    <w:rsid w:val="62A91464"/>
    <w:rsid w:val="692E1C42"/>
  </w:rsids>
  <w:docVars>
    <w:docVar w:name="commondata" w:val="eyJoZGlkIjoiYjEzZTI3MzIxYzUxM2E3Y2YyMDVhZDRkMWU5YjExZDgifQ=="/>
  </w:docVar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lang w:val="en-US" w:eastAsia="en-US" w:bidi="ar-SA"/>
      </w:rPr>
    </w:rPrDefault>
    <w:pPrDefault/>
  </w:docDefaults>
  <w:latentStyles w:defLockedState="0" w:defUIPriority="99" w:defSemiHidden="1" w:defUnhideWhenUsed="1" w:defQFormat="0" w:count="260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semiHidden="0" w:uiPriority="0" w:unhideWhenUsed="0" w:qFormat="1"/>
    <w:lsdException w:name="toc 2" w:semiHidden="0" w:uiPriority="0" w:unhideWhenUsed="0" w:qFormat="1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semiHidden="0" w:uiPriority="0" w:unhideWhenUsed="0"/>
    <w:lsdException w:name="annotation text" w:semiHidden="0" w:uiPriority="0" w:unhideWhenUsed="0"/>
    <w:lsdException w:name="header" w:semiHidden="0" w:uiPriority="0" w:unhideWhenUsed="0" w:qFormat="1"/>
    <w:lsdException w:name="footer" w:semiHidden="0" w:uiPriority="0" w:unhideWhenUsed="0" w:qFormat="1"/>
    <w:lsdException w:name="index heading" w:semiHidden="0" w:uiPriority="0" w:unhideWhenUsed="0"/>
    <w:lsdException w:name="caption" w:uiPriority="0" w:qFormat="1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/>
    <w:lsdException w:name="annotation reference" w:semiHidden="0" w:uiPriority="0" w:unhideWhenUsed="0"/>
    <w:lsdException w:name="line number" w:semiHidden="0" w:uiPriority="0" w:unhideWhenUsed="0"/>
    <w:lsdException w:name="page number" w:semiHidden="0" w:uiPriority="0" w:unhideWhenUsed="0" w:qFormat="1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iPriority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0" w:unhideWhenUsed="0" w:qFormat="1"/>
    <w:lsdException w:name="Closing" w:semiHidden="0" w:uiPriority="0" w:unhideWhenUsed="0"/>
    <w:lsdException w:name="Signature" w:semiHidden="0" w:uiPriority="0" w:unhideWhenUsed="0"/>
    <w:lsdException w:name="Default Paragraph Font" w:uiPriority="0" w:unhideWhenUsed="0" w:qFormat="1"/>
    <w:lsdException w:name="Body Text" w:semiHidden="0" w:uiPriority="0" w:unhideWhenUsed="0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0" w:unhideWhenUsed="0" w:qFormat="1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Note Heading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uiPriority="0" w:unhideWhenUsed="0"/>
    <w:lsdException w:name="FollowedHyperlink" w:semiHidden="0" w:uiPriority="0" w:unhideWhenUsed="0"/>
    <w:lsdException w:name="Strong" w:semiHidden="0" w:uiPriority="0" w:unhideWhenUsed="0" w:qFormat="1"/>
    <w:lsdException w:name="Emphasis" w:semiHidden="0" w:uiPriority="0" w:unhideWhenUsed="0" w:qFormat="1"/>
    <w:lsdException w:name="Document Map" w:semiHidden="0" w:uiPriority="0" w:unhideWhenUsed="0"/>
    <w:lsdException w:name="Plain Text" w:semiHidden="0" w:uiPriority="0" w:unhideWhenUsed="0"/>
    <w:lsdException w:name="E-mail Signature" w:semiHidden="0" w:uiPriority="0" w:unhideWhenUsed="0"/>
    <w:lsdException w:name="Normal (Web)" w:semiHidden="0" w:uiPriority="0" w:unhideWhenUsed="0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Normal Table" w:uiPriority="0" w:unhideWhenUsed="0" w:qFormat="1"/>
    <w:lsdException w:name="annotation subject" w:semiHidden="0" w:uiPriority="0" w:unhideWhenUsed="0"/>
    <w:lsdException w:name="Table Simple 1" w:semiHidden="0" w:uiPriority="0" w:unhideWhenUsed="0"/>
    <w:lsdException w:name="Table Simple 2" w:semiHidden="0" w:uiPriority="0" w:unhideWhenUsed="0"/>
    <w:lsdException w:name="Table Simple 3" w:semiHidden="0" w:uiPriority="0" w:unhideWhenUsed="0"/>
    <w:lsdException w:name="Table Classic 1" w:semiHidden="0" w:uiPriority="0" w:unhideWhenUsed="0"/>
    <w:lsdException w:name="Table Classic 2" w:semiHidden="0" w:uiPriority="0" w:unhideWhenUsed="0"/>
    <w:lsdException w:name="Table Classic 3" w:semiHidden="0" w:uiPriority="0" w:unhideWhenUsed="0"/>
    <w:lsdException w:name="Table Classic 4" w:semiHidden="0" w:uiPriority="0" w:unhideWhenUsed="0"/>
    <w:lsdException w:name="Table Colorful 1" w:semiHidden="0" w:uiPriority="0" w:unhideWhenUsed="0"/>
    <w:lsdException w:name="Table Colorful 2" w:semiHidden="0" w:uiPriority="0" w:unhideWhenUsed="0"/>
    <w:lsdException w:name="Table Colorful 3" w:semiHidden="0" w:uiPriority="0" w:unhideWhenUsed="0"/>
    <w:lsdException w:name="Table Columns 1" w:semiHidden="0" w:uiPriority="0" w:unhideWhenUsed="0"/>
    <w:lsdException w:name="Table Columns 2" w:semiHidden="0" w:uiPriority="0" w:unhideWhenUsed="0"/>
    <w:lsdException w:name="Table Columns 3" w:semiHidden="0" w:uiPriority="0" w:unhideWhenUsed="0"/>
    <w:lsdException w:name="Table Columns 4" w:semiHidden="0" w:uiPriority="0" w:unhideWhenUsed="0"/>
    <w:lsdException w:name="Table Columns 5" w:semiHidden="0" w:uiPriority="0" w:unhideWhenUsed="0"/>
    <w:lsdException w:name="Table Grid 1" w:semiHidden="0" w:uiPriority="0" w:unhideWhenUsed="0"/>
    <w:lsdException w:name="Table Grid 2" w:semiHidden="0" w:uiPriority="0" w:unhideWhenUsed="0"/>
    <w:lsdException w:name="Table Grid 3" w:semiHidden="0" w:uiPriority="0" w:unhideWhenUsed="0"/>
    <w:lsdException w:name="Table Grid 4" w:semiHidden="0" w:uiPriority="0" w:unhideWhenUsed="0"/>
    <w:lsdException w:name="Table Grid 5" w:semiHidden="0" w:uiPriority="0" w:unhideWhenUsed="0"/>
    <w:lsdException w:name="Table Grid 6" w:semiHidden="0" w:uiPriority="0" w:unhideWhenUsed="0"/>
    <w:lsdException w:name="Table Grid 7" w:semiHidden="0" w:uiPriority="0" w:unhideWhenUsed="0"/>
    <w:lsdException w:name="Table Grid 8" w:semiHidden="0" w:uiPriority="0" w:unhideWhenUsed="0"/>
    <w:lsdException w:name="Table List 1" w:semiHidden="0" w:uiPriority="0" w:unhideWhenUsed="0"/>
    <w:lsdException w:name="Table List 2" w:semiHidden="0" w:uiPriority="0" w:unhideWhenUsed="0"/>
    <w:lsdException w:name="Table List 3" w:semiHidden="0" w:uiPriority="0" w:unhideWhenUsed="0"/>
    <w:lsdException w:name="Table List 4" w:semiHidden="0" w:uiPriority="0" w:unhideWhenUsed="0"/>
    <w:lsdException w:name="Table List 5" w:semiHidden="0" w:uiPriority="0" w:unhideWhenUsed="0"/>
    <w:lsdException w:name="Table List 6" w:semiHidden="0" w:uiPriority="0" w:unhideWhenUsed="0"/>
    <w:lsdException w:name="Table List 7" w:semiHidden="0" w:uiPriority="0" w:unhideWhenUsed="0"/>
    <w:lsdException w:name="Table List 8" w:semiHidden="0" w:uiPriority="0" w:unhideWhenUsed="0"/>
    <w:lsdException w:name="Table 3D effects 1" w:semiHidden="0" w:uiPriority="0" w:unhideWhenUsed="0"/>
    <w:lsdException w:name="Table 3D effects 2" w:semiHidden="0" w:uiPriority="0" w:unhideWhenUsed="0"/>
    <w:lsdException w:name="Table 3D effects 3" w:semiHidden="0" w:uiPriority="0" w:unhideWhenUsed="0"/>
    <w:lsdException w:name="Table Contemporary" w:semiHidden="0" w:uiPriority="0" w:unhideWhenUsed="0"/>
    <w:lsdException w:name="Table Elegant" w:semiHidden="0" w:uiPriority="0" w:unhideWhenUsed="0"/>
    <w:lsdException w:name="Table Professional" w:semiHidden="0" w:uiPriority="0" w:unhideWhenUsed="0"/>
    <w:lsdException w:name="Table Subtle 1" w:semiHidden="0" w:uiPriority="0" w:unhideWhenUsed="0"/>
    <w:lsdException w:name="Table Subtle 2" w:semiHidden="0" w:uiPriority="0" w:unhideWhenUsed="0"/>
    <w:lsdException w:name="Table Web 1" w:semiHidden="0" w:uiPriority="0" w:unhideWhenUsed="0"/>
    <w:lsdException w:name="Table Web 2" w:semiHidden="0" w:uiPriority="0" w:unhideWhenUsed="0"/>
    <w:lsdException w:name="Table Web 3" w:semiHidden="0" w:uiPriority="0" w:unhideWhenUsed="0"/>
    <w:lsdException w:name="Balloon Text" w:semiHidden="0" w:uiPriority="0" w:unhideWhenUsed="0"/>
    <w:lsdException w:name="Table Grid" w:semiHidden="0" w:uiPriority="0" w:unhideWhenUsed="0"/>
    <w:lsdException w:name="Table Theme" w:semiHidden="0" w:uiPriority="0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</w:latentStyles>
  <w:style w:type="paragraph" w:default="1" w:styleId="Normal">
    <w:name w:val="Normal"/>
    <w:autoRedefine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4"/>
      <w:lang w:val="en-US" w:eastAsia="zh-CN" w:bidi="ar-SA"/>
    </w:rPr>
  </w:style>
  <w:style w:type="paragraph" w:styleId="Heading1">
    <w:name w:val="heading 1"/>
    <w:basedOn w:val="Normal"/>
    <w:next w:val="Normal"/>
    <w:autoRedefine/>
    <w:qFormat/>
    <w:pPr>
      <w:keepNext/>
      <w:keepLines/>
      <w:spacing w:before="340" w:beforeLines="0" w:beforeAutospacing="0" w:after="330" w:afterLines="0" w:afterAutospacing="0" w:line="576" w:lineRule="auto"/>
      <w:outlineLvl w:val="0"/>
    </w:pPr>
    <w:rPr>
      <w:b/>
      <w:kern w:val="44"/>
      <w:sz w:val="44"/>
    </w:rPr>
  </w:style>
  <w:style w:type="paragraph" w:styleId="Heading2">
    <w:name w:val="heading 2"/>
    <w:basedOn w:val="Normal"/>
    <w:next w:val="Normal"/>
    <w:autoRedefine/>
    <w:unhideWhenUsed/>
    <w:qFormat/>
    <w:pPr>
      <w:keepNext/>
      <w:keepLines/>
      <w:spacing w:before="260" w:beforeLines="0" w:beforeAutospacing="0" w:after="260" w:afterLines="0" w:afterAutospacing="0" w:line="413" w:lineRule="auto"/>
      <w:outlineLvl w:val="1"/>
    </w:pPr>
    <w:rPr>
      <w:rFonts w:ascii="Arial" w:eastAsia="黑体" w:hAnsi="Arial"/>
      <w:b/>
      <w:sz w:val="32"/>
    </w:rPr>
  </w:style>
  <w:style w:type="character" w:default="1" w:styleId="DefaultParagraphFont">
    <w:name w:val="Default Paragraph Font"/>
    <w:autoRedefine/>
    <w:semiHidden/>
    <w:qFormat/>
  </w:style>
  <w:style w:type="table" w:default="1" w:styleId="TableNormal">
    <w:name w:val="Normal Table"/>
    <w:autoRedefine/>
    <w:semiHidden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er">
    <w:name w:val="footer"/>
    <w:basedOn w:val="Normal"/>
    <w:autoRedefine/>
    <w:qFormat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Header">
    <w:name w:val="header"/>
    <w:basedOn w:val="Normal"/>
    <w:autoRedefine/>
    <w:qFormat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TOC1">
    <w:name w:val="toc 1"/>
    <w:basedOn w:val="Normal"/>
    <w:next w:val="Normal"/>
    <w:autoRedefine/>
    <w:qFormat/>
  </w:style>
  <w:style w:type="paragraph" w:styleId="TOC2">
    <w:name w:val="toc 2"/>
    <w:basedOn w:val="Normal"/>
    <w:next w:val="Normal"/>
    <w:autoRedefine/>
    <w:qFormat/>
    <w:pPr>
      <w:ind w:left="420" w:leftChars="200"/>
    </w:pPr>
  </w:style>
  <w:style w:type="character" w:styleId="PageNumber">
    <w:name w:val="page number"/>
    <w:basedOn w:val="DefaultParagraphFont"/>
    <w:autoRedefine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footer" Target="footer3.xml" /><Relationship Id="rId11" Type="http://schemas.openxmlformats.org/officeDocument/2006/relationships/theme" Target="theme/theme1.xml" /><Relationship Id="rId12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footer" Target="footer1.xml" /><Relationship Id="rId6" Type="http://schemas.openxmlformats.org/officeDocument/2006/relationships/header" Target="header2.xml" /><Relationship Id="rId7" Type="http://schemas.openxmlformats.org/officeDocument/2006/relationships/footer" Target="footer2.xml" /><Relationship Id="rId8" Type="http://schemas.openxmlformats.org/officeDocument/2006/relationships/hyperlink" Target="https://d.book118.com/206203052012010040" TargetMode="External" /><Relationship Id="rId9" Type="http://schemas.openxmlformats.org/officeDocument/2006/relationships/header" Target="header3.xml" 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黄晨</dc:creator>
  <cp:lastModifiedBy>小海豹</cp:lastModifiedBy>
  <cp:revision>1</cp:revision>
  <dcterms:created xsi:type="dcterms:W3CDTF">2023-12-10T12:06:00Z</dcterms:created>
  <dcterms:modified xsi:type="dcterms:W3CDTF">2024-01-17T07:40:58Z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1E39AA5D4B7F4B19B7D16FD992F8235D_13</vt:lpwstr>
  </property>
  <property fmtid="{D5CDD505-2E9C-101B-9397-08002B2CF9AE}" pid="3" name="KSOProductBuildVer">
    <vt:lpwstr>2052-12.1.0.16120</vt:lpwstr>
  </property>
</Properties>
</file>