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0"/>
      </w:pPr>
      <w:r>
        <w:rPr>
          <w:rFonts w:hint="eastAsia"/>
          <w:bCs/>
          <w:spacing w:val="60"/>
          <w:sz w:val="4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943" o:spid="_x0000_s1025" type="#_x0000_t75" style="width:126pt;height:85.8pt;margin-top:-38.3pt;margin-left:-42.35pt;mso-wrap-style:square;position:absolute;z-index:251658240" filled="f" stroked="f">
            <v:stroke linestyle="single"/>
            <v:imagedata r:id="rId4" o:title=""/>
            <v:path o:extrusionok="f"/>
            <o:lock v:ext="edit" aspectratio="t"/>
          </v:shape>
        </w:pict>
      </w:r>
    </w:p>
    <w:p>
      <w:pPr>
        <w:adjustRightInd w:val="0"/>
        <w:snapToGrid w:val="0"/>
        <w:jc w:val="center"/>
        <w:rPr>
          <w:rFonts w:hint="eastAsia"/>
          <w:bCs/>
          <w:spacing w:val="60"/>
          <w:sz w:val="44"/>
        </w:rPr>
      </w:pPr>
    </w:p>
    <w:p>
      <w:pPr>
        <w:adjustRightInd w:val="0"/>
        <w:snapToGrid w:val="0"/>
        <w:jc w:val="center"/>
        <w:rPr>
          <w:rFonts w:hint="eastAsia"/>
          <w:bCs/>
          <w:spacing w:val="60"/>
          <w:sz w:val="44"/>
        </w:rPr>
      </w:pPr>
    </w:p>
    <w:p>
      <w:pPr>
        <w:adjustRightInd w:val="0"/>
        <w:snapToGrid w:val="0"/>
        <w:spacing w:line="360" w:lineRule="auto"/>
        <w:jc w:val="center"/>
        <w:rPr>
          <w:rFonts w:ascii="宋体" w:hAnsi="宋体" w:hint="eastAsia"/>
          <w:b/>
          <w:sz w:val="44"/>
        </w:rPr>
      </w:pPr>
    </w:p>
    <w:p>
      <w:pPr>
        <w:adjustRightInd w:val="0"/>
        <w:snapToGrid w:val="0"/>
        <w:spacing w:line="360" w:lineRule="auto"/>
        <w:ind w:left="23" w:leftChars="11"/>
        <w:jc w:val="center"/>
        <w:rPr>
          <w:rFonts w:hint="eastAsia"/>
          <w:b/>
          <w:color w:val="000000"/>
          <w:sz w:val="44"/>
        </w:rPr>
      </w:pPr>
      <w:r>
        <w:rPr>
          <w:rFonts w:ascii="宋体" w:hAnsi="宋体" w:hint="eastAsia"/>
          <w:b/>
          <w:color w:val="000000"/>
          <w:sz w:val="44"/>
          <w:lang w:val="en-US" w:eastAsia="zh-CN"/>
        </w:rPr>
        <w:t>嘉利达</w:t>
      </w:r>
      <w:r>
        <w:rPr>
          <w:rFonts w:ascii="宋体" w:hAnsi="宋体" w:hint="eastAsia"/>
          <w:b/>
          <w:color w:val="000000"/>
          <w:sz w:val="44"/>
        </w:rPr>
        <w:t>(</w:t>
      </w:r>
      <w:r>
        <w:rPr>
          <w:rFonts w:ascii="宋体" w:hAnsi="宋体" w:hint="eastAsia"/>
          <w:b/>
          <w:color w:val="000000"/>
          <w:sz w:val="44"/>
          <w:lang w:val="en-US" w:eastAsia="zh-CN"/>
        </w:rPr>
        <w:t>平阳</w:t>
      </w:r>
      <w:r>
        <w:rPr>
          <w:rFonts w:ascii="宋体" w:hAnsi="宋体" w:hint="eastAsia"/>
          <w:b/>
          <w:color w:val="000000"/>
          <w:sz w:val="44"/>
        </w:rPr>
        <w:t>)明胶有限公司</w:t>
      </w:r>
      <w:r>
        <w:rPr>
          <w:rFonts w:hint="eastAsia"/>
          <w:b/>
          <w:color w:val="000000"/>
          <w:sz w:val="44"/>
          <w:lang w:val="en-US" w:eastAsia="zh-CN"/>
        </w:rPr>
        <w:t>老厂房改造</w:t>
      </w:r>
    </w:p>
    <w:p>
      <w:pPr>
        <w:adjustRightInd w:val="0"/>
        <w:snapToGrid w:val="0"/>
        <w:spacing w:line="360" w:lineRule="auto"/>
        <w:ind w:left="23" w:leftChars="11"/>
        <w:jc w:val="center"/>
        <w:rPr>
          <w:rFonts w:hint="eastAsia"/>
          <w:b/>
          <w:color w:val="000000"/>
          <w:sz w:val="44"/>
        </w:rPr>
      </w:pPr>
      <w:r>
        <w:rPr>
          <w:rFonts w:hint="eastAsia"/>
          <w:b/>
          <w:color w:val="000000"/>
          <w:sz w:val="44"/>
        </w:rPr>
        <w:t>项目竣工环境保护验收监测报告</w:t>
      </w:r>
    </w:p>
    <w:p>
      <w:pPr>
        <w:adjustRightInd w:val="0"/>
        <w:snapToGrid w:val="0"/>
        <w:spacing w:before="156" w:beforeLines="50" w:line="360" w:lineRule="auto"/>
        <w:jc w:val="center"/>
        <w:rPr>
          <w:rFonts w:ascii="宋体" w:hAnsi="宋体" w:hint="eastAsia"/>
          <w:b/>
          <w:spacing w:val="60"/>
          <w:sz w:val="44"/>
        </w:rPr>
      </w:pPr>
      <w:r>
        <w:rPr>
          <w:rFonts w:eastAsia="楷体_GB2312" w:hint="eastAsia"/>
          <w:bCs/>
          <w:color w:val="000000"/>
          <w:sz w:val="30"/>
        </w:rPr>
        <w:t>新鸿</w:t>
      </w:r>
      <w:r>
        <w:rPr>
          <w:rFonts w:ascii="楷体_GB2312" w:eastAsia="楷体_GB2312" w:hint="eastAsia"/>
          <w:bCs/>
          <w:color w:val="000000"/>
          <w:sz w:val="30"/>
        </w:rPr>
        <w:t>HJ</w:t>
      </w:r>
      <w:r>
        <w:rPr>
          <w:rFonts w:eastAsia="楷体_GB2312" w:hint="eastAsia"/>
          <w:bCs/>
          <w:color w:val="000000"/>
          <w:sz w:val="30"/>
        </w:rPr>
        <w:t>综字</w:t>
      </w:r>
      <w:r>
        <w:rPr>
          <w:rFonts w:eastAsia="楷体_GB2312"/>
          <w:bCs/>
          <w:color w:val="000000"/>
          <w:sz w:val="30"/>
        </w:rPr>
        <w:t>第</w:t>
      </w:r>
      <w:r>
        <w:rPr>
          <w:rFonts w:ascii="楷体_GB2312" w:eastAsia="楷体_GB2312" w:hint="eastAsia"/>
          <w:bCs/>
          <w:color w:val="000000"/>
          <w:sz w:val="30"/>
        </w:rPr>
        <w:t>16054</w:t>
      </w:r>
      <w:r>
        <w:rPr>
          <w:rFonts w:eastAsia="楷体_GB2312"/>
          <w:bCs/>
          <w:color w:val="000000"/>
          <w:sz w:val="30"/>
        </w:rPr>
        <w:t>号</w:t>
      </w:r>
    </w:p>
    <w:p>
      <w:pPr>
        <w:ind w:right="6" w:rightChars="3"/>
        <w:jc w:val="center"/>
        <w:rPr>
          <w:rFonts w:ascii="仿宋_GB2312" w:eastAsia="仿宋_GB2312" w:hint="eastAsia"/>
          <w:bCs/>
          <w:sz w:val="32"/>
        </w:rPr>
      </w:pPr>
    </w:p>
    <w:p>
      <w:pPr>
        <w:ind w:right="6" w:rightChars="3"/>
        <w:jc w:val="center"/>
        <w:rPr>
          <w:rFonts w:ascii="仿宋_GB2312" w:eastAsia="仿宋_GB2312" w:hint="eastAsia"/>
          <w:bCs/>
          <w:sz w:val="32"/>
        </w:rPr>
      </w:pPr>
    </w:p>
    <w:p>
      <w:pPr>
        <w:jc w:val="center"/>
        <w:rPr>
          <w:rFonts w:hint="eastAsia"/>
          <w:sz w:val="32"/>
        </w:rPr>
      </w:pPr>
    </w:p>
    <w:p>
      <w:pPr>
        <w:jc w:val="center"/>
        <w:rPr>
          <w:rFonts w:hint="eastAsia"/>
          <w:sz w:val="32"/>
        </w:rPr>
      </w:pPr>
    </w:p>
    <w:p>
      <w:pPr>
        <w:jc w:val="center"/>
        <w:rPr>
          <w:rFonts w:hint="eastAsia"/>
          <w:sz w:val="32"/>
        </w:rPr>
      </w:pPr>
    </w:p>
    <w:p>
      <w:pPr>
        <w:jc w:val="center"/>
        <w:rPr>
          <w:rFonts w:hint="eastAsia"/>
          <w:sz w:val="32"/>
        </w:rPr>
      </w:pPr>
    </w:p>
    <w:p>
      <w:pPr>
        <w:jc w:val="center"/>
        <w:rPr>
          <w:rFonts w:hint="eastAsia"/>
          <w:sz w:val="32"/>
        </w:rPr>
      </w:pPr>
    </w:p>
    <w:p>
      <w:pPr>
        <w:jc w:val="center"/>
        <w:rPr>
          <w:rFonts w:hint="eastAsia"/>
          <w:sz w:val="32"/>
        </w:rPr>
      </w:pPr>
    </w:p>
    <w:p>
      <w:pPr>
        <w:jc w:val="center"/>
        <w:rPr>
          <w:rFonts w:hint="eastAsia"/>
          <w:sz w:val="32"/>
        </w:rPr>
      </w:pPr>
    </w:p>
    <w:p>
      <w:pPr>
        <w:jc w:val="center"/>
        <w:rPr>
          <w:rFonts w:hint="eastAsia"/>
          <w:sz w:val="32"/>
        </w:rPr>
      </w:pPr>
    </w:p>
    <w:p>
      <w:pPr>
        <w:jc w:val="center"/>
        <w:rPr>
          <w:rFonts w:hint="eastAsia"/>
          <w:sz w:val="32"/>
        </w:rPr>
      </w:pPr>
    </w:p>
    <w:p>
      <w:pPr>
        <w:spacing w:line="360" w:lineRule="auto"/>
        <w:jc w:val="center"/>
        <w:rPr>
          <w:rFonts w:ascii="楷体_GB2312" w:eastAsia="楷体_GB2312" w:hAnsi="宋体" w:hint="eastAsia"/>
          <w:bCs/>
          <w:spacing w:val="60"/>
          <w:sz w:val="32"/>
          <w:szCs w:val="32"/>
        </w:rPr>
      </w:pPr>
      <w:r>
        <w:rPr>
          <w:rFonts w:ascii="楷体_GB2312" w:eastAsia="楷体_GB2312" w:hAnsi="宋体" w:hint="eastAsia"/>
          <w:bCs/>
          <w:spacing w:val="60"/>
          <w:sz w:val="32"/>
          <w:szCs w:val="32"/>
        </w:rPr>
        <w:t>温州新鸿检测技术有限公司</w:t>
      </w:r>
    </w:p>
    <w:p>
      <w:pPr>
        <w:spacing w:line="360" w:lineRule="auto"/>
        <w:jc w:val="center"/>
        <w:rPr>
          <w:rFonts w:ascii="楷体_GB2312" w:eastAsia="楷体_GB2312" w:hAnsi="宋体"/>
          <w:bCs/>
          <w:spacing w:val="60"/>
          <w:sz w:val="32"/>
          <w:szCs w:val="32"/>
        </w:rPr>
        <w:sectPr>
          <w:headerReference w:type="default" r:id="rId5"/>
          <w:footerReference w:type="even" r:id="rId6"/>
          <w:footerReference w:type="default" r:id="rId7"/>
          <w:pgSz w:w="11907" w:h="16840"/>
          <w:pgMar w:top="1418" w:right="1701" w:bottom="1418" w:left="1701" w:header="851" w:footer="992" w:gutter="0"/>
          <w:cols w:space="708"/>
          <w:docGrid w:type="lines" w:linePitch="312"/>
        </w:sectPr>
      </w:pPr>
      <w:r>
        <w:rPr>
          <w:rFonts w:ascii="楷体_GB2312" w:eastAsia="楷体_GB2312" w:hAnsi="宋体" w:hint="eastAsia"/>
          <w:bCs/>
          <w:spacing w:val="60"/>
          <w:sz w:val="32"/>
          <w:szCs w:val="32"/>
        </w:rPr>
        <w:t>201</w:t>
      </w:r>
      <w:r>
        <w:rPr>
          <w:rFonts w:ascii="楷体_GB2312" w:eastAsia="楷体_GB2312" w:hAnsi="宋体" w:hint="eastAsia"/>
          <w:bCs/>
          <w:spacing w:val="60"/>
          <w:sz w:val="32"/>
          <w:szCs w:val="32"/>
          <w:lang w:val="en-US" w:eastAsia="zh-CN"/>
        </w:rPr>
        <w:t>7</w:t>
      </w:r>
      <w:r>
        <w:rPr>
          <w:rFonts w:ascii="楷体_GB2312" w:eastAsia="楷体_GB2312" w:hAnsi="宋体" w:hint="eastAsia"/>
          <w:bCs/>
          <w:spacing w:val="60"/>
          <w:sz w:val="32"/>
          <w:szCs w:val="32"/>
        </w:rPr>
        <w:t>年</w:t>
      </w:r>
      <w:r>
        <w:rPr>
          <w:rFonts w:ascii="楷体_GB2312" w:eastAsia="楷体_GB2312" w:hAnsi="宋体" w:hint="eastAsia"/>
          <w:bCs/>
          <w:color w:val="000000"/>
          <w:spacing w:val="60"/>
          <w:sz w:val="32"/>
          <w:szCs w:val="32"/>
          <w:lang w:val="en-US" w:eastAsia="zh-CN"/>
        </w:rPr>
        <w:t>5</w:t>
      </w:r>
      <w:r>
        <w:rPr>
          <w:rFonts w:ascii="楷体_GB2312" w:eastAsia="楷体_GB2312" w:hAnsi="宋体" w:hint="eastAsia"/>
          <w:bCs/>
          <w:spacing w:val="60"/>
          <w:sz w:val="32"/>
          <w:szCs w:val="32"/>
        </w:rPr>
        <w:t>月</w:t>
      </w:r>
    </w:p>
    <w:p>
      <w:pPr>
        <w:pStyle w:val="TOC1"/>
        <w:tabs>
          <w:tab w:val="right" w:leader="dot" w:pos="8495"/>
        </w:tabs>
        <w:jc w:val="center"/>
        <w:rPr>
          <w:rFonts w:hint="eastAsia"/>
          <w:b/>
          <w:bCs/>
          <w:sz w:val="52"/>
        </w:rPr>
      </w:pPr>
      <w:bookmarkStart w:id="0" w:name="_Toc12184450"/>
      <w:r>
        <w:rPr>
          <w:rFonts w:hint="eastAsia"/>
          <w:b/>
          <w:bCs/>
          <w:sz w:val="52"/>
        </w:rPr>
        <w:t>目   录</w:t>
      </w:r>
    </w:p>
    <w:p>
      <w:pPr>
        <w:pStyle w:val="TOC1"/>
        <w:tabs>
          <w:tab w:val="right" w:leader="middleDot" w:pos="8495"/>
        </w:tabs>
        <w:spacing w:line="520" w:lineRule="exact"/>
        <w:rPr>
          <w:rFonts w:ascii="Calibri" w:hAnsi="Calibri"/>
          <w:b/>
          <w:sz w:val="30"/>
          <w:szCs w:val="30"/>
        </w:rPr>
      </w:pPr>
      <w:bookmarkStart w:id="1" w:name="_Hlt25379829"/>
      <w:bookmarkStart w:id="2" w:name="_Hlt25379830"/>
      <w:bookmarkStart w:id="3" w:name="_Hlt25379835"/>
      <w:bookmarkEnd w:id="1"/>
      <w:bookmarkEnd w:id="2"/>
      <w:bookmarkEnd w:id="3"/>
      <w:r>
        <w:rPr>
          <w:sz w:val="30"/>
          <w:szCs w:val="30"/>
        </w:rPr>
        <w:fldChar w:fldCharType="begin"/>
      </w:r>
      <w:r>
        <w:rPr>
          <w:sz w:val="30"/>
          <w:szCs w:val="30"/>
        </w:rPr>
        <w:instrText xml:space="preserve"> TOC \o "1-2" \h \z \u </w:instrText>
      </w:r>
      <w:r>
        <w:rPr>
          <w:sz w:val="30"/>
          <w:szCs w:val="30"/>
        </w:rPr>
        <w:fldChar w:fldCharType="separate"/>
      </w:r>
      <w:hyperlink w:anchor="_Toc457318252" w:history="1">
        <w:r>
          <w:rPr>
            <w:rStyle w:val="Hyperlink"/>
            <w:rFonts w:hint="eastAsia"/>
            <w:b/>
            <w:sz w:val="30"/>
            <w:szCs w:val="30"/>
          </w:rPr>
          <w:t>前</w:t>
        </w:r>
        <w:r>
          <w:rPr>
            <w:rStyle w:val="Hyperlink"/>
            <w:b/>
            <w:sz w:val="30"/>
            <w:szCs w:val="30"/>
          </w:rPr>
          <w:t xml:space="preserve">  </w:t>
        </w:r>
        <w:r>
          <w:rPr>
            <w:rStyle w:val="Hyperlink"/>
            <w:rFonts w:hint="eastAsia"/>
            <w:b/>
            <w:sz w:val="30"/>
            <w:szCs w:val="30"/>
          </w:rPr>
          <w:t>言</w:t>
        </w:r>
        <w:r>
          <w:rPr>
            <w:b/>
            <w:sz w:val="30"/>
            <w:szCs w:val="30"/>
          </w:rPr>
          <w:tab/>
        </w:r>
        <w:r>
          <w:rPr>
            <w:b/>
            <w:sz w:val="30"/>
            <w:szCs w:val="30"/>
          </w:rPr>
          <w:fldChar w:fldCharType="begin"/>
        </w:r>
        <w:r>
          <w:rPr>
            <w:b/>
            <w:sz w:val="30"/>
            <w:szCs w:val="30"/>
          </w:rPr>
          <w:instrText xml:space="preserve"> PAGEREF _Toc457318252 \h </w:instrText>
        </w:r>
        <w:r>
          <w:rPr>
            <w:b/>
            <w:sz w:val="30"/>
            <w:szCs w:val="30"/>
          </w:rPr>
          <w:fldChar w:fldCharType="separate"/>
        </w:r>
        <w:r>
          <w:rPr>
            <w:b/>
            <w:sz w:val="30"/>
            <w:szCs w:val="30"/>
          </w:rPr>
          <w:t>1</w:t>
        </w:r>
        <w:r>
          <w:rPr>
            <w:b/>
            <w:sz w:val="30"/>
            <w:szCs w:val="30"/>
          </w:rPr>
          <w:fldChar w:fldCharType="end"/>
        </w:r>
      </w:hyperlink>
    </w:p>
    <w:p>
      <w:pPr>
        <w:pStyle w:val="TOC1"/>
        <w:tabs>
          <w:tab w:val="right" w:leader="middleDot" w:pos="8495"/>
        </w:tabs>
        <w:spacing w:line="520" w:lineRule="exact"/>
        <w:rPr>
          <w:rFonts w:ascii="Calibri" w:hAnsi="Calibri"/>
          <w:b/>
          <w:sz w:val="30"/>
          <w:szCs w:val="30"/>
        </w:rPr>
      </w:pPr>
      <w:hyperlink w:anchor="_Toc457318253" w:history="1">
        <w:r>
          <w:rPr>
            <w:rStyle w:val="Hyperlink"/>
            <w:rFonts w:hint="eastAsia"/>
            <w:b/>
            <w:sz w:val="30"/>
            <w:szCs w:val="30"/>
          </w:rPr>
          <w:t>第一章</w:t>
        </w:r>
        <w:r>
          <w:rPr>
            <w:rStyle w:val="Hyperlink"/>
            <w:b/>
            <w:sz w:val="30"/>
            <w:szCs w:val="30"/>
          </w:rPr>
          <w:t xml:space="preserve">  </w:t>
        </w:r>
        <w:r>
          <w:rPr>
            <w:rStyle w:val="Hyperlink"/>
            <w:rFonts w:hint="eastAsia"/>
            <w:b/>
            <w:sz w:val="30"/>
            <w:szCs w:val="30"/>
          </w:rPr>
          <w:t>概述</w:t>
        </w:r>
        <w:r>
          <w:rPr>
            <w:b/>
            <w:sz w:val="30"/>
            <w:szCs w:val="30"/>
          </w:rPr>
          <w:tab/>
        </w:r>
        <w:r>
          <w:rPr>
            <w:b/>
            <w:sz w:val="30"/>
            <w:szCs w:val="30"/>
          </w:rPr>
          <w:fldChar w:fldCharType="begin"/>
        </w:r>
        <w:r>
          <w:rPr>
            <w:b/>
            <w:sz w:val="30"/>
            <w:szCs w:val="30"/>
          </w:rPr>
          <w:instrText xml:space="preserve"> PAGEREF _Toc457318253 \h </w:instrText>
        </w:r>
        <w:r>
          <w:rPr>
            <w:b/>
            <w:sz w:val="30"/>
            <w:szCs w:val="30"/>
          </w:rPr>
          <w:fldChar w:fldCharType="separate"/>
        </w:r>
        <w:r>
          <w:rPr>
            <w:b/>
            <w:sz w:val="30"/>
            <w:szCs w:val="30"/>
          </w:rPr>
          <w:t>2</w:t>
        </w:r>
        <w:r>
          <w:rPr>
            <w:b/>
            <w:sz w:val="30"/>
            <w:szCs w:val="30"/>
          </w:rPr>
          <w:fldChar w:fldCharType="end"/>
        </w:r>
      </w:hyperlink>
    </w:p>
    <w:p>
      <w:pPr>
        <w:pStyle w:val="TOC2"/>
        <w:tabs>
          <w:tab w:val="right" w:leader="middleDot" w:pos="8495"/>
        </w:tabs>
        <w:spacing w:line="520" w:lineRule="exact"/>
        <w:rPr>
          <w:rFonts w:ascii="Calibri" w:hAnsi="Calibri"/>
          <w:sz w:val="30"/>
          <w:szCs w:val="30"/>
        </w:rPr>
      </w:pPr>
      <w:hyperlink w:anchor="_Toc457318254" w:history="1">
        <w:r>
          <w:rPr>
            <w:rStyle w:val="Hyperlink"/>
            <w:rFonts w:hint="eastAsia"/>
            <w:sz w:val="30"/>
            <w:szCs w:val="30"/>
          </w:rPr>
          <w:t>一、编制依据</w:t>
        </w:r>
        <w:r>
          <w:rPr>
            <w:sz w:val="30"/>
            <w:szCs w:val="30"/>
          </w:rPr>
          <w:tab/>
        </w:r>
        <w:r>
          <w:rPr>
            <w:sz w:val="30"/>
            <w:szCs w:val="30"/>
          </w:rPr>
          <w:fldChar w:fldCharType="begin"/>
        </w:r>
        <w:r>
          <w:rPr>
            <w:sz w:val="30"/>
            <w:szCs w:val="30"/>
          </w:rPr>
          <w:instrText xml:space="preserve"> PAGEREF _Toc457318254 \h </w:instrText>
        </w:r>
        <w:r>
          <w:rPr>
            <w:sz w:val="30"/>
            <w:szCs w:val="30"/>
          </w:rPr>
          <w:fldChar w:fldCharType="separate"/>
        </w:r>
        <w:r>
          <w:rPr>
            <w:sz w:val="30"/>
            <w:szCs w:val="30"/>
          </w:rPr>
          <w:t>2</w:t>
        </w:r>
        <w:r>
          <w:rPr>
            <w:sz w:val="30"/>
            <w:szCs w:val="30"/>
          </w:rPr>
          <w:fldChar w:fldCharType="end"/>
        </w:r>
      </w:hyperlink>
    </w:p>
    <w:p>
      <w:pPr>
        <w:pStyle w:val="TOC2"/>
        <w:tabs>
          <w:tab w:val="right" w:leader="middleDot" w:pos="8495"/>
        </w:tabs>
        <w:spacing w:line="520" w:lineRule="exact"/>
        <w:rPr>
          <w:rFonts w:ascii="Calibri" w:hAnsi="Calibri"/>
          <w:sz w:val="30"/>
          <w:szCs w:val="30"/>
        </w:rPr>
      </w:pPr>
      <w:hyperlink w:anchor="_Toc457318255" w:history="1">
        <w:r>
          <w:rPr>
            <w:rStyle w:val="Hyperlink"/>
            <w:rFonts w:hint="eastAsia"/>
            <w:sz w:val="30"/>
            <w:szCs w:val="30"/>
          </w:rPr>
          <w:t>二、监测目的</w:t>
        </w:r>
        <w:r>
          <w:rPr>
            <w:sz w:val="30"/>
            <w:szCs w:val="30"/>
          </w:rPr>
          <w:tab/>
        </w:r>
        <w:r>
          <w:rPr>
            <w:sz w:val="30"/>
            <w:szCs w:val="30"/>
          </w:rPr>
          <w:fldChar w:fldCharType="begin"/>
        </w:r>
        <w:r>
          <w:rPr>
            <w:sz w:val="30"/>
            <w:szCs w:val="30"/>
          </w:rPr>
          <w:instrText xml:space="preserve"> PAGEREF _Toc457318255 \h </w:instrText>
        </w:r>
        <w:r>
          <w:rPr>
            <w:sz w:val="30"/>
            <w:szCs w:val="30"/>
          </w:rPr>
          <w:fldChar w:fldCharType="separate"/>
        </w:r>
        <w:r>
          <w:rPr>
            <w:sz w:val="30"/>
            <w:szCs w:val="30"/>
          </w:rPr>
          <w:t>3</w:t>
        </w:r>
        <w:r>
          <w:rPr>
            <w:sz w:val="30"/>
            <w:szCs w:val="30"/>
          </w:rPr>
          <w:fldChar w:fldCharType="end"/>
        </w:r>
      </w:hyperlink>
    </w:p>
    <w:p>
      <w:pPr>
        <w:pStyle w:val="TOC2"/>
        <w:tabs>
          <w:tab w:val="right" w:leader="middleDot" w:pos="8495"/>
        </w:tabs>
        <w:spacing w:line="520" w:lineRule="exact"/>
        <w:rPr>
          <w:rFonts w:ascii="Calibri" w:hAnsi="Calibri"/>
          <w:sz w:val="30"/>
          <w:szCs w:val="30"/>
        </w:rPr>
      </w:pPr>
      <w:hyperlink w:anchor="_Toc457318256" w:history="1">
        <w:r>
          <w:rPr>
            <w:rStyle w:val="Hyperlink"/>
            <w:rFonts w:hint="eastAsia"/>
            <w:sz w:val="30"/>
            <w:szCs w:val="30"/>
          </w:rPr>
          <w:t>三、评价标准</w:t>
        </w:r>
        <w:r>
          <w:rPr>
            <w:sz w:val="30"/>
            <w:szCs w:val="30"/>
          </w:rPr>
          <w:tab/>
        </w:r>
        <w:r>
          <w:rPr>
            <w:sz w:val="30"/>
            <w:szCs w:val="30"/>
          </w:rPr>
          <w:fldChar w:fldCharType="begin"/>
        </w:r>
        <w:r>
          <w:rPr>
            <w:sz w:val="30"/>
            <w:szCs w:val="30"/>
          </w:rPr>
          <w:instrText xml:space="preserve"> PAGEREF _Toc457318256 \h </w:instrText>
        </w:r>
        <w:r>
          <w:rPr>
            <w:sz w:val="30"/>
            <w:szCs w:val="30"/>
          </w:rPr>
          <w:fldChar w:fldCharType="separate"/>
        </w:r>
        <w:r>
          <w:rPr>
            <w:sz w:val="30"/>
            <w:szCs w:val="30"/>
          </w:rPr>
          <w:t>3</w:t>
        </w:r>
        <w:r>
          <w:rPr>
            <w:sz w:val="30"/>
            <w:szCs w:val="30"/>
          </w:rPr>
          <w:fldChar w:fldCharType="end"/>
        </w:r>
      </w:hyperlink>
    </w:p>
    <w:p>
      <w:pPr>
        <w:pStyle w:val="TOC2"/>
        <w:tabs>
          <w:tab w:val="right" w:leader="middleDot" w:pos="8495"/>
        </w:tabs>
        <w:spacing w:line="520" w:lineRule="exact"/>
        <w:rPr>
          <w:rFonts w:ascii="Calibri" w:hAnsi="Calibri"/>
          <w:sz w:val="30"/>
          <w:szCs w:val="30"/>
        </w:rPr>
      </w:pPr>
      <w:hyperlink w:anchor="_Toc457318257" w:history="1">
        <w:r>
          <w:rPr>
            <w:rStyle w:val="Hyperlink"/>
            <w:rFonts w:hint="eastAsia"/>
            <w:sz w:val="30"/>
            <w:szCs w:val="30"/>
          </w:rPr>
          <w:t>四、环评结论及批复</w:t>
        </w:r>
        <w:r>
          <w:rPr>
            <w:sz w:val="30"/>
            <w:szCs w:val="30"/>
          </w:rPr>
          <w:tab/>
        </w:r>
        <w:r>
          <w:rPr>
            <w:sz w:val="30"/>
            <w:szCs w:val="30"/>
          </w:rPr>
          <w:fldChar w:fldCharType="begin"/>
        </w:r>
        <w:r>
          <w:rPr>
            <w:sz w:val="30"/>
            <w:szCs w:val="30"/>
          </w:rPr>
          <w:instrText xml:space="preserve"> PAGEREF _Toc457318257 \h </w:instrText>
        </w:r>
        <w:r>
          <w:rPr>
            <w:sz w:val="30"/>
            <w:szCs w:val="30"/>
          </w:rPr>
          <w:fldChar w:fldCharType="separate"/>
        </w:r>
        <w:r>
          <w:rPr>
            <w:sz w:val="30"/>
            <w:szCs w:val="30"/>
          </w:rPr>
          <w:t>4</w:t>
        </w:r>
        <w:r>
          <w:rPr>
            <w:sz w:val="30"/>
            <w:szCs w:val="30"/>
          </w:rPr>
          <w:fldChar w:fldCharType="end"/>
        </w:r>
      </w:hyperlink>
    </w:p>
    <w:p>
      <w:pPr>
        <w:pStyle w:val="TOC1"/>
        <w:tabs>
          <w:tab w:val="right" w:leader="middleDot" w:pos="8495"/>
        </w:tabs>
        <w:spacing w:line="520" w:lineRule="exact"/>
        <w:rPr>
          <w:rFonts w:ascii="Calibri" w:hAnsi="Calibri"/>
          <w:b/>
          <w:sz w:val="30"/>
          <w:szCs w:val="30"/>
        </w:rPr>
      </w:pPr>
      <w:hyperlink w:anchor="_Toc457318258" w:history="1">
        <w:r>
          <w:rPr>
            <w:rStyle w:val="Hyperlink"/>
            <w:rFonts w:hint="eastAsia"/>
            <w:b/>
            <w:sz w:val="30"/>
            <w:szCs w:val="30"/>
          </w:rPr>
          <w:t>第二章</w:t>
        </w:r>
        <w:r>
          <w:rPr>
            <w:rStyle w:val="Hyperlink"/>
            <w:b/>
            <w:sz w:val="30"/>
            <w:szCs w:val="30"/>
          </w:rPr>
          <w:t xml:space="preserve">  </w:t>
        </w:r>
        <w:r>
          <w:rPr>
            <w:rStyle w:val="Hyperlink"/>
            <w:rFonts w:hint="eastAsia"/>
            <w:b/>
            <w:sz w:val="30"/>
            <w:szCs w:val="30"/>
          </w:rPr>
          <w:t>企业概况及污染分析</w:t>
        </w:r>
        <w:r>
          <w:rPr>
            <w:b/>
            <w:sz w:val="30"/>
            <w:szCs w:val="30"/>
          </w:rPr>
          <w:tab/>
        </w:r>
        <w:r>
          <w:rPr>
            <w:b/>
            <w:sz w:val="30"/>
            <w:szCs w:val="30"/>
          </w:rPr>
          <w:fldChar w:fldCharType="begin"/>
        </w:r>
        <w:r>
          <w:rPr>
            <w:b/>
            <w:sz w:val="30"/>
            <w:szCs w:val="30"/>
          </w:rPr>
          <w:instrText xml:space="preserve"> PAGEREF _Toc457318258 \h </w:instrText>
        </w:r>
        <w:r>
          <w:rPr>
            <w:b/>
            <w:sz w:val="30"/>
            <w:szCs w:val="30"/>
          </w:rPr>
          <w:fldChar w:fldCharType="separate"/>
        </w:r>
        <w:r>
          <w:rPr>
            <w:b/>
            <w:sz w:val="30"/>
            <w:szCs w:val="30"/>
          </w:rPr>
          <w:t>6</w:t>
        </w:r>
        <w:r>
          <w:rPr>
            <w:b/>
            <w:sz w:val="30"/>
            <w:szCs w:val="30"/>
          </w:rPr>
          <w:fldChar w:fldCharType="end"/>
        </w:r>
      </w:hyperlink>
    </w:p>
    <w:p>
      <w:pPr>
        <w:pStyle w:val="TOC2"/>
        <w:tabs>
          <w:tab w:val="right" w:leader="middleDot" w:pos="8495"/>
        </w:tabs>
        <w:spacing w:line="520" w:lineRule="exact"/>
        <w:rPr>
          <w:rFonts w:ascii="Calibri" w:hAnsi="Calibri"/>
          <w:sz w:val="30"/>
          <w:szCs w:val="30"/>
        </w:rPr>
      </w:pPr>
      <w:hyperlink w:anchor="_Toc457318259" w:history="1">
        <w:r>
          <w:rPr>
            <w:rStyle w:val="Hyperlink"/>
            <w:rFonts w:hint="eastAsia"/>
            <w:sz w:val="30"/>
            <w:szCs w:val="30"/>
          </w:rPr>
          <w:t>一、企业概况</w:t>
        </w:r>
        <w:r>
          <w:rPr>
            <w:sz w:val="30"/>
            <w:szCs w:val="30"/>
          </w:rPr>
          <w:tab/>
        </w:r>
        <w:r>
          <w:rPr>
            <w:sz w:val="30"/>
            <w:szCs w:val="30"/>
          </w:rPr>
          <w:fldChar w:fldCharType="begin"/>
        </w:r>
        <w:r>
          <w:rPr>
            <w:sz w:val="30"/>
            <w:szCs w:val="30"/>
          </w:rPr>
          <w:instrText xml:space="preserve"> PAGEREF _Toc457318259 \h </w:instrText>
        </w:r>
        <w:r>
          <w:rPr>
            <w:sz w:val="30"/>
            <w:szCs w:val="30"/>
          </w:rPr>
          <w:fldChar w:fldCharType="separate"/>
        </w:r>
        <w:r>
          <w:rPr>
            <w:sz w:val="30"/>
            <w:szCs w:val="30"/>
          </w:rPr>
          <w:t>6</w:t>
        </w:r>
        <w:r>
          <w:rPr>
            <w:sz w:val="30"/>
            <w:szCs w:val="30"/>
          </w:rPr>
          <w:fldChar w:fldCharType="end"/>
        </w:r>
      </w:hyperlink>
    </w:p>
    <w:p>
      <w:pPr>
        <w:pStyle w:val="TOC2"/>
        <w:tabs>
          <w:tab w:val="right" w:leader="middleDot" w:pos="8495"/>
        </w:tabs>
        <w:spacing w:line="520" w:lineRule="exact"/>
        <w:rPr>
          <w:rFonts w:ascii="Calibri" w:hAnsi="Calibri"/>
          <w:sz w:val="30"/>
          <w:szCs w:val="30"/>
        </w:rPr>
      </w:pPr>
      <w:hyperlink w:anchor="_Toc457318260" w:history="1">
        <w:r>
          <w:rPr>
            <w:rStyle w:val="Hyperlink"/>
            <w:rFonts w:hint="eastAsia"/>
            <w:sz w:val="30"/>
            <w:szCs w:val="30"/>
          </w:rPr>
          <w:t>二、生产工艺</w:t>
        </w:r>
        <w:r>
          <w:rPr>
            <w:sz w:val="30"/>
            <w:szCs w:val="30"/>
          </w:rPr>
          <w:tab/>
        </w:r>
        <w:r>
          <w:rPr>
            <w:sz w:val="30"/>
            <w:szCs w:val="30"/>
          </w:rPr>
          <w:fldChar w:fldCharType="begin"/>
        </w:r>
        <w:r>
          <w:rPr>
            <w:sz w:val="30"/>
            <w:szCs w:val="30"/>
          </w:rPr>
          <w:instrText xml:space="preserve"> PAGEREF _Toc457318260 \h </w:instrText>
        </w:r>
        <w:r>
          <w:rPr>
            <w:sz w:val="30"/>
            <w:szCs w:val="30"/>
          </w:rPr>
          <w:fldChar w:fldCharType="separate"/>
        </w:r>
        <w:r>
          <w:rPr>
            <w:sz w:val="30"/>
            <w:szCs w:val="30"/>
          </w:rPr>
          <w:t>8</w:t>
        </w:r>
        <w:r>
          <w:rPr>
            <w:sz w:val="30"/>
            <w:szCs w:val="30"/>
          </w:rPr>
          <w:fldChar w:fldCharType="end"/>
        </w:r>
      </w:hyperlink>
    </w:p>
    <w:p>
      <w:pPr>
        <w:pStyle w:val="TOC2"/>
        <w:tabs>
          <w:tab w:val="right" w:leader="middleDot" w:pos="8495"/>
        </w:tabs>
        <w:spacing w:line="520" w:lineRule="exact"/>
        <w:rPr>
          <w:rFonts w:ascii="Calibri" w:hAnsi="Calibri"/>
          <w:sz w:val="30"/>
          <w:szCs w:val="30"/>
        </w:rPr>
      </w:pPr>
      <w:hyperlink w:anchor="_Toc457318261" w:history="1">
        <w:r>
          <w:rPr>
            <w:rStyle w:val="Hyperlink"/>
            <w:rFonts w:hint="eastAsia"/>
            <w:sz w:val="30"/>
            <w:szCs w:val="30"/>
          </w:rPr>
          <w:t>三、污染源和污染物分析</w:t>
        </w:r>
        <w:r>
          <w:rPr>
            <w:sz w:val="30"/>
            <w:szCs w:val="30"/>
          </w:rPr>
          <w:tab/>
        </w:r>
        <w:r>
          <w:rPr>
            <w:sz w:val="30"/>
            <w:szCs w:val="30"/>
          </w:rPr>
          <w:fldChar w:fldCharType="begin"/>
        </w:r>
        <w:r>
          <w:rPr>
            <w:sz w:val="30"/>
            <w:szCs w:val="30"/>
          </w:rPr>
          <w:instrText xml:space="preserve"> PAGEREF _Toc457318261 \h </w:instrText>
        </w:r>
        <w:r>
          <w:rPr>
            <w:sz w:val="30"/>
            <w:szCs w:val="30"/>
          </w:rPr>
          <w:fldChar w:fldCharType="separate"/>
        </w:r>
        <w:r>
          <w:rPr>
            <w:sz w:val="30"/>
            <w:szCs w:val="30"/>
          </w:rPr>
          <w:t>12</w:t>
        </w:r>
        <w:r>
          <w:rPr>
            <w:sz w:val="30"/>
            <w:szCs w:val="30"/>
          </w:rPr>
          <w:fldChar w:fldCharType="end"/>
        </w:r>
      </w:hyperlink>
    </w:p>
    <w:p>
      <w:pPr>
        <w:pStyle w:val="TOC1"/>
        <w:tabs>
          <w:tab w:val="right" w:leader="middleDot" w:pos="8495"/>
        </w:tabs>
        <w:spacing w:line="520" w:lineRule="exact"/>
        <w:rPr>
          <w:rFonts w:ascii="Calibri" w:hAnsi="Calibri"/>
          <w:b/>
          <w:sz w:val="30"/>
          <w:szCs w:val="30"/>
        </w:rPr>
      </w:pPr>
      <w:hyperlink w:anchor="_Toc457318262" w:history="1">
        <w:r>
          <w:rPr>
            <w:rStyle w:val="Hyperlink"/>
            <w:rFonts w:hint="eastAsia"/>
            <w:b/>
            <w:sz w:val="30"/>
            <w:szCs w:val="30"/>
          </w:rPr>
          <w:t>第三章</w:t>
        </w:r>
        <w:r>
          <w:rPr>
            <w:rStyle w:val="Hyperlink"/>
            <w:b/>
            <w:sz w:val="30"/>
            <w:szCs w:val="30"/>
          </w:rPr>
          <w:t xml:space="preserve">  </w:t>
        </w:r>
        <w:r>
          <w:rPr>
            <w:rStyle w:val="Hyperlink"/>
            <w:rFonts w:hint="eastAsia"/>
            <w:b/>
            <w:sz w:val="30"/>
            <w:szCs w:val="30"/>
          </w:rPr>
          <w:t>环保治理设施情况</w:t>
        </w:r>
        <w:r>
          <w:rPr>
            <w:b/>
            <w:sz w:val="30"/>
            <w:szCs w:val="30"/>
          </w:rPr>
          <w:tab/>
        </w:r>
        <w:r>
          <w:rPr>
            <w:b/>
            <w:sz w:val="30"/>
            <w:szCs w:val="30"/>
          </w:rPr>
          <w:fldChar w:fldCharType="begin"/>
        </w:r>
        <w:r>
          <w:rPr>
            <w:b/>
            <w:sz w:val="30"/>
            <w:szCs w:val="30"/>
          </w:rPr>
          <w:instrText xml:space="preserve"> PAGEREF _Toc457318262 \h </w:instrText>
        </w:r>
        <w:r>
          <w:rPr>
            <w:b/>
            <w:sz w:val="30"/>
            <w:szCs w:val="30"/>
          </w:rPr>
          <w:fldChar w:fldCharType="separate"/>
        </w:r>
        <w:r>
          <w:rPr>
            <w:b/>
            <w:sz w:val="30"/>
            <w:szCs w:val="30"/>
          </w:rPr>
          <w:t>13</w:t>
        </w:r>
        <w:r>
          <w:rPr>
            <w:b/>
            <w:sz w:val="30"/>
            <w:szCs w:val="30"/>
          </w:rPr>
          <w:fldChar w:fldCharType="end"/>
        </w:r>
      </w:hyperlink>
    </w:p>
    <w:p>
      <w:pPr>
        <w:pStyle w:val="TOC2"/>
        <w:tabs>
          <w:tab w:val="right" w:leader="middleDot" w:pos="8495"/>
        </w:tabs>
        <w:spacing w:line="520" w:lineRule="exact"/>
        <w:rPr>
          <w:rFonts w:ascii="Calibri" w:hAnsi="Calibri"/>
          <w:sz w:val="30"/>
          <w:szCs w:val="30"/>
        </w:rPr>
      </w:pPr>
      <w:hyperlink w:anchor="_Toc457318263" w:history="1">
        <w:r>
          <w:rPr>
            <w:rStyle w:val="Hyperlink"/>
            <w:rFonts w:hint="eastAsia"/>
            <w:sz w:val="30"/>
            <w:szCs w:val="30"/>
          </w:rPr>
          <w:t>一、废水处理设施</w:t>
        </w:r>
        <w:r>
          <w:rPr>
            <w:sz w:val="30"/>
            <w:szCs w:val="30"/>
          </w:rPr>
          <w:tab/>
        </w:r>
        <w:r>
          <w:rPr>
            <w:sz w:val="30"/>
            <w:szCs w:val="30"/>
          </w:rPr>
          <w:fldChar w:fldCharType="begin"/>
        </w:r>
        <w:r>
          <w:rPr>
            <w:sz w:val="30"/>
            <w:szCs w:val="30"/>
          </w:rPr>
          <w:instrText xml:space="preserve"> PAGEREF _Toc457318263 \h </w:instrText>
        </w:r>
        <w:r>
          <w:rPr>
            <w:sz w:val="30"/>
            <w:szCs w:val="30"/>
          </w:rPr>
          <w:fldChar w:fldCharType="separate"/>
        </w:r>
        <w:r>
          <w:rPr>
            <w:sz w:val="30"/>
            <w:szCs w:val="30"/>
          </w:rPr>
          <w:t>13</w:t>
        </w:r>
        <w:r>
          <w:rPr>
            <w:sz w:val="30"/>
            <w:szCs w:val="30"/>
          </w:rPr>
          <w:fldChar w:fldCharType="end"/>
        </w:r>
      </w:hyperlink>
    </w:p>
    <w:p>
      <w:pPr>
        <w:pStyle w:val="TOC2"/>
        <w:tabs>
          <w:tab w:val="right" w:leader="middleDot" w:pos="8495"/>
        </w:tabs>
        <w:spacing w:line="520" w:lineRule="exact"/>
        <w:rPr>
          <w:rFonts w:ascii="Calibri" w:hAnsi="Calibri"/>
          <w:sz w:val="30"/>
          <w:szCs w:val="30"/>
        </w:rPr>
      </w:pPr>
      <w:hyperlink w:anchor="_Toc457318264" w:history="1">
        <w:r>
          <w:rPr>
            <w:rStyle w:val="Hyperlink"/>
            <w:rFonts w:hint="eastAsia"/>
            <w:sz w:val="30"/>
            <w:szCs w:val="30"/>
          </w:rPr>
          <w:t>二、废气处理设施</w:t>
        </w:r>
        <w:r>
          <w:rPr>
            <w:sz w:val="30"/>
            <w:szCs w:val="30"/>
          </w:rPr>
          <w:tab/>
        </w:r>
        <w:r>
          <w:rPr>
            <w:sz w:val="30"/>
            <w:szCs w:val="30"/>
          </w:rPr>
          <w:fldChar w:fldCharType="begin"/>
        </w:r>
        <w:r>
          <w:rPr>
            <w:sz w:val="30"/>
            <w:szCs w:val="30"/>
          </w:rPr>
          <w:instrText xml:space="preserve"> PAGEREF _Toc457318264 \h </w:instrText>
        </w:r>
        <w:r>
          <w:rPr>
            <w:sz w:val="30"/>
            <w:szCs w:val="30"/>
          </w:rPr>
          <w:fldChar w:fldCharType="separate"/>
        </w:r>
        <w:r>
          <w:rPr>
            <w:sz w:val="30"/>
            <w:szCs w:val="30"/>
          </w:rPr>
          <w:t>14</w:t>
        </w:r>
        <w:r>
          <w:rPr>
            <w:sz w:val="30"/>
            <w:szCs w:val="30"/>
          </w:rPr>
          <w:fldChar w:fldCharType="end"/>
        </w:r>
      </w:hyperlink>
    </w:p>
    <w:p>
      <w:pPr>
        <w:pStyle w:val="TOC1"/>
        <w:tabs>
          <w:tab w:val="right" w:leader="middleDot" w:pos="8495"/>
        </w:tabs>
        <w:spacing w:line="520" w:lineRule="exact"/>
        <w:rPr>
          <w:rFonts w:ascii="Calibri" w:hAnsi="Calibri"/>
          <w:b/>
          <w:sz w:val="30"/>
          <w:szCs w:val="30"/>
        </w:rPr>
      </w:pPr>
      <w:hyperlink w:anchor="_Toc457318265" w:history="1">
        <w:r>
          <w:rPr>
            <w:rStyle w:val="Hyperlink"/>
            <w:rFonts w:hint="eastAsia"/>
            <w:b/>
            <w:sz w:val="30"/>
            <w:szCs w:val="30"/>
          </w:rPr>
          <w:t>第四章</w:t>
        </w:r>
        <w:r>
          <w:rPr>
            <w:rStyle w:val="Hyperlink"/>
            <w:b/>
            <w:sz w:val="30"/>
            <w:szCs w:val="30"/>
          </w:rPr>
          <w:t xml:space="preserve">  </w:t>
        </w:r>
        <w:r>
          <w:rPr>
            <w:rStyle w:val="Hyperlink"/>
            <w:rFonts w:hint="eastAsia"/>
            <w:b/>
            <w:sz w:val="30"/>
            <w:szCs w:val="30"/>
          </w:rPr>
          <w:t>验收监测具体内容</w:t>
        </w:r>
        <w:r>
          <w:rPr>
            <w:b/>
            <w:sz w:val="30"/>
            <w:szCs w:val="30"/>
          </w:rPr>
          <w:tab/>
        </w:r>
        <w:r>
          <w:rPr>
            <w:b/>
            <w:sz w:val="30"/>
            <w:szCs w:val="30"/>
          </w:rPr>
          <w:fldChar w:fldCharType="begin"/>
        </w:r>
        <w:r>
          <w:rPr>
            <w:b/>
            <w:sz w:val="30"/>
            <w:szCs w:val="30"/>
          </w:rPr>
          <w:instrText xml:space="preserve"> PAGEREF _Toc457318265 \h </w:instrText>
        </w:r>
        <w:r>
          <w:rPr>
            <w:b/>
            <w:sz w:val="30"/>
            <w:szCs w:val="30"/>
          </w:rPr>
          <w:fldChar w:fldCharType="separate"/>
        </w:r>
        <w:r>
          <w:rPr>
            <w:b/>
            <w:sz w:val="30"/>
            <w:szCs w:val="30"/>
          </w:rPr>
          <w:t>14</w:t>
        </w:r>
        <w:r>
          <w:rPr>
            <w:b/>
            <w:sz w:val="30"/>
            <w:szCs w:val="30"/>
          </w:rPr>
          <w:fldChar w:fldCharType="end"/>
        </w:r>
      </w:hyperlink>
    </w:p>
    <w:p>
      <w:pPr>
        <w:pStyle w:val="TOC2"/>
        <w:tabs>
          <w:tab w:val="right" w:leader="middleDot" w:pos="8495"/>
        </w:tabs>
        <w:spacing w:line="520" w:lineRule="exact"/>
        <w:rPr>
          <w:rFonts w:ascii="Calibri" w:hAnsi="Calibri"/>
          <w:sz w:val="30"/>
          <w:szCs w:val="30"/>
        </w:rPr>
      </w:pPr>
      <w:hyperlink w:anchor="_Toc457318266" w:history="1">
        <w:r>
          <w:rPr>
            <w:rStyle w:val="Hyperlink"/>
            <w:rFonts w:hint="eastAsia"/>
            <w:sz w:val="30"/>
            <w:szCs w:val="30"/>
          </w:rPr>
          <w:t>一、监测内容</w:t>
        </w:r>
        <w:r>
          <w:rPr>
            <w:sz w:val="30"/>
            <w:szCs w:val="30"/>
          </w:rPr>
          <w:tab/>
        </w:r>
        <w:r>
          <w:rPr>
            <w:sz w:val="30"/>
            <w:szCs w:val="30"/>
          </w:rPr>
          <w:fldChar w:fldCharType="begin"/>
        </w:r>
        <w:r>
          <w:rPr>
            <w:sz w:val="30"/>
            <w:szCs w:val="30"/>
          </w:rPr>
          <w:instrText xml:space="preserve"> PAGEREF _Toc457318266 \h </w:instrText>
        </w:r>
        <w:r>
          <w:rPr>
            <w:sz w:val="30"/>
            <w:szCs w:val="30"/>
          </w:rPr>
          <w:fldChar w:fldCharType="separate"/>
        </w:r>
        <w:r>
          <w:rPr>
            <w:sz w:val="30"/>
            <w:szCs w:val="30"/>
          </w:rPr>
          <w:t>14</w:t>
        </w:r>
        <w:r>
          <w:rPr>
            <w:sz w:val="30"/>
            <w:szCs w:val="30"/>
          </w:rPr>
          <w:fldChar w:fldCharType="end"/>
        </w:r>
      </w:hyperlink>
    </w:p>
    <w:p>
      <w:pPr>
        <w:pStyle w:val="TOC2"/>
        <w:tabs>
          <w:tab w:val="right" w:leader="middleDot" w:pos="8495"/>
        </w:tabs>
        <w:spacing w:line="520" w:lineRule="exact"/>
        <w:rPr>
          <w:rFonts w:ascii="Calibri" w:hAnsi="Calibri"/>
          <w:sz w:val="30"/>
          <w:szCs w:val="30"/>
        </w:rPr>
      </w:pPr>
      <w:hyperlink w:anchor="_Toc457318267" w:history="1">
        <w:r>
          <w:rPr>
            <w:rStyle w:val="Hyperlink"/>
            <w:rFonts w:hint="eastAsia"/>
            <w:sz w:val="30"/>
            <w:szCs w:val="30"/>
          </w:rPr>
          <w:t>二、分析方法</w:t>
        </w:r>
        <w:r>
          <w:rPr>
            <w:sz w:val="30"/>
            <w:szCs w:val="30"/>
          </w:rPr>
          <w:tab/>
        </w:r>
        <w:r>
          <w:rPr>
            <w:sz w:val="30"/>
            <w:szCs w:val="30"/>
          </w:rPr>
          <w:fldChar w:fldCharType="begin"/>
        </w:r>
        <w:r>
          <w:rPr>
            <w:sz w:val="30"/>
            <w:szCs w:val="30"/>
          </w:rPr>
          <w:instrText xml:space="preserve"> PAGEREF _Toc457318267 \h </w:instrText>
        </w:r>
        <w:r>
          <w:rPr>
            <w:sz w:val="30"/>
            <w:szCs w:val="30"/>
          </w:rPr>
          <w:fldChar w:fldCharType="separate"/>
        </w:r>
        <w:r>
          <w:rPr>
            <w:sz w:val="30"/>
            <w:szCs w:val="30"/>
          </w:rPr>
          <w:t>14</w:t>
        </w:r>
        <w:r>
          <w:rPr>
            <w:sz w:val="30"/>
            <w:szCs w:val="30"/>
          </w:rPr>
          <w:fldChar w:fldCharType="end"/>
        </w:r>
      </w:hyperlink>
    </w:p>
    <w:p>
      <w:pPr>
        <w:pStyle w:val="TOC2"/>
        <w:tabs>
          <w:tab w:val="right" w:leader="middleDot" w:pos="8495"/>
        </w:tabs>
        <w:spacing w:line="520" w:lineRule="exact"/>
        <w:rPr>
          <w:rFonts w:ascii="Calibri" w:hAnsi="Calibri"/>
          <w:sz w:val="30"/>
          <w:szCs w:val="30"/>
        </w:rPr>
      </w:pPr>
      <w:hyperlink w:anchor="_Toc457318268" w:history="1">
        <w:r>
          <w:rPr>
            <w:rStyle w:val="Hyperlink"/>
            <w:rFonts w:hint="eastAsia"/>
            <w:sz w:val="30"/>
            <w:szCs w:val="30"/>
          </w:rPr>
          <w:t>三、质量保证</w:t>
        </w:r>
        <w:r>
          <w:rPr>
            <w:sz w:val="30"/>
            <w:szCs w:val="30"/>
          </w:rPr>
          <w:tab/>
        </w:r>
        <w:r>
          <w:rPr>
            <w:sz w:val="30"/>
            <w:szCs w:val="30"/>
          </w:rPr>
          <w:fldChar w:fldCharType="begin"/>
        </w:r>
        <w:r>
          <w:rPr>
            <w:sz w:val="30"/>
            <w:szCs w:val="30"/>
          </w:rPr>
          <w:instrText xml:space="preserve"> PAGEREF _Toc457318268 \h </w:instrText>
        </w:r>
        <w:r>
          <w:rPr>
            <w:sz w:val="30"/>
            <w:szCs w:val="30"/>
          </w:rPr>
          <w:fldChar w:fldCharType="separate"/>
        </w:r>
        <w:r>
          <w:rPr>
            <w:sz w:val="30"/>
            <w:szCs w:val="30"/>
          </w:rPr>
          <w:t>15</w:t>
        </w:r>
        <w:r>
          <w:rPr>
            <w:sz w:val="30"/>
            <w:szCs w:val="30"/>
          </w:rPr>
          <w:fldChar w:fldCharType="end"/>
        </w:r>
      </w:hyperlink>
    </w:p>
    <w:p>
      <w:pPr>
        <w:pStyle w:val="TOC2"/>
        <w:tabs>
          <w:tab w:val="right" w:leader="middleDot" w:pos="8495"/>
        </w:tabs>
        <w:spacing w:line="520" w:lineRule="exact"/>
        <w:rPr>
          <w:rFonts w:ascii="Calibri" w:hAnsi="Calibri"/>
          <w:sz w:val="30"/>
          <w:szCs w:val="30"/>
        </w:rPr>
      </w:pPr>
      <w:hyperlink w:anchor="_Toc457318269" w:history="1">
        <w:r>
          <w:rPr>
            <w:rStyle w:val="Hyperlink"/>
            <w:rFonts w:hint="eastAsia"/>
            <w:bCs/>
            <w:sz w:val="30"/>
            <w:szCs w:val="30"/>
          </w:rPr>
          <w:t>四、</w:t>
        </w:r>
        <w:r>
          <w:rPr>
            <w:rStyle w:val="Hyperlink"/>
            <w:rFonts w:hint="eastAsia"/>
            <w:sz w:val="30"/>
            <w:szCs w:val="30"/>
          </w:rPr>
          <w:t>实施情况和工况分析</w:t>
        </w:r>
        <w:r>
          <w:rPr>
            <w:sz w:val="30"/>
            <w:szCs w:val="30"/>
          </w:rPr>
          <w:tab/>
        </w:r>
        <w:r>
          <w:rPr>
            <w:sz w:val="30"/>
            <w:szCs w:val="30"/>
          </w:rPr>
          <w:fldChar w:fldCharType="begin"/>
        </w:r>
        <w:r>
          <w:rPr>
            <w:sz w:val="30"/>
            <w:szCs w:val="30"/>
          </w:rPr>
          <w:instrText xml:space="preserve"> PAGEREF _Toc457318269 \h </w:instrText>
        </w:r>
        <w:r>
          <w:rPr>
            <w:sz w:val="30"/>
            <w:szCs w:val="30"/>
          </w:rPr>
          <w:fldChar w:fldCharType="separate"/>
        </w:r>
        <w:r>
          <w:rPr>
            <w:sz w:val="30"/>
            <w:szCs w:val="30"/>
          </w:rPr>
          <w:t>16</w:t>
        </w:r>
        <w:r>
          <w:rPr>
            <w:sz w:val="30"/>
            <w:szCs w:val="30"/>
          </w:rPr>
          <w:fldChar w:fldCharType="end"/>
        </w:r>
      </w:hyperlink>
    </w:p>
    <w:p>
      <w:pPr>
        <w:pStyle w:val="TOC2"/>
        <w:tabs>
          <w:tab w:val="right" w:leader="middleDot" w:pos="8495"/>
        </w:tabs>
        <w:spacing w:line="520" w:lineRule="exact"/>
        <w:rPr>
          <w:rFonts w:ascii="Calibri" w:hAnsi="Calibri"/>
          <w:sz w:val="30"/>
          <w:szCs w:val="30"/>
        </w:rPr>
      </w:pPr>
      <w:hyperlink w:anchor="_Toc457318270" w:history="1">
        <w:r>
          <w:rPr>
            <w:rStyle w:val="Hyperlink"/>
            <w:rFonts w:hint="eastAsia"/>
            <w:bCs/>
            <w:sz w:val="30"/>
            <w:szCs w:val="30"/>
          </w:rPr>
          <w:t>五、</w:t>
        </w:r>
        <w:r>
          <w:rPr>
            <w:rStyle w:val="Hyperlink"/>
            <w:rFonts w:hint="eastAsia"/>
            <w:sz w:val="30"/>
            <w:szCs w:val="30"/>
          </w:rPr>
          <w:t>监测结果与评价</w:t>
        </w:r>
        <w:r>
          <w:rPr>
            <w:sz w:val="30"/>
            <w:szCs w:val="30"/>
          </w:rPr>
          <w:tab/>
        </w:r>
        <w:r>
          <w:rPr>
            <w:sz w:val="30"/>
            <w:szCs w:val="30"/>
          </w:rPr>
          <w:fldChar w:fldCharType="begin"/>
        </w:r>
        <w:r>
          <w:rPr>
            <w:sz w:val="30"/>
            <w:szCs w:val="30"/>
          </w:rPr>
          <w:instrText xml:space="preserve"> PAGEREF _Toc457318270 \h </w:instrText>
        </w:r>
        <w:r>
          <w:rPr>
            <w:sz w:val="30"/>
            <w:szCs w:val="30"/>
          </w:rPr>
          <w:fldChar w:fldCharType="separate"/>
        </w:r>
        <w:r>
          <w:rPr>
            <w:sz w:val="30"/>
            <w:szCs w:val="30"/>
          </w:rPr>
          <w:t>16</w:t>
        </w:r>
        <w:r>
          <w:rPr>
            <w:sz w:val="30"/>
            <w:szCs w:val="30"/>
          </w:rPr>
          <w:fldChar w:fldCharType="end"/>
        </w:r>
      </w:hyperlink>
    </w:p>
    <w:p>
      <w:pPr>
        <w:pStyle w:val="TOC1"/>
        <w:tabs>
          <w:tab w:val="right" w:leader="middleDot" w:pos="8495"/>
        </w:tabs>
        <w:spacing w:line="520" w:lineRule="exact"/>
        <w:rPr>
          <w:rFonts w:ascii="Calibri" w:hAnsi="Calibri"/>
          <w:b/>
          <w:sz w:val="30"/>
          <w:szCs w:val="30"/>
        </w:rPr>
      </w:pPr>
      <w:hyperlink w:anchor="_Toc457318271" w:history="1">
        <w:r>
          <w:rPr>
            <w:rStyle w:val="Hyperlink"/>
            <w:rFonts w:hint="eastAsia"/>
            <w:b/>
            <w:sz w:val="30"/>
            <w:szCs w:val="30"/>
          </w:rPr>
          <w:t>第五章</w:t>
        </w:r>
        <w:r>
          <w:rPr>
            <w:rStyle w:val="Hyperlink"/>
            <w:b/>
            <w:sz w:val="30"/>
            <w:szCs w:val="30"/>
          </w:rPr>
          <w:t xml:space="preserve">  </w:t>
        </w:r>
        <w:r>
          <w:rPr>
            <w:rStyle w:val="Hyperlink"/>
            <w:rFonts w:hint="eastAsia"/>
            <w:b/>
            <w:sz w:val="30"/>
            <w:szCs w:val="30"/>
          </w:rPr>
          <w:t>环境风险防范和应急措施</w:t>
        </w:r>
        <w:r>
          <w:rPr>
            <w:b/>
            <w:sz w:val="30"/>
            <w:szCs w:val="30"/>
          </w:rPr>
          <w:tab/>
        </w:r>
        <w:r>
          <w:rPr>
            <w:b/>
            <w:sz w:val="30"/>
            <w:szCs w:val="30"/>
          </w:rPr>
          <w:fldChar w:fldCharType="begin"/>
        </w:r>
        <w:r>
          <w:rPr>
            <w:b/>
            <w:sz w:val="30"/>
            <w:szCs w:val="30"/>
          </w:rPr>
          <w:instrText xml:space="preserve"> PAGEREF _Toc457318271 \h </w:instrText>
        </w:r>
        <w:r>
          <w:rPr>
            <w:b/>
            <w:sz w:val="30"/>
            <w:szCs w:val="30"/>
          </w:rPr>
          <w:fldChar w:fldCharType="separate"/>
        </w:r>
        <w:r>
          <w:rPr>
            <w:b/>
            <w:sz w:val="30"/>
            <w:szCs w:val="30"/>
          </w:rPr>
          <w:t>21</w:t>
        </w:r>
        <w:r>
          <w:rPr>
            <w:b/>
            <w:sz w:val="30"/>
            <w:szCs w:val="30"/>
          </w:rPr>
          <w:fldChar w:fldCharType="end"/>
        </w:r>
      </w:hyperlink>
    </w:p>
    <w:p>
      <w:pPr>
        <w:pStyle w:val="TOC2"/>
        <w:tabs>
          <w:tab w:val="right" w:leader="middleDot" w:pos="8495"/>
        </w:tabs>
        <w:spacing w:line="520" w:lineRule="exact"/>
        <w:rPr>
          <w:rFonts w:ascii="Calibri" w:hAnsi="Calibri"/>
          <w:sz w:val="30"/>
          <w:szCs w:val="30"/>
        </w:rPr>
      </w:pPr>
      <w:hyperlink w:anchor="_Toc457318272" w:history="1">
        <w:r>
          <w:rPr>
            <w:rStyle w:val="Hyperlink"/>
            <w:rFonts w:hint="eastAsia"/>
            <w:sz w:val="30"/>
            <w:szCs w:val="30"/>
          </w:rPr>
          <w:t>一、环境风险防范</w:t>
        </w:r>
        <w:r>
          <w:rPr>
            <w:sz w:val="30"/>
            <w:szCs w:val="30"/>
          </w:rPr>
          <w:tab/>
        </w:r>
        <w:r>
          <w:rPr>
            <w:sz w:val="30"/>
            <w:szCs w:val="30"/>
          </w:rPr>
          <w:fldChar w:fldCharType="begin"/>
        </w:r>
        <w:r>
          <w:rPr>
            <w:sz w:val="30"/>
            <w:szCs w:val="30"/>
          </w:rPr>
          <w:instrText xml:space="preserve"> PAGEREF _Toc457318272 \h </w:instrText>
        </w:r>
        <w:r>
          <w:rPr>
            <w:sz w:val="30"/>
            <w:szCs w:val="30"/>
          </w:rPr>
          <w:fldChar w:fldCharType="separate"/>
        </w:r>
        <w:r>
          <w:rPr>
            <w:sz w:val="30"/>
            <w:szCs w:val="30"/>
          </w:rPr>
          <w:t>21</w:t>
        </w:r>
        <w:r>
          <w:rPr>
            <w:sz w:val="30"/>
            <w:szCs w:val="30"/>
          </w:rPr>
          <w:fldChar w:fldCharType="end"/>
        </w:r>
      </w:hyperlink>
    </w:p>
    <w:p>
      <w:pPr>
        <w:pStyle w:val="TOC2"/>
        <w:tabs>
          <w:tab w:val="right" w:leader="middleDot" w:pos="8495"/>
        </w:tabs>
        <w:spacing w:line="520" w:lineRule="exact"/>
        <w:rPr>
          <w:rFonts w:ascii="Calibri" w:hAnsi="Calibri"/>
          <w:sz w:val="30"/>
          <w:szCs w:val="30"/>
        </w:rPr>
      </w:pPr>
      <w:hyperlink w:anchor="_Toc457318273" w:history="1">
        <w:r>
          <w:rPr>
            <w:rStyle w:val="Hyperlink"/>
            <w:rFonts w:hint="eastAsia"/>
            <w:sz w:val="30"/>
            <w:szCs w:val="30"/>
          </w:rPr>
          <w:t>二、应急措施</w:t>
        </w:r>
        <w:r>
          <w:rPr>
            <w:sz w:val="30"/>
            <w:szCs w:val="30"/>
          </w:rPr>
          <w:tab/>
        </w:r>
        <w:r>
          <w:rPr>
            <w:sz w:val="30"/>
            <w:szCs w:val="30"/>
          </w:rPr>
          <w:fldChar w:fldCharType="begin"/>
        </w:r>
        <w:r>
          <w:rPr>
            <w:sz w:val="30"/>
            <w:szCs w:val="30"/>
          </w:rPr>
          <w:instrText xml:space="preserve"> PAGEREF _Toc457318273 \h </w:instrText>
        </w:r>
        <w:r>
          <w:rPr>
            <w:sz w:val="30"/>
            <w:szCs w:val="30"/>
          </w:rPr>
          <w:fldChar w:fldCharType="separate"/>
        </w:r>
        <w:r>
          <w:rPr>
            <w:sz w:val="30"/>
            <w:szCs w:val="30"/>
          </w:rPr>
          <w:t>21</w:t>
        </w:r>
        <w:r>
          <w:rPr>
            <w:sz w:val="30"/>
            <w:szCs w:val="30"/>
          </w:rPr>
          <w:fldChar w:fldCharType="end"/>
        </w:r>
      </w:hyperlink>
    </w:p>
    <w:p>
      <w:pPr>
        <w:pStyle w:val="TOC1"/>
        <w:tabs>
          <w:tab w:val="right" w:leader="middleDot" w:pos="8495"/>
        </w:tabs>
        <w:spacing w:line="520" w:lineRule="exact"/>
        <w:rPr>
          <w:rFonts w:ascii="Calibri" w:hAnsi="Calibri"/>
          <w:b/>
          <w:sz w:val="30"/>
          <w:szCs w:val="30"/>
        </w:rPr>
      </w:pPr>
      <w:hyperlink w:anchor="_Toc457318274" w:history="1">
        <w:r>
          <w:rPr>
            <w:rStyle w:val="Hyperlink"/>
            <w:rFonts w:hint="eastAsia"/>
            <w:b/>
            <w:sz w:val="30"/>
            <w:szCs w:val="30"/>
          </w:rPr>
          <w:t>第六章</w:t>
        </w:r>
        <w:r>
          <w:rPr>
            <w:rStyle w:val="Hyperlink"/>
            <w:b/>
            <w:sz w:val="30"/>
            <w:szCs w:val="30"/>
          </w:rPr>
          <w:t xml:space="preserve">  </w:t>
        </w:r>
        <w:r>
          <w:rPr>
            <w:rStyle w:val="Hyperlink"/>
            <w:rFonts w:hint="eastAsia"/>
            <w:b/>
            <w:sz w:val="30"/>
            <w:szCs w:val="30"/>
          </w:rPr>
          <w:t>结论与建议</w:t>
        </w:r>
        <w:r>
          <w:rPr>
            <w:b/>
            <w:sz w:val="30"/>
            <w:szCs w:val="30"/>
          </w:rPr>
          <w:tab/>
        </w:r>
        <w:r>
          <w:rPr>
            <w:b/>
            <w:sz w:val="30"/>
            <w:szCs w:val="30"/>
          </w:rPr>
          <w:fldChar w:fldCharType="begin"/>
        </w:r>
        <w:r>
          <w:rPr>
            <w:b/>
            <w:sz w:val="30"/>
            <w:szCs w:val="30"/>
          </w:rPr>
          <w:instrText xml:space="preserve"> PAGEREF _Toc457318274 \h </w:instrText>
        </w:r>
        <w:r>
          <w:rPr>
            <w:b/>
            <w:sz w:val="30"/>
            <w:szCs w:val="30"/>
          </w:rPr>
          <w:fldChar w:fldCharType="separate"/>
        </w:r>
        <w:r>
          <w:rPr>
            <w:b/>
            <w:sz w:val="30"/>
            <w:szCs w:val="30"/>
          </w:rPr>
          <w:t>24</w:t>
        </w:r>
        <w:r>
          <w:rPr>
            <w:b/>
            <w:sz w:val="30"/>
            <w:szCs w:val="30"/>
          </w:rPr>
          <w:fldChar w:fldCharType="end"/>
        </w:r>
      </w:hyperlink>
    </w:p>
    <w:p>
      <w:pPr>
        <w:pStyle w:val="TOC2"/>
        <w:tabs>
          <w:tab w:val="right" w:leader="middleDot" w:pos="8495"/>
        </w:tabs>
        <w:spacing w:line="520" w:lineRule="exact"/>
        <w:rPr>
          <w:rFonts w:ascii="Calibri" w:hAnsi="Calibri"/>
          <w:sz w:val="30"/>
          <w:szCs w:val="30"/>
        </w:rPr>
      </w:pPr>
      <w:hyperlink w:anchor="_Toc457318275" w:history="1">
        <w:r>
          <w:rPr>
            <w:rStyle w:val="Hyperlink"/>
            <w:rFonts w:hint="eastAsia"/>
            <w:bCs/>
            <w:sz w:val="30"/>
            <w:szCs w:val="30"/>
          </w:rPr>
          <w:t>一、</w:t>
        </w:r>
        <w:r>
          <w:rPr>
            <w:rStyle w:val="Hyperlink"/>
            <w:rFonts w:hint="eastAsia"/>
            <w:sz w:val="30"/>
            <w:szCs w:val="30"/>
          </w:rPr>
          <w:t>主要结论</w:t>
        </w:r>
        <w:r>
          <w:rPr>
            <w:sz w:val="30"/>
            <w:szCs w:val="30"/>
          </w:rPr>
          <w:tab/>
        </w:r>
        <w:r>
          <w:rPr>
            <w:sz w:val="30"/>
            <w:szCs w:val="30"/>
          </w:rPr>
          <w:fldChar w:fldCharType="begin"/>
        </w:r>
        <w:r>
          <w:rPr>
            <w:sz w:val="30"/>
            <w:szCs w:val="30"/>
          </w:rPr>
          <w:instrText xml:space="preserve"> PAGEREF _Toc457318275 \h </w:instrText>
        </w:r>
        <w:r>
          <w:rPr>
            <w:sz w:val="30"/>
            <w:szCs w:val="30"/>
          </w:rPr>
          <w:fldChar w:fldCharType="separate"/>
        </w:r>
        <w:r>
          <w:rPr>
            <w:sz w:val="30"/>
            <w:szCs w:val="30"/>
          </w:rPr>
          <w:t>24</w:t>
        </w:r>
        <w:r>
          <w:rPr>
            <w:sz w:val="30"/>
            <w:szCs w:val="30"/>
          </w:rPr>
          <w:fldChar w:fldCharType="end"/>
        </w:r>
      </w:hyperlink>
    </w:p>
    <w:p>
      <w:pPr>
        <w:pStyle w:val="TOC2"/>
        <w:tabs>
          <w:tab w:val="right" w:leader="middleDot" w:pos="8495"/>
        </w:tabs>
        <w:spacing w:line="520" w:lineRule="exact"/>
        <w:rPr>
          <w:rFonts w:eastAsia="黑体"/>
          <w:sz w:val="30"/>
          <w:szCs w:val="30"/>
        </w:rPr>
        <w:sectPr>
          <w:headerReference w:type="default" r:id="rId8"/>
          <w:footerReference w:type="even" r:id="rId9"/>
          <w:footerReference w:type="default" r:id="rId10"/>
          <w:pgSz w:w="11907" w:h="16840"/>
          <w:pgMar w:top="1418" w:right="1701" w:bottom="1418" w:left="1701" w:header="851" w:footer="992" w:gutter="0"/>
          <w:pgNumType w:start="2"/>
          <w:cols w:space="708"/>
          <w:docGrid w:type="lines" w:linePitch="312"/>
        </w:sectPr>
      </w:pPr>
      <w:hyperlink w:anchor="_Toc457318276" w:history="1">
        <w:r>
          <w:rPr>
            <w:rStyle w:val="Hyperlink"/>
            <w:rFonts w:hint="eastAsia"/>
            <w:bCs/>
            <w:sz w:val="30"/>
            <w:szCs w:val="30"/>
          </w:rPr>
          <w:t>二、</w:t>
        </w:r>
        <w:r>
          <w:rPr>
            <w:rStyle w:val="Hyperlink"/>
            <w:rFonts w:hint="eastAsia"/>
            <w:sz w:val="30"/>
            <w:szCs w:val="30"/>
          </w:rPr>
          <w:t>建议</w:t>
        </w:r>
        <w:r>
          <w:rPr>
            <w:sz w:val="30"/>
            <w:szCs w:val="30"/>
          </w:rPr>
          <w:tab/>
        </w:r>
        <w:r>
          <w:rPr>
            <w:sz w:val="30"/>
            <w:szCs w:val="30"/>
          </w:rPr>
          <w:fldChar w:fldCharType="begin"/>
        </w:r>
        <w:r>
          <w:rPr>
            <w:sz w:val="30"/>
            <w:szCs w:val="30"/>
          </w:rPr>
          <w:instrText xml:space="preserve"> PAGEREF _Toc457318276 \h </w:instrText>
        </w:r>
        <w:r>
          <w:rPr>
            <w:sz w:val="30"/>
            <w:szCs w:val="30"/>
          </w:rPr>
          <w:fldChar w:fldCharType="separate"/>
        </w:r>
        <w:r>
          <w:rPr>
            <w:sz w:val="30"/>
            <w:szCs w:val="30"/>
          </w:rPr>
          <w:t>26</w:t>
        </w:r>
        <w:r>
          <w:rPr>
            <w:sz w:val="30"/>
            <w:szCs w:val="30"/>
          </w:rPr>
          <w:fldChar w:fldCharType="end"/>
        </w:r>
      </w:hyperlink>
      <w:r>
        <w:rPr>
          <w:sz w:val="30"/>
          <w:szCs w:val="30"/>
        </w:rPr>
        <w:fldChar w:fldCharType="end"/>
      </w:r>
      <w:r>
        <w:rPr>
          <w:rFonts w:hint="eastAsia"/>
          <w:sz w:val="30"/>
          <w:szCs w:val="30"/>
        </w:rPr>
        <w:t xml:space="preserve"> </w:t>
      </w:r>
    </w:p>
    <w:p>
      <w:pPr>
        <w:pStyle w:val="-4"/>
        <w:numPr>
          <w:ilvl w:val="0"/>
          <w:numId w:val="0"/>
        </w:numPr>
        <w:snapToGrid/>
        <w:spacing w:before="480" w:beforeLines="200" w:after="120" w:afterLines="50" w:line="360" w:lineRule="auto"/>
        <w:rPr>
          <w:rFonts w:hint="eastAsia"/>
          <w:sz w:val="36"/>
          <w:szCs w:val="36"/>
        </w:rPr>
      </w:pPr>
      <w:bookmarkStart w:id="4" w:name="_Toc364754122"/>
      <w:bookmarkStart w:id="5" w:name="_Toc453828916"/>
      <w:bookmarkStart w:id="6" w:name="_Toc457318252"/>
      <w:bookmarkStart w:id="7" w:name="_Toc273447934"/>
      <w:bookmarkStart w:id="8" w:name="_Toc273447639"/>
      <w:bookmarkStart w:id="9" w:name="_Toc436059297"/>
      <w:bookmarkStart w:id="10" w:name="_Toc377628293"/>
      <w:bookmarkStart w:id="11" w:name="_Toc364754124"/>
      <w:bookmarkStart w:id="12" w:name="_Toc436059302"/>
      <w:bookmarkEnd w:id="0"/>
      <w:r>
        <w:rPr>
          <w:rFonts w:hint="eastAsia"/>
          <w:sz w:val="36"/>
          <w:szCs w:val="36"/>
        </w:rPr>
        <w:t>前  言</w:t>
      </w:r>
      <w:bookmarkEnd w:id="4"/>
      <w:bookmarkEnd w:id="5"/>
      <w:bookmarkEnd w:id="6"/>
      <w:bookmarkEnd w:id="7"/>
      <w:bookmarkEnd w:id="8"/>
      <w:bookmarkEnd w:id="9"/>
      <w:bookmarkEnd w:id="10"/>
    </w:p>
    <w:p>
      <w:pPr>
        <w:pStyle w:val="1"/>
        <w:spacing w:line="360" w:lineRule="auto"/>
        <w:ind w:firstLine="560" w:firstLineChars="200"/>
        <w:rPr>
          <w:rFonts w:hint="eastAsia"/>
          <w:color w:val="000000"/>
          <w:sz w:val="28"/>
          <w:szCs w:val="28"/>
          <w:lang w:eastAsia="zh-CN"/>
        </w:rPr>
      </w:pPr>
      <w:bookmarkStart w:id="13" w:name="_Toc273447640"/>
      <w:bookmarkStart w:id="14" w:name="_Toc273447935"/>
      <w:bookmarkStart w:id="15" w:name="_Toc12184451"/>
      <w:r>
        <w:rPr>
          <w:rFonts w:hint="eastAsia"/>
          <w:color w:val="000000"/>
          <w:sz w:val="28"/>
          <w:szCs w:val="28"/>
          <w:lang w:eastAsia="zh-CN"/>
        </w:rPr>
        <w:t>嘉利达（平阳）明胶有限公司属外商独资，坐落在平阳县鳌江镇钱仓办事处东江村104国道旁，2005年9月原有年产1100吨明胶，其中药用明胶200吨、食用明胶900吨项目，通过平阳县环境保护局审批（平环建[2005]117号）。2011年1月通过平阳县环境保护局组织的环保竣工</w:t>
      </w:r>
      <w:r>
        <w:rPr>
          <w:rFonts w:hint="eastAsia"/>
          <w:color w:val="000000"/>
          <w:kern w:val="2"/>
          <w:sz w:val="28"/>
          <w:szCs w:val="28"/>
          <w:lang w:val="en-US" w:eastAsia="zh-CN" w:bidi="ar-SA"/>
        </w:rPr>
        <w:t>验收（平环验[2011]2号），依法申领了排污许可证（编号：浙CJ2012A0176）。嘉利达（平阳）明胶有限公司老厂房改造项目经平阳县发展和改革局批复立项（平发改投资[2012]276号、平发改投资[2015]44号），老厂房改造项目建设内容包括：利用企业现有变压器和已改建完成的污水处理站，拆除老厂原有部分建筑物（原有建筑总建筑面积约9194 m</w:t>
      </w:r>
      <w:r>
        <w:rPr>
          <w:rFonts w:hint="eastAsia"/>
          <w:color w:val="000000"/>
          <w:kern w:val="2"/>
          <w:sz w:val="28"/>
          <w:szCs w:val="28"/>
          <w:vertAlign w:val="superscript"/>
          <w:lang w:val="en-US" w:eastAsia="zh-CN" w:bidi="ar-SA"/>
        </w:rPr>
        <w:t>2</w:t>
      </w:r>
      <w:r>
        <w:rPr>
          <w:rFonts w:hint="eastAsia"/>
          <w:color w:val="000000"/>
          <w:kern w:val="2"/>
          <w:sz w:val="28"/>
          <w:szCs w:val="28"/>
          <w:lang w:val="en-US" w:eastAsia="zh-CN" w:bidi="ar-SA"/>
        </w:rPr>
        <w:t>，被拆除建筑面积约4472m</w:t>
      </w:r>
      <w:r>
        <w:rPr>
          <w:rFonts w:hint="eastAsia"/>
          <w:color w:val="000000"/>
          <w:kern w:val="2"/>
          <w:sz w:val="28"/>
          <w:szCs w:val="28"/>
          <w:vertAlign w:val="superscript"/>
          <w:lang w:val="en-US" w:eastAsia="zh-CN" w:bidi="ar-SA"/>
        </w:rPr>
        <w:t>2</w:t>
      </w:r>
      <w:r>
        <w:rPr>
          <w:rFonts w:hint="eastAsia"/>
          <w:color w:val="000000"/>
          <w:kern w:val="2"/>
          <w:sz w:val="28"/>
          <w:szCs w:val="28"/>
          <w:lang w:val="en-US" w:eastAsia="zh-CN" w:bidi="ar-SA"/>
        </w:rPr>
        <w:t>），新建生产车间、成品仓库等，新增计容建筑面积约13323m</w:t>
      </w:r>
      <w:r>
        <w:rPr>
          <w:rFonts w:hint="eastAsia"/>
          <w:color w:val="000000"/>
          <w:kern w:val="2"/>
          <w:sz w:val="28"/>
          <w:szCs w:val="28"/>
          <w:vertAlign w:val="superscript"/>
          <w:lang w:val="en-US" w:eastAsia="zh-CN" w:bidi="ar-SA"/>
        </w:rPr>
        <w:t>2</w:t>
      </w:r>
      <w:r>
        <w:rPr>
          <w:rFonts w:hint="eastAsia"/>
          <w:color w:val="000000"/>
          <w:kern w:val="2"/>
          <w:sz w:val="28"/>
          <w:szCs w:val="28"/>
          <w:lang w:val="en-US" w:eastAsia="zh-CN" w:bidi="ar-SA"/>
        </w:rPr>
        <w:t>，同时引进切皮机、挤胶机、粉碎机等先进设备，配套国内先进设备和相关公用设施。投产后将形成年产4500吨明胶生产能力。</w:t>
      </w:r>
    </w:p>
    <w:p>
      <w:pPr>
        <w:pStyle w:val="01"/>
        <w:ind w:firstLine="560"/>
        <w:rPr>
          <w:rFonts w:hint="eastAsia"/>
          <w:color w:val="000000"/>
          <w:sz w:val="28"/>
          <w:szCs w:val="28"/>
        </w:rPr>
      </w:pPr>
      <w:bookmarkStart w:id="16" w:name="OLE_LINK13"/>
      <w:r>
        <w:rPr>
          <w:rFonts w:hint="eastAsia"/>
          <w:color w:val="000000"/>
          <w:sz w:val="28"/>
          <w:szCs w:val="28"/>
          <w:lang w:eastAsia="zh-CN"/>
        </w:rPr>
        <w:t>嘉利达（平阳）明胶有限公司</w:t>
      </w:r>
      <w:r>
        <w:rPr>
          <w:rFonts w:hint="eastAsia"/>
          <w:color w:val="000000"/>
          <w:sz w:val="28"/>
          <w:szCs w:val="28"/>
          <w:lang w:val="en-US" w:eastAsia="zh-CN"/>
        </w:rPr>
        <w:t>老厂房改造</w:t>
      </w:r>
      <w:r>
        <w:rPr>
          <w:rFonts w:hint="eastAsia"/>
          <w:color w:val="000000"/>
          <w:sz w:val="28"/>
          <w:szCs w:val="28"/>
        </w:rPr>
        <w:t>项目</w:t>
      </w:r>
      <w:bookmarkEnd w:id="16"/>
      <w:r>
        <w:rPr>
          <w:rFonts w:hint="eastAsia"/>
          <w:color w:val="000000"/>
          <w:sz w:val="28"/>
          <w:szCs w:val="28"/>
        </w:rPr>
        <w:t>201</w:t>
      </w:r>
      <w:r>
        <w:rPr>
          <w:rFonts w:hint="eastAsia"/>
          <w:color w:val="000000"/>
          <w:sz w:val="28"/>
          <w:szCs w:val="28"/>
          <w:lang w:val="en-US" w:eastAsia="zh-CN"/>
        </w:rPr>
        <w:t>5</w:t>
      </w:r>
      <w:r>
        <w:rPr>
          <w:rFonts w:hint="eastAsia"/>
          <w:color w:val="000000"/>
          <w:sz w:val="28"/>
          <w:szCs w:val="28"/>
        </w:rPr>
        <w:t>年</w:t>
      </w:r>
      <w:r>
        <w:rPr>
          <w:rFonts w:hint="eastAsia"/>
          <w:color w:val="000000"/>
          <w:sz w:val="28"/>
          <w:szCs w:val="28"/>
          <w:lang w:val="en-US" w:eastAsia="zh-CN"/>
        </w:rPr>
        <w:t>10</w:t>
      </w:r>
      <w:r>
        <w:rPr>
          <w:rFonts w:hint="eastAsia"/>
          <w:color w:val="000000"/>
          <w:sz w:val="28"/>
          <w:szCs w:val="28"/>
        </w:rPr>
        <w:t>月企业委托</w:t>
      </w:r>
      <w:r>
        <w:rPr>
          <w:rFonts w:hint="eastAsia"/>
          <w:color w:val="000000"/>
          <w:sz w:val="28"/>
          <w:szCs w:val="28"/>
          <w:lang w:eastAsia="zh-CN"/>
        </w:rPr>
        <w:t>浙江中蓝环境科技有限公司</w:t>
      </w:r>
      <w:r>
        <w:rPr>
          <w:rFonts w:hint="eastAsia"/>
          <w:color w:val="000000"/>
          <w:sz w:val="28"/>
          <w:szCs w:val="28"/>
        </w:rPr>
        <w:t>编制完成环境影响报告书，</w:t>
      </w:r>
      <w:r>
        <w:rPr>
          <w:color w:val="000000"/>
          <w:sz w:val="28"/>
          <w:szCs w:val="28"/>
        </w:rPr>
        <w:t>并</w:t>
      </w:r>
      <w:r>
        <w:rPr>
          <w:rFonts w:hint="eastAsia"/>
          <w:color w:val="000000"/>
          <w:sz w:val="28"/>
          <w:szCs w:val="28"/>
        </w:rPr>
        <w:t>于201</w:t>
      </w:r>
      <w:r>
        <w:rPr>
          <w:rFonts w:hint="eastAsia"/>
          <w:color w:val="000000"/>
          <w:sz w:val="28"/>
          <w:szCs w:val="28"/>
          <w:lang w:val="en-US" w:eastAsia="zh-CN"/>
        </w:rPr>
        <w:t>5</w:t>
      </w:r>
      <w:r>
        <w:rPr>
          <w:rFonts w:hint="eastAsia"/>
          <w:color w:val="000000"/>
          <w:sz w:val="28"/>
          <w:szCs w:val="28"/>
        </w:rPr>
        <w:t>年</w:t>
      </w:r>
      <w:r>
        <w:rPr>
          <w:rFonts w:hint="eastAsia"/>
          <w:color w:val="000000"/>
          <w:sz w:val="28"/>
          <w:szCs w:val="28"/>
          <w:lang w:val="en-US" w:eastAsia="zh-CN"/>
        </w:rPr>
        <w:t>10</w:t>
      </w:r>
      <w:r>
        <w:rPr>
          <w:rFonts w:hint="eastAsia"/>
          <w:color w:val="000000"/>
          <w:sz w:val="28"/>
          <w:szCs w:val="28"/>
        </w:rPr>
        <w:t>月</w:t>
      </w:r>
      <w:r>
        <w:rPr>
          <w:rFonts w:hint="eastAsia"/>
          <w:color w:val="000000"/>
          <w:sz w:val="28"/>
          <w:szCs w:val="28"/>
          <w:lang w:val="en-US" w:eastAsia="zh-CN"/>
        </w:rPr>
        <w:t>26</w:t>
      </w:r>
      <w:r>
        <w:rPr>
          <w:rFonts w:hint="eastAsia"/>
          <w:color w:val="000000"/>
          <w:sz w:val="28"/>
          <w:szCs w:val="28"/>
        </w:rPr>
        <w:t>日</w:t>
      </w:r>
      <w:r>
        <w:rPr>
          <w:color w:val="000000"/>
          <w:sz w:val="28"/>
          <w:szCs w:val="28"/>
        </w:rPr>
        <w:t>通过温州市</w:t>
      </w:r>
      <w:r>
        <w:rPr>
          <w:rFonts w:hint="eastAsia"/>
          <w:color w:val="000000"/>
          <w:sz w:val="28"/>
          <w:szCs w:val="28"/>
        </w:rPr>
        <w:t>环境</w:t>
      </w:r>
      <w:r>
        <w:rPr>
          <w:color w:val="000000"/>
          <w:sz w:val="28"/>
          <w:szCs w:val="28"/>
        </w:rPr>
        <w:t>环保局审批</w:t>
      </w:r>
      <w:r>
        <w:rPr>
          <w:rFonts w:ascii="宋体" w:hAnsi="宋体" w:hint="eastAsia"/>
          <w:color w:val="000000"/>
          <w:sz w:val="28"/>
          <w:szCs w:val="28"/>
        </w:rPr>
        <w:t>(</w:t>
      </w:r>
      <w:r>
        <w:rPr>
          <w:color w:val="000000"/>
          <w:sz w:val="28"/>
          <w:szCs w:val="28"/>
        </w:rPr>
        <w:t>温环建[20</w:t>
      </w:r>
      <w:r>
        <w:rPr>
          <w:rFonts w:hint="eastAsia"/>
          <w:color w:val="000000"/>
          <w:sz w:val="28"/>
          <w:szCs w:val="28"/>
        </w:rPr>
        <w:t>1</w:t>
      </w:r>
      <w:r>
        <w:rPr>
          <w:rFonts w:hint="eastAsia"/>
          <w:color w:val="000000"/>
          <w:sz w:val="28"/>
          <w:szCs w:val="28"/>
          <w:lang w:val="en-US" w:eastAsia="zh-CN"/>
        </w:rPr>
        <w:t>5</w:t>
      </w:r>
      <w:r>
        <w:rPr>
          <w:color w:val="000000"/>
          <w:sz w:val="28"/>
          <w:szCs w:val="28"/>
        </w:rPr>
        <w:t>]0</w:t>
      </w:r>
      <w:r>
        <w:rPr>
          <w:rFonts w:hint="eastAsia"/>
          <w:color w:val="000000"/>
          <w:sz w:val="28"/>
          <w:szCs w:val="28"/>
          <w:lang w:val="en-US" w:eastAsia="zh-CN"/>
        </w:rPr>
        <w:t>65</w:t>
      </w:r>
      <w:r>
        <w:rPr>
          <w:color w:val="000000"/>
          <w:sz w:val="28"/>
          <w:szCs w:val="28"/>
        </w:rPr>
        <w:t>号</w:t>
      </w:r>
      <w:r>
        <w:rPr>
          <w:rFonts w:ascii="宋体" w:hAnsi="宋体" w:hint="eastAsia"/>
          <w:color w:val="000000"/>
          <w:sz w:val="28"/>
          <w:szCs w:val="28"/>
        </w:rPr>
        <w:t>)</w:t>
      </w:r>
      <w:r>
        <w:rPr>
          <w:color w:val="000000"/>
          <w:sz w:val="28"/>
          <w:szCs w:val="28"/>
        </w:rPr>
        <w:t>。</w:t>
      </w:r>
      <w:r>
        <w:rPr>
          <w:rFonts w:hint="eastAsia"/>
          <w:color w:val="000000"/>
          <w:sz w:val="28"/>
          <w:szCs w:val="28"/>
        </w:rPr>
        <w:t>项目</w:t>
      </w:r>
      <w:r>
        <w:rPr>
          <w:color w:val="000000"/>
          <w:sz w:val="28"/>
          <w:szCs w:val="28"/>
        </w:rPr>
        <w:t>于20</w:t>
      </w:r>
      <w:r>
        <w:rPr>
          <w:rFonts w:hint="eastAsia"/>
          <w:color w:val="000000"/>
          <w:sz w:val="28"/>
          <w:szCs w:val="28"/>
        </w:rPr>
        <w:t>1</w:t>
      </w:r>
      <w:r>
        <w:rPr>
          <w:rFonts w:hint="eastAsia"/>
          <w:color w:val="000000"/>
          <w:sz w:val="28"/>
          <w:szCs w:val="28"/>
          <w:lang w:val="en-US" w:eastAsia="zh-CN"/>
        </w:rPr>
        <w:t>3</w:t>
      </w:r>
      <w:r>
        <w:rPr>
          <w:color w:val="000000"/>
          <w:sz w:val="28"/>
          <w:szCs w:val="28"/>
        </w:rPr>
        <w:t>年</w:t>
      </w:r>
      <w:r>
        <w:rPr>
          <w:rFonts w:hint="eastAsia"/>
          <w:color w:val="000000"/>
          <w:sz w:val="28"/>
          <w:szCs w:val="28"/>
          <w:lang w:val="en-US" w:eastAsia="zh-CN"/>
        </w:rPr>
        <w:t>3</w:t>
      </w:r>
      <w:r>
        <w:rPr>
          <w:color w:val="000000"/>
          <w:sz w:val="28"/>
          <w:szCs w:val="28"/>
        </w:rPr>
        <w:t>月开工，20</w:t>
      </w:r>
      <w:r>
        <w:rPr>
          <w:rFonts w:hint="eastAsia"/>
          <w:color w:val="000000"/>
          <w:sz w:val="28"/>
          <w:szCs w:val="28"/>
        </w:rPr>
        <w:t>1</w:t>
      </w:r>
      <w:r>
        <w:rPr>
          <w:rFonts w:hint="eastAsia"/>
          <w:color w:val="000000"/>
          <w:sz w:val="28"/>
          <w:szCs w:val="28"/>
          <w:lang w:val="en-US" w:eastAsia="zh-CN"/>
        </w:rPr>
        <w:t>6</w:t>
      </w:r>
      <w:r>
        <w:rPr>
          <w:color w:val="000000"/>
          <w:sz w:val="28"/>
          <w:szCs w:val="28"/>
        </w:rPr>
        <w:t>年</w:t>
      </w:r>
      <w:r>
        <w:rPr>
          <w:rFonts w:hint="eastAsia"/>
          <w:color w:val="000000"/>
          <w:sz w:val="28"/>
          <w:szCs w:val="28"/>
          <w:lang w:val="en-US" w:eastAsia="zh-CN"/>
        </w:rPr>
        <w:t>6</w:t>
      </w:r>
      <w:r>
        <w:rPr>
          <w:color w:val="000000"/>
          <w:sz w:val="28"/>
          <w:szCs w:val="28"/>
        </w:rPr>
        <w:t>月竣工</w:t>
      </w:r>
      <w:r>
        <w:rPr>
          <w:rFonts w:hint="eastAsia"/>
          <w:color w:val="000000"/>
          <w:sz w:val="28"/>
          <w:szCs w:val="28"/>
        </w:rPr>
        <w:t>，201</w:t>
      </w:r>
      <w:r>
        <w:rPr>
          <w:rFonts w:hint="eastAsia"/>
          <w:color w:val="000000"/>
          <w:sz w:val="28"/>
          <w:szCs w:val="28"/>
          <w:lang w:val="en-US" w:eastAsia="zh-CN"/>
        </w:rPr>
        <w:t>6</w:t>
      </w:r>
      <w:r>
        <w:rPr>
          <w:rFonts w:hint="eastAsia"/>
          <w:color w:val="000000"/>
          <w:sz w:val="28"/>
          <w:szCs w:val="28"/>
        </w:rPr>
        <w:t>年</w:t>
      </w:r>
      <w:r>
        <w:rPr>
          <w:rFonts w:hint="eastAsia"/>
          <w:color w:val="000000"/>
          <w:sz w:val="28"/>
          <w:szCs w:val="28"/>
          <w:lang w:val="en-US" w:eastAsia="zh-CN"/>
        </w:rPr>
        <w:t>7</w:t>
      </w:r>
      <w:r>
        <w:rPr>
          <w:rFonts w:hint="eastAsia"/>
          <w:color w:val="000000"/>
          <w:sz w:val="28"/>
          <w:szCs w:val="28"/>
        </w:rPr>
        <w:t>月</w:t>
      </w:r>
      <w:r>
        <w:rPr>
          <w:rFonts w:hint="eastAsia"/>
          <w:color w:val="000000"/>
          <w:sz w:val="28"/>
          <w:szCs w:val="28"/>
          <w:lang w:val="en-US" w:eastAsia="zh-CN"/>
        </w:rPr>
        <w:t>15</w:t>
      </w:r>
      <w:r>
        <w:rPr>
          <w:rFonts w:hint="eastAsia"/>
          <w:color w:val="000000"/>
          <w:sz w:val="28"/>
          <w:szCs w:val="28"/>
        </w:rPr>
        <w:t>日开始</w:t>
      </w:r>
      <w:r>
        <w:rPr>
          <w:color w:val="000000"/>
          <w:sz w:val="28"/>
          <w:szCs w:val="28"/>
        </w:rPr>
        <w:t>投入</w:t>
      </w:r>
      <w:r>
        <w:rPr>
          <w:rFonts w:hint="eastAsia"/>
          <w:color w:val="000000"/>
          <w:sz w:val="28"/>
          <w:szCs w:val="28"/>
        </w:rPr>
        <w:t>试</w:t>
      </w:r>
      <w:r>
        <w:rPr>
          <w:color w:val="000000"/>
          <w:sz w:val="28"/>
          <w:szCs w:val="28"/>
        </w:rPr>
        <w:t>生产</w:t>
      </w:r>
      <w:r>
        <w:rPr>
          <w:rFonts w:hint="eastAsia"/>
          <w:color w:val="000000"/>
          <w:sz w:val="28"/>
          <w:szCs w:val="28"/>
        </w:rPr>
        <w:t>，实际</w:t>
      </w:r>
      <w:r>
        <w:rPr>
          <w:color w:val="000000"/>
          <w:sz w:val="28"/>
          <w:szCs w:val="28"/>
        </w:rPr>
        <w:t>总投资</w:t>
      </w:r>
      <w:r>
        <w:rPr>
          <w:rFonts w:hint="eastAsia"/>
          <w:color w:val="000000"/>
          <w:sz w:val="28"/>
          <w:szCs w:val="28"/>
          <w:lang w:val="en-US" w:eastAsia="zh-CN"/>
        </w:rPr>
        <w:t>16000</w:t>
      </w:r>
      <w:r>
        <w:rPr>
          <w:color w:val="000000"/>
          <w:sz w:val="28"/>
          <w:szCs w:val="28"/>
        </w:rPr>
        <w:t>万元，其中环保投资</w:t>
      </w:r>
      <w:r>
        <w:rPr>
          <w:rFonts w:hint="eastAsia"/>
          <w:color w:val="000000"/>
          <w:sz w:val="28"/>
          <w:szCs w:val="28"/>
          <w:lang w:val="en-US" w:eastAsia="zh-CN"/>
        </w:rPr>
        <w:t>2146</w:t>
      </w:r>
      <w:r>
        <w:rPr>
          <w:color w:val="000000"/>
          <w:sz w:val="28"/>
          <w:szCs w:val="28"/>
        </w:rPr>
        <w:t>万元，占</w:t>
      </w:r>
      <w:r>
        <w:rPr>
          <w:rFonts w:hint="eastAsia"/>
          <w:color w:val="000000"/>
          <w:sz w:val="28"/>
          <w:szCs w:val="28"/>
        </w:rPr>
        <w:t>总</w:t>
      </w:r>
      <w:r>
        <w:rPr>
          <w:color w:val="000000"/>
          <w:sz w:val="28"/>
          <w:szCs w:val="28"/>
        </w:rPr>
        <w:t>投资额的</w:t>
      </w:r>
      <w:r>
        <w:rPr>
          <w:rFonts w:hint="eastAsia"/>
          <w:color w:val="000000"/>
          <w:sz w:val="28"/>
          <w:szCs w:val="28"/>
          <w:lang w:val="en-US" w:eastAsia="zh-CN"/>
        </w:rPr>
        <w:t>13.4</w:t>
      </w:r>
      <w:r>
        <w:rPr>
          <w:rFonts w:hint="eastAsia"/>
          <w:color w:val="000000"/>
          <w:sz w:val="28"/>
          <w:szCs w:val="28"/>
        </w:rPr>
        <w:t>%</w:t>
      </w:r>
      <w:r>
        <w:rPr>
          <w:color w:val="000000"/>
          <w:sz w:val="28"/>
          <w:szCs w:val="28"/>
        </w:rPr>
        <w:t>。</w:t>
      </w:r>
      <w:r>
        <w:rPr>
          <w:rFonts w:hint="eastAsia"/>
          <w:color w:val="000000"/>
          <w:sz w:val="28"/>
          <w:szCs w:val="28"/>
        </w:rPr>
        <w:t>目前技改项目工程各环保设施</w:t>
      </w:r>
      <w:r>
        <w:rPr>
          <w:color w:val="000000"/>
          <w:sz w:val="28"/>
          <w:szCs w:val="28"/>
        </w:rPr>
        <w:t>基本上达到设计要求</w:t>
      </w:r>
      <w:r>
        <w:rPr>
          <w:rFonts w:hint="eastAsia"/>
          <w:color w:val="000000"/>
          <w:sz w:val="28"/>
          <w:szCs w:val="28"/>
        </w:rPr>
        <w:t>并投入运行，基本符合环境保护设施竣工验收监测条件。</w:t>
      </w:r>
    </w:p>
    <w:p>
      <w:pPr>
        <w:pStyle w:val="1"/>
        <w:spacing w:line="360" w:lineRule="auto"/>
        <w:ind w:firstLine="560" w:firstLineChars="200"/>
        <w:rPr>
          <w:rFonts w:ascii="宋体" w:hAnsi="宋体" w:hint="eastAsia"/>
          <w:kern w:val="0"/>
          <w:sz w:val="28"/>
        </w:rPr>
        <w:sectPr>
          <w:headerReference w:type="even" r:id="rId11"/>
          <w:headerReference w:type="default" r:id="rId12"/>
          <w:footerReference w:type="even" r:id="rId13"/>
          <w:footerReference w:type="default" r:id="rId14"/>
          <w:pgSz w:w="11907" w:h="16840"/>
          <w:pgMar w:top="1418" w:right="1418" w:bottom="1021" w:left="1418" w:header="851" w:footer="851" w:gutter="284"/>
          <w:pgNumType w:start="1"/>
          <w:cols w:space="708"/>
          <w:docGrid w:linePitch="289"/>
        </w:sectPr>
      </w:pPr>
      <w:r>
        <w:rPr>
          <w:rFonts w:hint="eastAsia"/>
          <w:color w:val="000000"/>
          <w:sz w:val="28"/>
          <w:szCs w:val="28"/>
        </w:rPr>
        <w:t>我公司受</w:t>
      </w:r>
      <w:r>
        <w:rPr>
          <w:rFonts w:hint="eastAsia"/>
          <w:color w:val="000000"/>
          <w:sz w:val="28"/>
          <w:szCs w:val="28"/>
          <w:lang w:eastAsia="zh-CN"/>
        </w:rPr>
        <w:t>嘉利达（平阳）明胶有限公司</w:t>
      </w:r>
      <w:r>
        <w:rPr>
          <w:rFonts w:hint="eastAsia"/>
          <w:color w:val="000000"/>
          <w:sz w:val="28"/>
          <w:szCs w:val="28"/>
        </w:rPr>
        <w:t>委托，对其</w:t>
      </w:r>
      <w:r>
        <w:rPr>
          <w:rFonts w:hint="eastAsia"/>
          <w:color w:val="000000"/>
          <w:sz w:val="28"/>
          <w:szCs w:val="28"/>
          <w:lang w:val="en-US" w:eastAsia="zh-CN"/>
        </w:rPr>
        <w:t>老厂房改造</w:t>
      </w:r>
      <w:r>
        <w:rPr>
          <w:rFonts w:hint="eastAsia"/>
          <w:color w:val="000000"/>
          <w:sz w:val="28"/>
          <w:szCs w:val="28"/>
        </w:rPr>
        <w:t>项目环境保护设施进行竣工验收监测。我公司参照原国家环境保护局《建设项目环境保护设施竣工验收监测技术要</w:t>
      </w:r>
      <w:r>
        <w:rPr>
          <w:rFonts w:ascii="宋体" w:hAnsi="宋体" w:hint="eastAsia"/>
          <w:color w:val="000000"/>
          <w:sz w:val="28"/>
          <w:szCs w:val="28"/>
        </w:rPr>
        <w:t>求(试行)</w:t>
      </w:r>
      <w:r>
        <w:rPr>
          <w:rFonts w:hint="eastAsia"/>
          <w:color w:val="000000"/>
          <w:sz w:val="28"/>
          <w:szCs w:val="28"/>
        </w:rPr>
        <w:t>》，于201</w:t>
      </w:r>
      <w:r>
        <w:rPr>
          <w:rFonts w:hint="eastAsia"/>
          <w:color w:val="000000"/>
          <w:sz w:val="28"/>
          <w:szCs w:val="28"/>
          <w:lang w:val="en-US" w:eastAsia="zh-CN"/>
        </w:rPr>
        <w:t>6</w:t>
      </w:r>
      <w:r>
        <w:rPr>
          <w:rFonts w:hint="eastAsia"/>
          <w:color w:val="000000"/>
          <w:sz w:val="28"/>
          <w:szCs w:val="28"/>
        </w:rPr>
        <w:t>年4月</w:t>
      </w:r>
      <w:r>
        <w:rPr>
          <w:rFonts w:hint="eastAsia"/>
          <w:color w:val="000000"/>
          <w:sz w:val="28"/>
          <w:szCs w:val="28"/>
          <w:lang w:val="en-US" w:eastAsia="zh-CN"/>
        </w:rPr>
        <w:t>1</w:t>
      </w:r>
      <w:r>
        <w:rPr>
          <w:rFonts w:hint="eastAsia"/>
          <w:color w:val="000000"/>
          <w:sz w:val="28"/>
          <w:szCs w:val="28"/>
        </w:rPr>
        <w:t>2日进行</w:t>
      </w:r>
      <w:r>
        <w:rPr>
          <w:rFonts w:ascii="宋体" w:hAnsi="宋体" w:hint="eastAsia"/>
          <w:color w:val="000000"/>
          <w:sz w:val="28"/>
          <w:szCs w:val="28"/>
        </w:rPr>
        <w:t>现场勘察，在现场调查和收集资料的基础上，</w:t>
      </w:r>
      <w:r>
        <w:rPr>
          <w:rFonts w:hint="eastAsia"/>
          <w:color w:val="000000"/>
          <w:sz w:val="28"/>
          <w:szCs w:val="28"/>
        </w:rPr>
        <w:t>编写了验收监测方案，</w:t>
      </w:r>
    </w:p>
    <w:p>
      <w:pPr>
        <w:pStyle w:val="1"/>
        <w:spacing w:line="360" w:lineRule="auto"/>
        <w:ind w:firstLine="560" w:firstLineChars="200"/>
        <w:rPr>
          <w:rFonts w:ascii="宋体" w:hAnsi="宋体" w:hint="eastAsia"/>
          <w:kern w:val="0"/>
          <w:sz w:val="28"/>
        </w:rPr>
      </w:pPr>
      <w:r>
        <w:rPr>
          <w:rFonts w:hint="eastAsia"/>
          <w:color w:val="000000"/>
          <w:sz w:val="28"/>
        </w:rPr>
        <w:t>并在企业正常生产</w:t>
      </w:r>
      <w:r>
        <w:rPr>
          <w:rFonts w:hint="eastAsia"/>
          <w:color w:val="auto"/>
          <w:sz w:val="28"/>
        </w:rPr>
        <w:t>、环保设施正常运行的情况下于201</w:t>
      </w:r>
      <w:r>
        <w:rPr>
          <w:rFonts w:hint="eastAsia"/>
          <w:color w:val="auto"/>
          <w:sz w:val="28"/>
          <w:lang w:val="en-US" w:eastAsia="zh-CN"/>
        </w:rPr>
        <w:t>7</w:t>
      </w:r>
      <w:r>
        <w:rPr>
          <w:rFonts w:hint="eastAsia"/>
          <w:color w:val="auto"/>
          <w:sz w:val="28"/>
        </w:rPr>
        <w:t>年</w:t>
      </w:r>
      <w:r>
        <w:rPr>
          <w:rFonts w:hint="eastAsia"/>
          <w:color w:val="auto"/>
          <w:sz w:val="28"/>
          <w:lang w:val="en-US" w:eastAsia="zh-CN"/>
        </w:rPr>
        <w:t>5</w:t>
      </w:r>
      <w:r>
        <w:rPr>
          <w:rFonts w:hint="eastAsia"/>
          <w:color w:val="auto"/>
          <w:sz w:val="28"/>
        </w:rPr>
        <w:t>月</w:t>
      </w:r>
      <w:r>
        <w:rPr>
          <w:rFonts w:hint="eastAsia"/>
          <w:color w:val="auto"/>
          <w:sz w:val="28"/>
          <w:lang w:val="en-US" w:eastAsia="zh-CN"/>
        </w:rPr>
        <w:t>16</w:t>
      </w:r>
      <w:r>
        <w:rPr>
          <w:rFonts w:hint="eastAsia"/>
          <w:color w:val="auto"/>
          <w:sz w:val="28"/>
        </w:rPr>
        <w:t>日、</w:t>
      </w:r>
      <w:r>
        <w:rPr>
          <w:rFonts w:hint="eastAsia"/>
          <w:color w:val="auto"/>
          <w:sz w:val="28"/>
          <w:lang w:val="en-US" w:eastAsia="zh-CN"/>
        </w:rPr>
        <w:t>17</w:t>
      </w:r>
      <w:r>
        <w:rPr>
          <w:rFonts w:hint="eastAsia"/>
          <w:color w:val="auto"/>
          <w:sz w:val="28"/>
        </w:rPr>
        <w:t>日组织现场监测</w:t>
      </w:r>
      <w:r>
        <w:rPr>
          <w:rFonts w:ascii="宋体" w:hAnsi="宋体" w:hint="eastAsia"/>
          <w:color w:val="auto"/>
          <w:kern w:val="0"/>
          <w:sz w:val="28"/>
        </w:rPr>
        <w:t>，于</w:t>
      </w:r>
      <w:r>
        <w:rPr>
          <w:rFonts w:hint="eastAsia"/>
          <w:color w:val="auto"/>
          <w:kern w:val="0"/>
          <w:sz w:val="28"/>
          <w:lang w:val="en-US" w:eastAsia="zh-CN"/>
        </w:rPr>
        <w:t>5</w:t>
      </w:r>
      <w:r>
        <w:rPr>
          <w:rFonts w:hAnsi="宋体"/>
          <w:color w:val="auto"/>
          <w:kern w:val="0"/>
          <w:sz w:val="28"/>
        </w:rPr>
        <w:t>月</w:t>
      </w:r>
      <w:r>
        <w:rPr>
          <w:rFonts w:hint="eastAsia"/>
          <w:color w:val="auto"/>
          <w:kern w:val="0"/>
          <w:sz w:val="28"/>
          <w:lang w:val="en-US" w:eastAsia="zh-CN"/>
        </w:rPr>
        <w:t>20</w:t>
      </w:r>
      <w:r>
        <w:rPr>
          <w:rFonts w:hAnsi="宋体"/>
          <w:color w:val="auto"/>
          <w:kern w:val="0"/>
          <w:sz w:val="28"/>
        </w:rPr>
        <w:t>日至</w:t>
      </w:r>
      <w:r>
        <w:rPr>
          <w:rFonts w:hint="eastAsia"/>
          <w:color w:val="auto"/>
          <w:kern w:val="0"/>
          <w:sz w:val="28"/>
          <w:lang w:val="en-US" w:eastAsia="zh-CN"/>
        </w:rPr>
        <w:t>30</w:t>
      </w:r>
      <w:r>
        <w:rPr>
          <w:rFonts w:hAnsi="宋体"/>
          <w:color w:val="auto"/>
          <w:kern w:val="0"/>
          <w:sz w:val="28"/>
        </w:rPr>
        <w:t>日</w:t>
      </w:r>
      <w:r>
        <w:rPr>
          <w:rFonts w:ascii="宋体" w:hAnsi="宋体" w:hint="eastAsia"/>
          <w:color w:val="auto"/>
          <w:kern w:val="0"/>
          <w:sz w:val="28"/>
        </w:rPr>
        <w:t>组织对样品进行实验室分析，在此基础上编写了本验收监测报告</w:t>
      </w:r>
      <w:r>
        <w:rPr>
          <w:rFonts w:hint="eastAsia"/>
          <w:color w:val="auto"/>
          <w:sz w:val="28"/>
        </w:rPr>
        <w:t>。</w:t>
      </w:r>
    </w:p>
    <w:p>
      <w:pPr>
        <w:pStyle w:val="-4"/>
        <w:numPr>
          <w:ilvl w:val="0"/>
          <w:numId w:val="0"/>
        </w:numPr>
        <w:snapToGrid/>
        <w:spacing w:before="480" w:beforeLines="200" w:after="120" w:afterLines="50" w:line="360" w:lineRule="auto"/>
        <w:rPr>
          <w:rFonts w:hint="eastAsia"/>
          <w:sz w:val="36"/>
          <w:szCs w:val="36"/>
        </w:rPr>
      </w:pPr>
      <w:bookmarkStart w:id="17" w:name="_Toc436059298"/>
      <w:bookmarkStart w:id="18" w:name="_Toc457318253"/>
      <w:bookmarkStart w:id="19" w:name="_Toc453828917"/>
      <w:bookmarkStart w:id="20" w:name="_Toc364754123"/>
      <w:r>
        <w:rPr>
          <w:rFonts w:hint="eastAsia"/>
          <w:sz w:val="36"/>
          <w:szCs w:val="36"/>
        </w:rPr>
        <w:t>第一章  概述</w:t>
      </w:r>
      <w:bookmarkEnd w:id="13"/>
      <w:bookmarkEnd w:id="14"/>
      <w:bookmarkEnd w:id="15"/>
      <w:bookmarkEnd w:id="17"/>
      <w:bookmarkEnd w:id="18"/>
      <w:bookmarkEnd w:id="19"/>
      <w:bookmarkEnd w:id="20"/>
    </w:p>
    <w:p>
      <w:pPr>
        <w:pStyle w:val="-3"/>
        <w:numPr>
          <w:ilvl w:val="0"/>
          <w:numId w:val="0"/>
        </w:numPr>
        <w:tabs>
          <w:tab w:val="left" w:pos="1035"/>
        </w:tabs>
        <w:snapToGrid/>
        <w:spacing w:before="0" w:beforeLines="0" w:after="0" w:afterLines="0" w:line="360" w:lineRule="auto"/>
        <w:ind w:firstLine="588" w:firstLineChars="196"/>
        <w:rPr>
          <w:rFonts w:hint="eastAsia"/>
          <w:sz w:val="30"/>
          <w:szCs w:val="30"/>
        </w:rPr>
      </w:pPr>
      <w:bookmarkStart w:id="21" w:name="_Toc453828918"/>
      <w:bookmarkStart w:id="22" w:name="_Toc273447641"/>
      <w:bookmarkStart w:id="23" w:name="_Toc273448113"/>
      <w:bookmarkStart w:id="24" w:name="_Toc436059299"/>
      <w:bookmarkStart w:id="25" w:name="_Toc273447936"/>
      <w:bookmarkStart w:id="26" w:name="_Toc457318254"/>
      <w:r>
        <w:rPr>
          <w:rFonts w:hint="eastAsia"/>
          <w:sz w:val="30"/>
          <w:szCs w:val="30"/>
        </w:rPr>
        <w:t>一、编制依据</w:t>
      </w:r>
      <w:bookmarkEnd w:id="21"/>
      <w:bookmarkEnd w:id="22"/>
      <w:bookmarkEnd w:id="23"/>
      <w:bookmarkEnd w:id="24"/>
      <w:bookmarkEnd w:id="25"/>
      <w:bookmarkEnd w:id="26"/>
    </w:p>
    <w:p>
      <w:pPr>
        <w:tabs>
          <w:tab w:val="left" w:pos="750"/>
        </w:tabs>
        <w:spacing w:line="360" w:lineRule="auto"/>
        <w:ind w:firstLine="560" w:firstLineChars="200"/>
        <w:rPr>
          <w:rFonts w:hint="eastAsia"/>
          <w:sz w:val="28"/>
          <w:szCs w:val="28"/>
        </w:rPr>
      </w:pPr>
      <w:bookmarkStart w:id="27" w:name="_Toc273447937"/>
      <w:bookmarkStart w:id="28" w:name="_Toc273448114"/>
      <w:bookmarkStart w:id="29" w:name="_Toc12184453"/>
      <w:bookmarkStart w:id="30" w:name="_Toc273447642"/>
      <w:r>
        <w:rPr>
          <w:rFonts w:hint="eastAsia"/>
          <w:sz w:val="28"/>
          <w:szCs w:val="28"/>
        </w:rPr>
        <w:t>1</w:t>
      </w:r>
      <w:r>
        <w:rPr>
          <w:rFonts w:hint="eastAsia"/>
          <w:spacing w:val="-60"/>
          <w:sz w:val="28"/>
          <w:szCs w:val="28"/>
        </w:rPr>
        <w:t>、</w:t>
      </w:r>
      <w:r>
        <w:rPr>
          <w:rFonts w:hint="eastAsia"/>
          <w:sz w:val="28"/>
          <w:szCs w:val="28"/>
        </w:rPr>
        <w:t>《建设项目环境保护管理条例</w:t>
      </w:r>
      <w:r>
        <w:rPr>
          <w:rFonts w:hint="eastAsia"/>
          <w:spacing w:val="-40"/>
          <w:sz w:val="28"/>
          <w:szCs w:val="28"/>
        </w:rPr>
        <w:t>》</w:t>
      </w:r>
      <w:r>
        <w:rPr>
          <w:rFonts w:ascii="宋体" w:hAnsi="宋体" w:hint="eastAsia"/>
          <w:sz w:val="28"/>
          <w:szCs w:val="28"/>
        </w:rPr>
        <w:t>(</w:t>
      </w:r>
      <w:r>
        <w:rPr>
          <w:sz w:val="28"/>
          <w:szCs w:val="28"/>
        </w:rPr>
        <w:t>1998</w:t>
      </w:r>
      <w:r>
        <w:rPr>
          <w:rFonts w:hint="eastAsia"/>
          <w:sz w:val="28"/>
          <w:szCs w:val="28"/>
        </w:rPr>
        <w:t>年国务院第</w:t>
      </w:r>
      <w:r>
        <w:rPr>
          <w:sz w:val="28"/>
          <w:szCs w:val="28"/>
        </w:rPr>
        <w:t>253</w:t>
      </w:r>
      <w:r>
        <w:rPr>
          <w:rFonts w:hint="eastAsia"/>
          <w:sz w:val="28"/>
          <w:szCs w:val="28"/>
        </w:rPr>
        <w:t>号令</w:t>
      </w:r>
      <w:r>
        <w:rPr>
          <w:rFonts w:ascii="宋体" w:hAnsi="宋体" w:hint="eastAsia"/>
          <w:spacing w:val="-40"/>
          <w:kern w:val="0"/>
          <w:sz w:val="28"/>
          <w:szCs w:val="28"/>
        </w:rPr>
        <w:t>)；</w:t>
      </w:r>
    </w:p>
    <w:p>
      <w:pPr>
        <w:tabs>
          <w:tab w:val="left" w:pos="750"/>
        </w:tabs>
        <w:spacing w:line="360" w:lineRule="auto"/>
        <w:ind w:firstLine="560" w:firstLineChars="200"/>
        <w:rPr>
          <w:rFonts w:hint="eastAsia"/>
          <w:sz w:val="28"/>
          <w:szCs w:val="28"/>
        </w:rPr>
      </w:pPr>
      <w:r>
        <w:rPr>
          <w:rFonts w:hint="eastAsia"/>
          <w:sz w:val="28"/>
          <w:szCs w:val="28"/>
        </w:rPr>
        <w:t>2</w:t>
      </w:r>
      <w:r>
        <w:rPr>
          <w:rFonts w:hint="eastAsia"/>
          <w:spacing w:val="-60"/>
          <w:sz w:val="28"/>
          <w:szCs w:val="28"/>
        </w:rPr>
        <w:t>、</w:t>
      </w:r>
      <w:r>
        <w:rPr>
          <w:rFonts w:hint="eastAsia"/>
          <w:sz w:val="28"/>
          <w:szCs w:val="28"/>
        </w:rPr>
        <w:t>《建设项目竣工环境保护验收管理办法</w:t>
      </w:r>
      <w:r>
        <w:rPr>
          <w:rFonts w:hint="eastAsia"/>
          <w:spacing w:val="-20"/>
          <w:sz w:val="28"/>
          <w:szCs w:val="28"/>
        </w:rPr>
        <w:t>》</w:t>
      </w:r>
      <w:r>
        <w:rPr>
          <w:rFonts w:ascii="宋体" w:hAnsi="宋体" w:hint="eastAsia"/>
          <w:sz w:val="28"/>
          <w:szCs w:val="28"/>
        </w:rPr>
        <w:t>(</w:t>
      </w:r>
      <w:r>
        <w:rPr>
          <w:rFonts w:hint="eastAsia"/>
          <w:sz w:val="28"/>
          <w:szCs w:val="28"/>
        </w:rPr>
        <w:t>原国家环保总局</w:t>
      </w:r>
      <w:r>
        <w:rPr>
          <w:rFonts w:hint="eastAsia"/>
          <w:spacing w:val="-20"/>
          <w:sz w:val="28"/>
          <w:szCs w:val="28"/>
        </w:rPr>
        <w:t>13</w:t>
      </w:r>
      <w:r>
        <w:rPr>
          <w:rFonts w:hint="eastAsia"/>
          <w:sz w:val="28"/>
          <w:szCs w:val="28"/>
        </w:rPr>
        <w:t>号令，2002年2月1日</w:t>
      </w:r>
      <w:r>
        <w:rPr>
          <w:rFonts w:ascii="宋体" w:hAnsi="宋体" w:hint="eastAsia"/>
          <w:sz w:val="28"/>
          <w:szCs w:val="28"/>
        </w:rPr>
        <w:t>)</w:t>
      </w:r>
      <w:r>
        <w:rPr>
          <w:rFonts w:hint="eastAsia"/>
          <w:sz w:val="28"/>
          <w:szCs w:val="28"/>
        </w:rPr>
        <w:t>；</w:t>
      </w:r>
    </w:p>
    <w:p>
      <w:pPr>
        <w:tabs>
          <w:tab w:val="left" w:pos="750"/>
        </w:tabs>
        <w:spacing w:line="360" w:lineRule="auto"/>
        <w:ind w:firstLine="560" w:firstLineChars="200"/>
        <w:rPr>
          <w:rFonts w:hint="eastAsia"/>
          <w:sz w:val="28"/>
          <w:szCs w:val="28"/>
        </w:rPr>
      </w:pPr>
      <w:r>
        <w:rPr>
          <w:rFonts w:hint="eastAsia"/>
          <w:sz w:val="28"/>
          <w:szCs w:val="28"/>
        </w:rPr>
        <w:t>3</w:t>
      </w:r>
      <w:r>
        <w:rPr>
          <w:rFonts w:hint="eastAsia"/>
          <w:spacing w:val="-60"/>
          <w:sz w:val="28"/>
          <w:szCs w:val="28"/>
        </w:rPr>
        <w:t>、</w:t>
      </w:r>
      <w:r>
        <w:rPr>
          <w:rFonts w:hint="eastAsia"/>
          <w:sz w:val="28"/>
          <w:szCs w:val="28"/>
        </w:rPr>
        <w:t>《</w:t>
      </w:r>
      <w:r>
        <w:rPr>
          <w:sz w:val="28"/>
          <w:szCs w:val="28"/>
        </w:rPr>
        <w:t>浙江省建设项目环境保护管理办法</w:t>
      </w:r>
      <w:r>
        <w:rPr>
          <w:rFonts w:hint="eastAsia"/>
          <w:sz w:val="28"/>
          <w:szCs w:val="28"/>
        </w:rPr>
        <w:t>》</w:t>
      </w:r>
      <w:r>
        <w:rPr>
          <w:rFonts w:ascii="宋体" w:hAnsi="宋体" w:hint="eastAsia"/>
          <w:sz w:val="28"/>
          <w:szCs w:val="28"/>
        </w:rPr>
        <w:t>(</w:t>
      </w:r>
      <w:r>
        <w:rPr>
          <w:rFonts w:hint="eastAsia"/>
          <w:sz w:val="28"/>
          <w:szCs w:val="28"/>
        </w:rPr>
        <w:t>浙江</w:t>
      </w:r>
      <w:r>
        <w:rPr>
          <w:sz w:val="28"/>
          <w:szCs w:val="28"/>
        </w:rPr>
        <w:t>省政府第</w:t>
      </w:r>
      <w:r>
        <w:rPr>
          <w:rFonts w:hint="eastAsia"/>
          <w:sz w:val="28"/>
          <w:szCs w:val="28"/>
        </w:rPr>
        <w:t>321</w:t>
      </w:r>
      <w:r>
        <w:rPr>
          <w:sz w:val="28"/>
          <w:szCs w:val="28"/>
        </w:rPr>
        <w:t>号令</w:t>
      </w:r>
      <w:r>
        <w:rPr>
          <w:rFonts w:hint="eastAsia"/>
          <w:sz w:val="28"/>
          <w:szCs w:val="28"/>
        </w:rPr>
        <w:t>，2014</w:t>
      </w:r>
      <w:r>
        <w:rPr>
          <w:sz w:val="28"/>
          <w:szCs w:val="28"/>
        </w:rPr>
        <w:t>年</w:t>
      </w:r>
      <w:r>
        <w:rPr>
          <w:rFonts w:hint="eastAsia"/>
          <w:sz w:val="28"/>
          <w:szCs w:val="28"/>
        </w:rPr>
        <w:t>3</w:t>
      </w:r>
      <w:r>
        <w:rPr>
          <w:sz w:val="28"/>
          <w:szCs w:val="28"/>
        </w:rPr>
        <w:t>月</w:t>
      </w:r>
      <w:r>
        <w:rPr>
          <w:rFonts w:hint="eastAsia"/>
          <w:sz w:val="28"/>
          <w:szCs w:val="28"/>
        </w:rPr>
        <w:t>13</w:t>
      </w:r>
      <w:r>
        <w:rPr>
          <w:sz w:val="28"/>
          <w:szCs w:val="28"/>
        </w:rPr>
        <w:t>日修改</w:t>
      </w:r>
      <w:r>
        <w:rPr>
          <w:rFonts w:ascii="宋体" w:hAnsi="宋体" w:hint="eastAsia"/>
          <w:spacing w:val="-40"/>
          <w:kern w:val="0"/>
          <w:sz w:val="28"/>
          <w:szCs w:val="28"/>
        </w:rPr>
        <w:t>)；</w:t>
      </w:r>
    </w:p>
    <w:p>
      <w:pPr>
        <w:tabs>
          <w:tab w:val="left" w:pos="750"/>
        </w:tabs>
        <w:spacing w:line="360" w:lineRule="auto"/>
        <w:ind w:firstLine="560" w:firstLineChars="200"/>
        <w:rPr>
          <w:rFonts w:hint="eastAsia"/>
          <w:sz w:val="28"/>
          <w:szCs w:val="28"/>
        </w:rPr>
      </w:pPr>
      <w:r>
        <w:rPr>
          <w:rFonts w:hint="eastAsia"/>
          <w:sz w:val="28"/>
          <w:szCs w:val="28"/>
        </w:rPr>
        <w:t>4</w:t>
      </w:r>
      <w:r>
        <w:rPr>
          <w:rFonts w:hint="eastAsia"/>
          <w:spacing w:val="-60"/>
          <w:sz w:val="28"/>
          <w:szCs w:val="28"/>
        </w:rPr>
        <w:t>、</w:t>
      </w:r>
      <w:r>
        <w:rPr>
          <w:rFonts w:hint="eastAsia"/>
          <w:sz w:val="28"/>
          <w:szCs w:val="28"/>
        </w:rPr>
        <w:t>《建设项目竣工环境保护验收技术管理规定》</w:t>
      </w:r>
      <w:r>
        <w:rPr>
          <w:rFonts w:ascii="宋体" w:hAnsi="宋体" w:hint="eastAsia"/>
          <w:sz w:val="28"/>
          <w:szCs w:val="28"/>
        </w:rPr>
        <w:t>(</w:t>
      </w:r>
      <w:r>
        <w:rPr>
          <w:rFonts w:hint="eastAsia"/>
          <w:sz w:val="28"/>
          <w:szCs w:val="28"/>
        </w:rPr>
        <w:t>浙江省环境保护厅，浙环发[2009]89号，</w:t>
      </w:r>
      <w:r>
        <w:rPr>
          <w:sz w:val="28"/>
        </w:rPr>
        <w:t>2010年1月4日</w:t>
      </w:r>
      <w:r>
        <w:rPr>
          <w:rFonts w:ascii="宋体" w:hAnsi="宋体" w:hint="eastAsia"/>
          <w:sz w:val="28"/>
          <w:szCs w:val="28"/>
        </w:rPr>
        <w:t>)</w:t>
      </w:r>
      <w:r>
        <w:rPr>
          <w:rFonts w:hint="eastAsia"/>
          <w:sz w:val="28"/>
          <w:szCs w:val="28"/>
        </w:rPr>
        <w:t>；</w:t>
      </w:r>
    </w:p>
    <w:p>
      <w:pPr>
        <w:pStyle w:val="-"/>
        <w:snapToGrid/>
        <w:ind w:firstLine="560"/>
        <w:jc w:val="both"/>
        <w:rPr>
          <w:rFonts w:hint="eastAsia"/>
          <w:color w:val="000000"/>
        </w:rPr>
      </w:pPr>
      <w:r>
        <w:rPr>
          <w:rFonts w:ascii="Times New Roman" w:hAnsi="Times New Roman" w:hint="eastAsia"/>
          <w:szCs w:val="28"/>
        </w:rPr>
        <w:t>5</w:t>
      </w:r>
      <w:r>
        <w:rPr>
          <w:rFonts w:ascii="Times New Roman" w:hAnsi="Times New Roman" w:hint="eastAsia"/>
          <w:spacing w:val="-60"/>
          <w:kern w:val="2"/>
          <w:szCs w:val="28"/>
        </w:rPr>
        <w:t>、</w:t>
      </w:r>
      <w:r>
        <w:rPr>
          <w:rFonts w:hint="eastAsia"/>
          <w:color w:val="000000"/>
          <w:szCs w:val="28"/>
        </w:rPr>
        <w:t>《关于</w:t>
      </w:r>
      <w:r>
        <w:rPr>
          <w:rFonts w:hint="eastAsia"/>
          <w:color w:val="000000"/>
          <w:spacing w:val="-4"/>
          <w:szCs w:val="28"/>
          <w:lang w:eastAsia="zh-CN"/>
        </w:rPr>
        <w:t>嘉利达（平阳）明胶有限公司</w:t>
      </w:r>
      <w:r>
        <w:rPr>
          <w:rFonts w:hint="eastAsia"/>
          <w:color w:val="000000"/>
          <w:spacing w:val="-4"/>
          <w:szCs w:val="28"/>
          <w:lang w:val="en-US" w:eastAsia="zh-CN"/>
        </w:rPr>
        <w:t>老厂房改造</w:t>
      </w:r>
      <w:r>
        <w:rPr>
          <w:rFonts w:hint="eastAsia"/>
          <w:color w:val="000000"/>
          <w:spacing w:val="-4"/>
        </w:rPr>
        <w:t>项目</w:t>
      </w:r>
      <w:r>
        <w:rPr>
          <w:rFonts w:hint="eastAsia"/>
          <w:color w:val="000000"/>
          <w:spacing w:val="-4"/>
          <w:szCs w:val="28"/>
        </w:rPr>
        <w:t>环境影响报告书</w:t>
      </w:r>
      <w:r>
        <w:rPr>
          <w:rFonts w:hint="eastAsia"/>
          <w:color w:val="000000"/>
          <w:szCs w:val="28"/>
        </w:rPr>
        <w:t>审批意见的函</w:t>
      </w:r>
      <w:r>
        <w:rPr>
          <w:rFonts w:hint="eastAsia"/>
          <w:color w:val="000000"/>
          <w:spacing w:val="-40"/>
          <w:szCs w:val="28"/>
        </w:rPr>
        <w:t>》</w:t>
      </w:r>
      <w:r>
        <w:rPr>
          <w:rFonts w:hint="eastAsia"/>
          <w:color w:val="000000"/>
          <w:szCs w:val="28"/>
        </w:rPr>
        <w:t>(温州市</w:t>
      </w:r>
      <w:r>
        <w:rPr>
          <w:rFonts w:hint="eastAsia"/>
          <w:color w:val="000000"/>
        </w:rPr>
        <w:t>环境保护局</w:t>
      </w:r>
      <w:r>
        <w:rPr>
          <w:rFonts w:hint="eastAsia"/>
          <w:color w:val="000000"/>
          <w:spacing w:val="-40"/>
          <w:szCs w:val="28"/>
        </w:rPr>
        <w:t>，</w:t>
      </w:r>
      <w:r>
        <w:rPr>
          <w:rFonts w:hint="eastAsia"/>
          <w:color w:val="000000"/>
          <w:szCs w:val="28"/>
        </w:rPr>
        <w:t>温环建</w:t>
      </w:r>
      <w:r>
        <w:rPr>
          <w:rFonts w:ascii="Times New Roman" w:hAnsi="Times New Roman"/>
          <w:color w:val="000000"/>
          <w:spacing w:val="-10"/>
          <w:szCs w:val="28"/>
        </w:rPr>
        <w:t>[201</w:t>
      </w:r>
      <w:r>
        <w:rPr>
          <w:rFonts w:ascii="Times New Roman" w:hAnsi="Times New Roman" w:hint="eastAsia"/>
          <w:color w:val="000000"/>
          <w:spacing w:val="-10"/>
          <w:szCs w:val="28"/>
          <w:lang w:val="en-US" w:eastAsia="zh-CN"/>
        </w:rPr>
        <w:t>5</w:t>
      </w:r>
      <w:r>
        <w:rPr>
          <w:rFonts w:ascii="Times New Roman" w:eastAsia="方正小标宋简体" w:hAnsi="Times New Roman"/>
          <w:color w:val="000000"/>
          <w:spacing w:val="-10"/>
          <w:szCs w:val="28"/>
        </w:rPr>
        <w:t>]</w:t>
      </w:r>
      <w:r>
        <w:rPr>
          <w:rFonts w:ascii="Times New Roman" w:hAnsi="Times New Roman"/>
          <w:color w:val="000000"/>
          <w:spacing w:val="-10"/>
          <w:szCs w:val="28"/>
        </w:rPr>
        <w:t>0</w:t>
      </w:r>
      <w:r>
        <w:rPr>
          <w:rFonts w:ascii="Times New Roman" w:hAnsi="Times New Roman" w:hint="eastAsia"/>
          <w:color w:val="000000"/>
          <w:spacing w:val="-10"/>
          <w:szCs w:val="28"/>
          <w:lang w:val="en-US" w:eastAsia="zh-CN"/>
        </w:rPr>
        <w:t>6</w:t>
      </w:r>
      <w:r>
        <w:rPr>
          <w:rFonts w:ascii="Times New Roman" w:hAnsi="Times New Roman"/>
          <w:color w:val="000000"/>
          <w:spacing w:val="-10"/>
          <w:szCs w:val="28"/>
        </w:rPr>
        <w:t>5</w:t>
      </w:r>
      <w:r>
        <w:rPr>
          <w:rFonts w:ascii="Times New Roman"/>
          <w:color w:val="000000"/>
          <w:szCs w:val="28"/>
        </w:rPr>
        <w:t>号</w:t>
      </w:r>
      <w:r>
        <w:rPr>
          <w:rFonts w:ascii="Times New Roman"/>
          <w:color w:val="000000"/>
          <w:spacing w:val="-40"/>
          <w:szCs w:val="28"/>
        </w:rPr>
        <w:t>，</w:t>
      </w:r>
      <w:r>
        <w:rPr>
          <w:rFonts w:ascii="Times New Roman" w:hAnsi="Times New Roman"/>
          <w:color w:val="000000"/>
          <w:spacing w:val="-10"/>
          <w:szCs w:val="28"/>
        </w:rPr>
        <w:t>201</w:t>
      </w:r>
      <w:r>
        <w:rPr>
          <w:rFonts w:ascii="Times New Roman" w:hAnsi="Times New Roman" w:hint="eastAsia"/>
          <w:color w:val="000000"/>
          <w:spacing w:val="-10"/>
          <w:szCs w:val="28"/>
          <w:lang w:val="en-US" w:eastAsia="zh-CN"/>
        </w:rPr>
        <w:t>5</w:t>
      </w:r>
      <w:r>
        <w:rPr>
          <w:rFonts w:ascii="Times New Roman"/>
          <w:color w:val="000000"/>
          <w:szCs w:val="28"/>
        </w:rPr>
        <w:t>年</w:t>
      </w:r>
      <w:r>
        <w:rPr>
          <w:rFonts w:ascii="Times New Roman" w:hAnsi="Times New Roman" w:hint="eastAsia"/>
          <w:color w:val="000000"/>
          <w:szCs w:val="28"/>
          <w:lang w:val="en-US" w:eastAsia="zh-CN"/>
        </w:rPr>
        <w:t>10</w:t>
      </w:r>
      <w:r>
        <w:rPr>
          <w:rFonts w:ascii="Times New Roman"/>
          <w:color w:val="000000"/>
          <w:szCs w:val="28"/>
        </w:rPr>
        <w:t>月</w:t>
      </w:r>
      <w:r>
        <w:rPr>
          <w:rFonts w:ascii="Times New Roman" w:hAnsi="Times New Roman" w:hint="eastAsia"/>
          <w:color w:val="000000"/>
          <w:spacing w:val="-10"/>
          <w:szCs w:val="28"/>
          <w:lang w:val="en-US" w:eastAsia="zh-CN"/>
        </w:rPr>
        <w:t>2</w:t>
      </w:r>
      <w:r>
        <w:rPr>
          <w:rFonts w:ascii="Times New Roman" w:hAnsi="Times New Roman"/>
          <w:color w:val="000000"/>
          <w:spacing w:val="-10"/>
          <w:szCs w:val="28"/>
        </w:rPr>
        <w:t>6</w:t>
      </w:r>
      <w:r>
        <w:rPr>
          <w:rFonts w:ascii="Times New Roman"/>
          <w:color w:val="000000"/>
          <w:szCs w:val="28"/>
        </w:rPr>
        <w:t>日</w:t>
      </w:r>
      <w:r>
        <w:rPr>
          <w:rFonts w:hint="eastAsia"/>
          <w:color w:val="000000"/>
          <w:spacing w:val="-40"/>
          <w:szCs w:val="28"/>
        </w:rPr>
        <w:t>)</w:t>
      </w:r>
      <w:r>
        <w:rPr>
          <w:rFonts w:hint="eastAsia"/>
          <w:color w:val="000000"/>
          <w:spacing w:val="-20"/>
          <w:szCs w:val="28"/>
        </w:rPr>
        <w:t>；</w:t>
      </w:r>
    </w:p>
    <w:p>
      <w:pPr>
        <w:tabs>
          <w:tab w:val="left" w:pos="750"/>
        </w:tabs>
        <w:spacing w:line="360" w:lineRule="auto"/>
        <w:ind w:firstLine="560" w:firstLineChars="200"/>
        <w:rPr>
          <w:rFonts w:hint="eastAsia"/>
          <w:color w:val="000000"/>
          <w:spacing w:val="-40"/>
          <w:sz w:val="28"/>
          <w:szCs w:val="28"/>
        </w:rPr>
      </w:pPr>
      <w:r>
        <w:rPr>
          <w:rFonts w:hint="eastAsia"/>
          <w:sz w:val="28"/>
          <w:szCs w:val="28"/>
        </w:rPr>
        <w:t>6</w:t>
      </w:r>
      <w:r>
        <w:rPr>
          <w:rFonts w:hint="eastAsia"/>
          <w:spacing w:val="-60"/>
          <w:sz w:val="28"/>
          <w:szCs w:val="28"/>
        </w:rPr>
        <w:t>、</w:t>
      </w:r>
      <w:r>
        <w:rPr>
          <w:rFonts w:hint="eastAsia"/>
          <w:sz w:val="28"/>
          <w:szCs w:val="28"/>
        </w:rPr>
        <w:t>《</w:t>
      </w:r>
      <w:r>
        <w:rPr>
          <w:rFonts w:hint="eastAsia"/>
          <w:color w:val="000000"/>
          <w:spacing w:val="-4"/>
          <w:sz w:val="28"/>
          <w:szCs w:val="28"/>
          <w:lang w:eastAsia="zh-CN"/>
        </w:rPr>
        <w:t>嘉利达（平阳）明胶有限公司</w:t>
      </w:r>
      <w:r>
        <w:rPr>
          <w:rFonts w:hint="eastAsia"/>
          <w:color w:val="000000"/>
          <w:spacing w:val="-4"/>
          <w:sz w:val="28"/>
          <w:szCs w:val="28"/>
          <w:lang w:val="en-US" w:eastAsia="zh-CN"/>
        </w:rPr>
        <w:t>老厂房改造</w:t>
      </w:r>
      <w:r>
        <w:rPr>
          <w:rFonts w:ascii="宋体" w:hAnsi="宋体" w:hint="eastAsia"/>
          <w:color w:val="000000"/>
          <w:spacing w:val="-4"/>
          <w:sz w:val="28"/>
        </w:rPr>
        <w:t>项目</w:t>
      </w:r>
      <w:r>
        <w:rPr>
          <w:rFonts w:hint="eastAsia"/>
          <w:color w:val="000000"/>
          <w:spacing w:val="-4"/>
          <w:sz w:val="28"/>
          <w:szCs w:val="28"/>
        </w:rPr>
        <w:t>环境影响报告书</w:t>
      </w:r>
      <w:r>
        <w:rPr>
          <w:rFonts w:hint="eastAsia"/>
          <w:color w:val="000000"/>
          <w:spacing w:val="-40"/>
          <w:sz w:val="28"/>
          <w:szCs w:val="28"/>
        </w:rPr>
        <w:t>》</w:t>
      </w:r>
      <w:r>
        <w:rPr>
          <w:rFonts w:ascii="宋体" w:hAnsi="宋体" w:hint="eastAsia"/>
          <w:color w:val="000000"/>
          <w:sz w:val="28"/>
          <w:szCs w:val="28"/>
        </w:rPr>
        <w:t>(</w:t>
      </w:r>
      <w:r>
        <w:rPr>
          <w:rFonts w:hint="eastAsia"/>
          <w:color w:val="000000"/>
          <w:sz w:val="28"/>
          <w:szCs w:val="28"/>
        </w:rPr>
        <w:t>浙江中蓝环境科技有限公司</w:t>
      </w:r>
      <w:r>
        <w:rPr>
          <w:rFonts w:hint="eastAsia"/>
          <w:color w:val="000000"/>
          <w:spacing w:val="-40"/>
          <w:sz w:val="28"/>
          <w:szCs w:val="28"/>
        </w:rPr>
        <w:t>，</w:t>
      </w:r>
      <w:r>
        <w:rPr>
          <w:rFonts w:hint="eastAsia"/>
          <w:color w:val="000000"/>
          <w:sz w:val="28"/>
          <w:szCs w:val="28"/>
        </w:rPr>
        <w:t>201</w:t>
      </w:r>
      <w:r>
        <w:rPr>
          <w:rFonts w:hint="eastAsia"/>
          <w:color w:val="000000"/>
          <w:sz w:val="28"/>
          <w:szCs w:val="28"/>
          <w:lang w:val="en-US" w:eastAsia="zh-CN"/>
        </w:rPr>
        <w:t>5</w:t>
      </w:r>
      <w:r>
        <w:rPr>
          <w:rFonts w:hint="eastAsia"/>
          <w:color w:val="000000"/>
          <w:sz w:val="28"/>
          <w:szCs w:val="28"/>
        </w:rPr>
        <w:t>年1</w:t>
      </w:r>
      <w:r>
        <w:rPr>
          <w:rFonts w:hint="eastAsia"/>
          <w:color w:val="000000"/>
          <w:sz w:val="28"/>
          <w:szCs w:val="28"/>
          <w:lang w:val="en-US" w:eastAsia="zh-CN"/>
        </w:rPr>
        <w:t>0</w:t>
      </w:r>
      <w:r>
        <w:rPr>
          <w:rFonts w:hint="eastAsia"/>
          <w:color w:val="000000"/>
          <w:sz w:val="28"/>
          <w:szCs w:val="28"/>
        </w:rPr>
        <w:t>月</w:t>
      </w:r>
      <w:r>
        <w:rPr>
          <w:rFonts w:ascii="宋体" w:hAnsi="宋体" w:hint="eastAsia"/>
          <w:color w:val="000000"/>
          <w:sz w:val="28"/>
          <w:szCs w:val="28"/>
        </w:rPr>
        <w:t>)</w:t>
      </w:r>
      <w:r>
        <w:rPr>
          <w:rFonts w:hint="eastAsia"/>
          <w:color w:val="000000"/>
          <w:spacing w:val="-40"/>
          <w:sz w:val="28"/>
          <w:szCs w:val="28"/>
        </w:rPr>
        <w:t>；</w:t>
      </w:r>
    </w:p>
    <w:p>
      <w:pPr>
        <w:tabs>
          <w:tab w:val="left" w:pos="750"/>
        </w:tabs>
        <w:spacing w:line="360" w:lineRule="auto"/>
        <w:ind w:firstLine="560" w:firstLineChars="200"/>
        <w:rPr>
          <w:rFonts w:hint="eastAsia"/>
          <w:color w:val="000000"/>
          <w:sz w:val="28"/>
          <w:szCs w:val="28"/>
        </w:rPr>
      </w:pPr>
      <w:r>
        <w:rPr>
          <w:rFonts w:hint="eastAsia"/>
          <w:color w:val="000000"/>
          <w:sz w:val="28"/>
          <w:szCs w:val="28"/>
        </w:rPr>
        <w:t>7</w:t>
      </w:r>
      <w:r>
        <w:rPr>
          <w:rFonts w:hint="eastAsia"/>
          <w:spacing w:val="-60"/>
          <w:sz w:val="28"/>
          <w:szCs w:val="28"/>
        </w:rPr>
        <w:t>、</w:t>
      </w:r>
      <w:r>
        <w:rPr>
          <w:rFonts w:ascii="宋体" w:hAnsi="宋体" w:cs="宋体" w:hint="eastAsia"/>
          <w:color w:val="000000"/>
          <w:sz w:val="28"/>
          <w:szCs w:val="28"/>
        </w:rPr>
        <w:t>《</w:t>
      </w:r>
      <w:r>
        <w:rPr>
          <w:rFonts w:hint="eastAsia"/>
          <w:color w:val="000000"/>
          <w:spacing w:val="-4"/>
          <w:sz w:val="28"/>
          <w:szCs w:val="28"/>
          <w:lang w:eastAsia="zh-CN"/>
        </w:rPr>
        <w:t>嘉利达（平阳）明胶有限公司</w:t>
      </w:r>
      <w:r>
        <w:rPr>
          <w:rFonts w:hint="eastAsia"/>
          <w:color w:val="000000"/>
          <w:spacing w:val="-4"/>
          <w:sz w:val="28"/>
          <w:szCs w:val="28"/>
          <w:lang w:val="en-US" w:eastAsia="zh-CN"/>
        </w:rPr>
        <w:t>车间及污水处理厂工程废气净化项目工艺图</w:t>
      </w:r>
      <w:r>
        <w:rPr>
          <w:rFonts w:ascii="宋体" w:hAnsi="宋体" w:cs="宋体" w:hint="eastAsia"/>
          <w:color w:val="000000"/>
          <w:sz w:val="28"/>
          <w:szCs w:val="28"/>
        </w:rPr>
        <w:t>》(</w:t>
      </w:r>
      <w:r>
        <w:rPr>
          <w:rFonts w:hint="eastAsia"/>
          <w:bCs/>
          <w:color w:val="000000"/>
          <w:sz w:val="28"/>
          <w:szCs w:val="28"/>
          <w:lang w:val="en-US" w:eastAsia="zh-CN"/>
        </w:rPr>
        <w:t>浙江强途环保科技发展有限公司</w:t>
      </w:r>
      <w:r>
        <w:rPr>
          <w:rFonts w:hAnsi="宋体"/>
          <w:color w:val="000000"/>
          <w:sz w:val="28"/>
          <w:szCs w:val="28"/>
        </w:rPr>
        <w:t>，</w:t>
      </w:r>
      <w:r>
        <w:rPr>
          <w:color w:val="000000"/>
          <w:sz w:val="28"/>
          <w:szCs w:val="28"/>
        </w:rPr>
        <w:t>201</w:t>
      </w:r>
      <w:r>
        <w:rPr>
          <w:rFonts w:hint="eastAsia"/>
          <w:color w:val="000000"/>
          <w:sz w:val="28"/>
          <w:szCs w:val="28"/>
          <w:lang w:val="en-US" w:eastAsia="zh-CN"/>
        </w:rPr>
        <w:t>6</w:t>
      </w:r>
      <w:r>
        <w:rPr>
          <w:rFonts w:hAnsi="宋体"/>
          <w:color w:val="000000"/>
          <w:sz w:val="28"/>
          <w:szCs w:val="28"/>
        </w:rPr>
        <w:t>年</w:t>
      </w:r>
      <w:r>
        <w:rPr>
          <w:rFonts w:hAnsi="宋体" w:hint="eastAsia"/>
          <w:color w:val="000000"/>
          <w:sz w:val="28"/>
          <w:szCs w:val="28"/>
          <w:lang w:val="en-US" w:eastAsia="zh-CN"/>
        </w:rPr>
        <w:t>3</w:t>
      </w:r>
      <w:r>
        <w:rPr>
          <w:rFonts w:ascii="宋体" w:hAnsi="宋体" w:cs="宋体" w:hint="eastAsia"/>
          <w:color w:val="000000"/>
          <w:sz w:val="28"/>
          <w:szCs w:val="28"/>
        </w:rPr>
        <w:t>月</w:t>
      </w:r>
      <w:r>
        <w:rPr>
          <w:rFonts w:ascii="宋体" w:hAnsi="宋体" w:cs="宋体" w:hint="eastAsia"/>
          <w:color w:val="000000"/>
          <w:sz w:val="28"/>
          <w:szCs w:val="28"/>
          <w:lang w:val="en-US" w:eastAsia="zh-CN"/>
        </w:rPr>
        <w:t>23日</w:t>
      </w:r>
      <w:r>
        <w:rPr>
          <w:rFonts w:ascii="宋体" w:hAnsi="宋体" w:cs="宋体" w:hint="eastAsia"/>
          <w:color w:val="000000"/>
          <w:sz w:val="28"/>
          <w:szCs w:val="28"/>
        </w:rPr>
        <w:t>)；</w:t>
      </w:r>
    </w:p>
    <w:p>
      <w:pPr>
        <w:tabs>
          <w:tab w:val="left" w:pos="750"/>
        </w:tabs>
        <w:spacing w:line="360" w:lineRule="auto"/>
        <w:ind w:firstLine="560" w:firstLineChars="200"/>
        <w:rPr>
          <w:rFonts w:hint="eastAsia"/>
          <w:sz w:val="28"/>
        </w:rPr>
      </w:pPr>
      <w:r>
        <w:rPr>
          <w:rFonts w:hint="eastAsia"/>
          <w:sz w:val="28"/>
          <w:szCs w:val="28"/>
        </w:rPr>
        <w:t>8、</w:t>
      </w:r>
      <w:r>
        <w:rPr>
          <w:rFonts w:hint="eastAsia"/>
          <w:color w:val="000000"/>
          <w:spacing w:val="-4"/>
          <w:sz w:val="28"/>
          <w:szCs w:val="28"/>
          <w:lang w:eastAsia="zh-CN"/>
        </w:rPr>
        <w:t>嘉利达（平阳）明胶有限公司</w:t>
      </w:r>
      <w:r>
        <w:rPr>
          <w:rFonts w:ascii="宋体" w:hAnsi="宋体" w:hint="eastAsia"/>
          <w:sz w:val="28"/>
          <w:szCs w:val="28"/>
        </w:rPr>
        <w:t>《检测委托书</w:t>
      </w:r>
      <w:r>
        <w:rPr>
          <w:rFonts w:ascii="宋体" w:hAnsi="宋体" w:hint="eastAsia"/>
          <w:spacing w:val="-40"/>
          <w:sz w:val="28"/>
          <w:szCs w:val="28"/>
        </w:rPr>
        <w:t>》</w:t>
      </w:r>
      <w:r>
        <w:rPr>
          <w:rFonts w:ascii="宋体" w:hAnsi="宋体" w:hint="eastAsia"/>
          <w:spacing w:val="-10"/>
          <w:sz w:val="28"/>
          <w:szCs w:val="28"/>
        </w:rPr>
        <w:t>(</w:t>
      </w:r>
      <w:r>
        <w:rPr>
          <w:rFonts w:hint="eastAsia"/>
          <w:spacing w:val="-10"/>
          <w:sz w:val="28"/>
          <w:szCs w:val="28"/>
        </w:rPr>
        <w:t>2016年4月21日</w:t>
      </w:r>
      <w:r>
        <w:rPr>
          <w:rFonts w:ascii="宋体" w:hAnsi="宋体" w:hint="eastAsia"/>
          <w:spacing w:val="-40"/>
          <w:sz w:val="28"/>
          <w:szCs w:val="28"/>
        </w:rPr>
        <w:t>)；</w:t>
      </w:r>
    </w:p>
    <w:p>
      <w:pPr>
        <w:tabs>
          <w:tab w:val="left" w:pos="750"/>
        </w:tabs>
        <w:spacing w:line="360" w:lineRule="auto"/>
        <w:ind w:firstLine="560" w:firstLineChars="200"/>
        <w:rPr>
          <w:sz w:val="28"/>
          <w:szCs w:val="28"/>
        </w:rPr>
      </w:pPr>
      <w:r>
        <w:rPr>
          <w:rFonts w:hint="eastAsia"/>
          <w:sz w:val="28"/>
        </w:rPr>
        <w:t>9</w:t>
      </w:r>
      <w:r>
        <w:rPr>
          <w:spacing w:val="-20"/>
          <w:sz w:val="28"/>
        </w:rPr>
        <w:t>、</w:t>
      </w:r>
      <w:r>
        <w:rPr>
          <w:rFonts w:hint="eastAsia"/>
          <w:color w:val="000000"/>
          <w:spacing w:val="-4"/>
          <w:sz w:val="28"/>
          <w:szCs w:val="28"/>
          <w:lang w:eastAsia="zh-CN"/>
        </w:rPr>
        <w:t>嘉利达（平阳）明胶有限公司</w:t>
      </w:r>
      <w:r>
        <w:rPr>
          <w:sz w:val="28"/>
          <w:szCs w:val="28"/>
        </w:rPr>
        <w:t>《验收监测项目基本情况调查表</w:t>
      </w:r>
      <w:r>
        <w:rPr>
          <w:rFonts w:hAnsi="宋体"/>
          <w:spacing w:val="-40"/>
          <w:sz w:val="28"/>
          <w:szCs w:val="28"/>
        </w:rPr>
        <w:t>》；</w:t>
      </w:r>
      <w:r>
        <w:rPr>
          <w:sz w:val="28"/>
          <w:szCs w:val="28"/>
        </w:rPr>
        <w:t xml:space="preserve"> </w:t>
      </w:r>
    </w:p>
    <w:p>
      <w:pPr>
        <w:tabs>
          <w:tab w:val="left" w:pos="750"/>
        </w:tabs>
        <w:spacing w:line="360" w:lineRule="auto"/>
        <w:ind w:firstLine="560" w:firstLineChars="200"/>
        <w:rPr>
          <w:sz w:val="28"/>
          <w:szCs w:val="28"/>
        </w:rPr>
      </w:pPr>
      <w:r>
        <w:rPr>
          <w:sz w:val="28"/>
          <w:szCs w:val="28"/>
        </w:rPr>
        <w:t>1</w:t>
      </w:r>
      <w:r>
        <w:rPr>
          <w:rFonts w:hint="eastAsia"/>
          <w:sz w:val="28"/>
          <w:szCs w:val="28"/>
        </w:rPr>
        <w:t>0</w:t>
      </w:r>
      <w:r>
        <w:rPr>
          <w:rFonts w:hAnsi="宋体"/>
          <w:spacing w:val="-40"/>
          <w:sz w:val="28"/>
          <w:szCs w:val="28"/>
        </w:rPr>
        <w:t>、</w:t>
      </w:r>
      <w:r>
        <w:rPr>
          <w:rFonts w:hint="eastAsia"/>
          <w:color w:val="000000"/>
          <w:spacing w:val="-4"/>
          <w:sz w:val="28"/>
          <w:szCs w:val="28"/>
          <w:lang w:eastAsia="zh-CN"/>
        </w:rPr>
        <w:t>嘉利达（平阳）明胶有限公司</w:t>
      </w:r>
      <w:r>
        <w:rPr>
          <w:sz w:val="28"/>
          <w:szCs w:val="28"/>
        </w:rPr>
        <w:t>《验收监测期间有关情况记录表</w:t>
      </w:r>
      <w:r>
        <w:rPr>
          <w:rFonts w:hAnsi="宋体"/>
          <w:spacing w:val="-40"/>
          <w:sz w:val="28"/>
          <w:szCs w:val="28"/>
        </w:rPr>
        <w:t>》；</w:t>
      </w:r>
    </w:p>
    <w:p>
      <w:pPr>
        <w:tabs>
          <w:tab w:val="left" w:pos="750"/>
        </w:tabs>
        <w:spacing w:line="360" w:lineRule="auto"/>
        <w:ind w:firstLine="560" w:firstLineChars="200"/>
        <w:rPr>
          <w:rFonts w:ascii="宋体" w:hAnsi="宋体" w:hint="eastAsia"/>
          <w:spacing w:val="-40"/>
          <w:sz w:val="28"/>
          <w:szCs w:val="28"/>
        </w:rPr>
      </w:pPr>
      <w:r>
        <w:rPr>
          <w:spacing w:val="-4"/>
          <w:sz w:val="28"/>
        </w:rPr>
        <w:t>1</w:t>
      </w:r>
      <w:r>
        <w:rPr>
          <w:rFonts w:hint="eastAsia"/>
          <w:spacing w:val="-4"/>
          <w:sz w:val="28"/>
        </w:rPr>
        <w:t>1</w:t>
      </w:r>
      <w:r>
        <w:rPr>
          <w:rFonts w:hAnsi="宋体"/>
          <w:spacing w:val="-40"/>
          <w:sz w:val="28"/>
        </w:rPr>
        <w:t>、</w:t>
      </w:r>
      <w:r>
        <w:rPr>
          <w:rFonts w:hint="eastAsia"/>
          <w:color w:val="000000"/>
          <w:spacing w:val="-4"/>
          <w:sz w:val="28"/>
          <w:szCs w:val="28"/>
          <w:lang w:eastAsia="zh-CN"/>
        </w:rPr>
        <w:t>嘉利达（平阳）明胶有限公司</w:t>
      </w:r>
      <w:r>
        <w:rPr>
          <w:rFonts w:hint="eastAsia"/>
          <w:color w:val="000000"/>
          <w:spacing w:val="-4"/>
          <w:sz w:val="28"/>
          <w:szCs w:val="28"/>
          <w:lang w:val="en-US" w:eastAsia="zh-CN"/>
        </w:rPr>
        <w:t>老厂房改造</w:t>
      </w:r>
      <w:r>
        <w:rPr>
          <w:rFonts w:hint="eastAsia"/>
          <w:spacing w:val="-4"/>
          <w:sz w:val="28"/>
          <w:szCs w:val="28"/>
        </w:rPr>
        <w:t>项目竣工环保验收监测方案</w:t>
      </w:r>
      <w:r>
        <w:rPr>
          <w:rFonts w:ascii="宋体" w:hAnsi="宋体" w:hint="eastAsia"/>
          <w:spacing w:val="-40"/>
          <w:sz w:val="28"/>
          <w:szCs w:val="28"/>
        </w:rPr>
        <w:t>；</w:t>
      </w:r>
    </w:p>
    <w:p>
      <w:pPr>
        <w:tabs>
          <w:tab w:val="left" w:pos="750"/>
        </w:tabs>
        <w:spacing w:line="360" w:lineRule="auto"/>
        <w:ind w:firstLine="560" w:firstLineChars="200"/>
        <w:rPr>
          <w:rFonts w:hint="eastAsia"/>
          <w:color w:val="000000"/>
          <w:sz w:val="28"/>
          <w:szCs w:val="28"/>
        </w:rPr>
        <w:sectPr>
          <w:headerReference w:type="even" r:id="rId15"/>
          <w:headerReference w:type="default" r:id="rId16"/>
          <w:footerReference w:type="even" r:id="rId17"/>
          <w:footerReference w:type="default" r:id="rId18"/>
          <w:type w:val="nextPage"/>
          <w:pgSz w:w="11907" w:h="16840"/>
          <w:pgMar w:top="1418" w:right="1418" w:bottom="1021" w:left="1418" w:header="851" w:footer="851" w:gutter="284"/>
          <w:pgNumType w:start="2"/>
          <w:cols w:space="708"/>
          <w:titlePg w:val="0"/>
          <w:docGrid w:linePitch="289"/>
        </w:sectPr>
      </w:pPr>
      <w:r>
        <w:rPr>
          <w:color w:val="000000"/>
          <w:sz w:val="28"/>
          <w:szCs w:val="28"/>
        </w:rPr>
        <w:t>1</w:t>
      </w:r>
      <w:r>
        <w:rPr>
          <w:rFonts w:hint="eastAsia"/>
          <w:color w:val="000000"/>
          <w:sz w:val="28"/>
          <w:szCs w:val="28"/>
        </w:rPr>
        <w:t>2</w:t>
      </w:r>
      <w:r>
        <w:rPr>
          <w:rFonts w:hAnsi="宋体" w:hint="eastAsia"/>
          <w:color w:val="000000"/>
          <w:spacing w:val="-40"/>
          <w:sz w:val="28"/>
        </w:rPr>
        <w:t>、</w:t>
      </w:r>
      <w:r>
        <w:rPr>
          <w:rFonts w:hint="eastAsia"/>
          <w:color w:val="000000"/>
          <w:sz w:val="28"/>
          <w:szCs w:val="28"/>
        </w:rPr>
        <w:t>《</w:t>
      </w:r>
      <w:r>
        <w:rPr>
          <w:rFonts w:hint="eastAsia"/>
          <w:color w:val="000000"/>
          <w:spacing w:val="-4"/>
          <w:sz w:val="28"/>
          <w:szCs w:val="28"/>
          <w:lang w:eastAsia="zh-CN"/>
        </w:rPr>
        <w:t>嘉利达（平阳）明胶有限公司</w:t>
      </w:r>
      <w:r>
        <w:rPr>
          <w:rFonts w:ascii="宋体" w:hAnsi="宋体" w:hint="eastAsia"/>
          <w:color w:val="000000"/>
          <w:spacing w:val="-4"/>
          <w:sz w:val="28"/>
          <w:szCs w:val="28"/>
          <w:lang w:val="en-US" w:eastAsia="zh-CN"/>
        </w:rPr>
        <w:t>废水处理站改造工程初步设计方案</w:t>
      </w:r>
      <w:r>
        <w:rPr>
          <w:rFonts w:hint="eastAsia"/>
          <w:color w:val="000000"/>
          <w:sz w:val="28"/>
          <w:szCs w:val="28"/>
        </w:rPr>
        <w:t>》</w:t>
      </w:r>
    </w:p>
    <w:p>
      <w:pPr>
        <w:tabs>
          <w:tab w:val="left" w:pos="750"/>
        </w:tabs>
        <w:spacing w:line="360" w:lineRule="auto"/>
        <w:ind w:firstLine="560" w:firstLineChars="200"/>
        <w:rPr>
          <w:rFonts w:hint="eastAsia"/>
          <w:color w:val="000000"/>
          <w:sz w:val="28"/>
          <w:szCs w:val="28"/>
        </w:rPr>
      </w:pPr>
      <w:r>
        <w:rPr>
          <w:rFonts w:ascii="宋体" w:hAnsi="宋体" w:hint="eastAsia"/>
          <w:color w:val="000000"/>
          <w:sz w:val="28"/>
          <w:szCs w:val="28"/>
        </w:rPr>
        <w:t>(</w:t>
      </w:r>
      <w:r>
        <w:rPr>
          <w:rFonts w:hint="eastAsia"/>
          <w:bCs/>
          <w:color w:val="000000"/>
          <w:sz w:val="28"/>
          <w:szCs w:val="28"/>
          <w:lang w:val="en-US" w:eastAsia="zh-CN"/>
        </w:rPr>
        <w:t>温州清华环境工程有限公司，北京国环清华工程设计研究院上海分院</w:t>
      </w:r>
      <w:r>
        <w:rPr>
          <w:rFonts w:hint="eastAsia"/>
          <w:bCs/>
          <w:color w:val="000000"/>
          <w:sz w:val="28"/>
          <w:szCs w:val="28"/>
        </w:rPr>
        <w:t>，</w:t>
      </w:r>
      <w:r>
        <w:rPr>
          <w:rFonts w:hint="eastAsia"/>
          <w:color w:val="000000"/>
          <w:sz w:val="28"/>
          <w:szCs w:val="28"/>
        </w:rPr>
        <w:t>20</w:t>
      </w:r>
      <w:r>
        <w:rPr>
          <w:rFonts w:hint="eastAsia"/>
          <w:color w:val="000000"/>
          <w:sz w:val="28"/>
          <w:szCs w:val="28"/>
          <w:lang w:val="en-US" w:eastAsia="zh-CN"/>
        </w:rPr>
        <w:t>08</w:t>
      </w:r>
      <w:r>
        <w:rPr>
          <w:rFonts w:hint="eastAsia"/>
          <w:color w:val="000000"/>
          <w:sz w:val="28"/>
          <w:szCs w:val="28"/>
        </w:rPr>
        <w:t>年</w:t>
      </w:r>
      <w:r>
        <w:rPr>
          <w:rFonts w:hint="eastAsia"/>
          <w:color w:val="000000"/>
          <w:sz w:val="28"/>
          <w:szCs w:val="28"/>
          <w:lang w:val="en-US" w:eastAsia="zh-CN"/>
        </w:rPr>
        <w:t>1</w:t>
      </w:r>
      <w:r>
        <w:rPr>
          <w:rFonts w:hint="eastAsia"/>
          <w:color w:val="000000"/>
          <w:sz w:val="28"/>
          <w:szCs w:val="28"/>
        </w:rPr>
        <w:t>月</w:t>
      </w:r>
      <w:r>
        <w:rPr>
          <w:rFonts w:ascii="宋体" w:hAnsi="宋体" w:hint="eastAsia"/>
          <w:color w:val="000000"/>
          <w:sz w:val="28"/>
          <w:szCs w:val="28"/>
        </w:rPr>
        <w:t>)</w:t>
      </w:r>
      <w:r>
        <w:rPr>
          <w:rFonts w:hint="eastAsia"/>
          <w:color w:val="000000"/>
          <w:sz w:val="28"/>
        </w:rPr>
        <w:t>；</w:t>
      </w:r>
    </w:p>
    <w:p>
      <w:pPr>
        <w:tabs>
          <w:tab w:val="left" w:pos="750"/>
        </w:tabs>
        <w:spacing w:line="360" w:lineRule="auto"/>
        <w:ind w:firstLine="560" w:firstLineChars="200"/>
        <w:rPr>
          <w:rFonts w:hint="eastAsia"/>
          <w:color w:val="000000"/>
          <w:sz w:val="28"/>
          <w:szCs w:val="28"/>
        </w:rPr>
      </w:pPr>
      <w:r>
        <w:rPr>
          <w:rFonts w:hint="eastAsia"/>
          <w:color w:val="000000"/>
          <w:sz w:val="28"/>
          <w:szCs w:val="28"/>
        </w:rPr>
        <w:t>13、《</w:t>
      </w:r>
      <w:r>
        <w:rPr>
          <w:rFonts w:hint="eastAsia"/>
          <w:color w:val="000000"/>
          <w:spacing w:val="-4"/>
          <w:sz w:val="28"/>
          <w:szCs w:val="28"/>
          <w:lang w:eastAsia="zh-CN"/>
        </w:rPr>
        <w:t>嘉利达（平阳）明胶有限公司</w:t>
      </w:r>
      <w:r>
        <w:rPr>
          <w:rFonts w:hint="eastAsia"/>
          <w:color w:val="000000"/>
          <w:spacing w:val="-4"/>
          <w:sz w:val="28"/>
          <w:szCs w:val="28"/>
          <w:lang w:val="en-US" w:eastAsia="zh-CN"/>
        </w:rPr>
        <w:t xml:space="preserve"> 皮革车间及污水处理厂废气净化工程</w:t>
      </w:r>
      <w:r>
        <w:rPr>
          <w:rFonts w:hint="eastAsia"/>
          <w:color w:val="000000"/>
          <w:sz w:val="28"/>
          <w:szCs w:val="28"/>
          <w:lang w:val="en-US" w:eastAsia="zh-CN"/>
        </w:rPr>
        <w:t>技术协议书</w:t>
      </w:r>
      <w:r>
        <w:rPr>
          <w:rFonts w:hint="eastAsia"/>
          <w:color w:val="000000"/>
          <w:sz w:val="28"/>
          <w:szCs w:val="28"/>
        </w:rPr>
        <w:t>》</w:t>
      </w:r>
      <w:r>
        <w:rPr>
          <w:rFonts w:ascii="宋体" w:hAnsi="宋体" w:hint="eastAsia"/>
          <w:color w:val="000000"/>
          <w:sz w:val="28"/>
          <w:szCs w:val="28"/>
        </w:rPr>
        <w:t>(</w:t>
      </w:r>
      <w:r>
        <w:rPr>
          <w:rFonts w:hint="eastAsia"/>
          <w:bCs/>
          <w:color w:val="000000"/>
          <w:sz w:val="28"/>
          <w:szCs w:val="28"/>
          <w:lang w:val="en-US" w:eastAsia="zh-CN"/>
        </w:rPr>
        <w:t>浙江强途环保科技发展有限公司</w:t>
      </w:r>
      <w:r>
        <w:rPr>
          <w:rFonts w:hint="eastAsia"/>
          <w:bCs/>
          <w:color w:val="000000"/>
          <w:sz w:val="28"/>
          <w:szCs w:val="28"/>
        </w:rPr>
        <w:t>，</w:t>
      </w:r>
      <w:r>
        <w:rPr>
          <w:rFonts w:hint="eastAsia"/>
          <w:color w:val="000000"/>
          <w:sz w:val="28"/>
          <w:szCs w:val="28"/>
        </w:rPr>
        <w:t>201</w:t>
      </w:r>
      <w:r>
        <w:rPr>
          <w:rFonts w:hint="eastAsia"/>
          <w:color w:val="000000"/>
          <w:sz w:val="28"/>
          <w:szCs w:val="28"/>
          <w:lang w:val="en-US" w:eastAsia="zh-CN"/>
        </w:rPr>
        <w:t>5</w:t>
      </w:r>
      <w:r>
        <w:rPr>
          <w:rFonts w:hint="eastAsia"/>
          <w:color w:val="000000"/>
          <w:sz w:val="28"/>
          <w:szCs w:val="28"/>
        </w:rPr>
        <w:t>年</w:t>
      </w:r>
      <w:r>
        <w:rPr>
          <w:rFonts w:hint="eastAsia"/>
          <w:color w:val="000000"/>
          <w:sz w:val="28"/>
          <w:szCs w:val="28"/>
          <w:lang w:val="en-US" w:eastAsia="zh-CN"/>
        </w:rPr>
        <w:t>2</w:t>
      </w:r>
      <w:r>
        <w:rPr>
          <w:rFonts w:hint="eastAsia"/>
          <w:color w:val="000000"/>
          <w:sz w:val="28"/>
          <w:szCs w:val="28"/>
        </w:rPr>
        <w:t>月</w:t>
      </w:r>
      <w:r>
        <w:rPr>
          <w:rFonts w:hint="eastAsia"/>
          <w:color w:val="000000"/>
          <w:sz w:val="28"/>
          <w:szCs w:val="28"/>
          <w:lang w:val="en-US" w:eastAsia="zh-CN"/>
        </w:rPr>
        <w:t>24日</w:t>
      </w:r>
      <w:r>
        <w:rPr>
          <w:rFonts w:ascii="宋体" w:hAnsi="宋体" w:hint="eastAsia"/>
          <w:color w:val="000000"/>
          <w:sz w:val="28"/>
          <w:szCs w:val="28"/>
        </w:rPr>
        <w:t>)</w:t>
      </w:r>
      <w:r>
        <w:rPr>
          <w:rFonts w:hint="eastAsia"/>
          <w:color w:val="000000"/>
          <w:sz w:val="28"/>
        </w:rPr>
        <w:t>。</w:t>
      </w:r>
    </w:p>
    <w:p>
      <w:pPr>
        <w:pStyle w:val="-3"/>
        <w:numPr>
          <w:ilvl w:val="0"/>
          <w:numId w:val="0"/>
        </w:numPr>
        <w:tabs>
          <w:tab w:val="left" w:pos="1035"/>
        </w:tabs>
        <w:snapToGrid/>
        <w:spacing w:before="0" w:beforeLines="0" w:after="0" w:afterLines="0" w:line="360" w:lineRule="auto"/>
        <w:ind w:firstLine="588" w:firstLineChars="196"/>
        <w:rPr>
          <w:rFonts w:hint="eastAsia"/>
          <w:sz w:val="30"/>
          <w:szCs w:val="30"/>
        </w:rPr>
      </w:pPr>
      <w:bookmarkStart w:id="31" w:name="_Toc457318255"/>
      <w:bookmarkStart w:id="32" w:name="_Toc436059300"/>
      <w:bookmarkStart w:id="33" w:name="_Toc453828919"/>
      <w:r>
        <w:rPr>
          <w:rFonts w:hint="eastAsia"/>
          <w:sz w:val="30"/>
          <w:szCs w:val="30"/>
        </w:rPr>
        <w:t>二、监测目的</w:t>
      </w:r>
      <w:bookmarkEnd w:id="29"/>
      <w:bookmarkEnd w:id="30"/>
      <w:bookmarkEnd w:id="27"/>
      <w:bookmarkEnd w:id="28"/>
      <w:bookmarkEnd w:id="32"/>
      <w:bookmarkEnd w:id="33"/>
      <w:bookmarkEnd w:id="31"/>
    </w:p>
    <w:p>
      <w:pPr>
        <w:tabs>
          <w:tab w:val="left" w:pos="757"/>
        </w:tabs>
        <w:spacing w:line="360" w:lineRule="auto"/>
        <w:ind w:firstLine="560" w:firstLineChars="200"/>
        <w:rPr>
          <w:rFonts w:hint="eastAsia"/>
          <w:sz w:val="28"/>
        </w:rPr>
      </w:pPr>
      <w:bookmarkStart w:id="34" w:name="_Toc12184454"/>
      <w:bookmarkStart w:id="35" w:name="_Toc273447643"/>
      <w:bookmarkStart w:id="36" w:name="_Toc273447938"/>
      <w:bookmarkStart w:id="37" w:name="_Toc273448115"/>
      <w:r>
        <w:rPr>
          <w:rFonts w:hint="eastAsia"/>
          <w:sz w:val="28"/>
        </w:rPr>
        <w:t>1、通过实地调查和监测，考核该建设项目执行国家有关建设项目环境保护管理规章制度情况。</w:t>
      </w:r>
      <w:r>
        <w:rPr>
          <w:sz w:val="28"/>
          <w:szCs w:val="28"/>
        </w:rPr>
        <w:t>检验废水、废气排放口是否达到规范化要求。</w:t>
      </w:r>
    </w:p>
    <w:p>
      <w:pPr>
        <w:tabs>
          <w:tab w:val="left" w:pos="757"/>
        </w:tabs>
        <w:spacing w:line="360" w:lineRule="auto"/>
        <w:ind w:firstLine="560" w:firstLineChars="200"/>
        <w:rPr>
          <w:rFonts w:hint="eastAsia"/>
          <w:sz w:val="28"/>
        </w:rPr>
      </w:pPr>
      <w:r>
        <w:rPr>
          <w:rFonts w:hint="eastAsia"/>
          <w:sz w:val="28"/>
        </w:rPr>
        <w:t>2、评价项目排放的污染物是否达到国家排放标准的要求，是否对周围环境质量造成污染。</w:t>
      </w:r>
      <w:r>
        <w:rPr>
          <w:sz w:val="28"/>
          <w:szCs w:val="28"/>
        </w:rPr>
        <w:t>核定国家总量控制指标的排放总量。</w:t>
      </w:r>
    </w:p>
    <w:p>
      <w:pPr>
        <w:tabs>
          <w:tab w:val="left" w:pos="757"/>
        </w:tabs>
        <w:spacing w:line="360" w:lineRule="auto"/>
        <w:ind w:firstLine="560" w:firstLineChars="200"/>
        <w:rPr>
          <w:rFonts w:hint="eastAsia"/>
          <w:sz w:val="28"/>
        </w:rPr>
      </w:pPr>
      <w:r>
        <w:rPr>
          <w:rFonts w:hint="eastAsia"/>
          <w:sz w:val="28"/>
        </w:rPr>
        <w:t>3、评价其环保设施经技改后的建设、运行情况</w:t>
      </w:r>
      <w:r>
        <w:rPr>
          <w:sz w:val="28"/>
        </w:rPr>
        <w:t>和处理效率，</w:t>
      </w:r>
      <w:r>
        <w:rPr>
          <w:rFonts w:hint="eastAsia"/>
          <w:sz w:val="28"/>
        </w:rPr>
        <w:t>核实环保措施的落实情况，提出存在问题和对策措施。</w:t>
      </w:r>
    </w:p>
    <w:p>
      <w:pPr>
        <w:pStyle w:val="-3"/>
        <w:numPr>
          <w:ilvl w:val="0"/>
          <w:numId w:val="0"/>
        </w:numPr>
        <w:tabs>
          <w:tab w:val="left" w:pos="1035"/>
        </w:tabs>
        <w:snapToGrid/>
        <w:spacing w:before="0" w:beforeLines="0" w:after="0" w:afterLines="0" w:line="360" w:lineRule="auto"/>
        <w:ind w:firstLine="588" w:firstLineChars="196"/>
        <w:rPr>
          <w:rFonts w:hint="eastAsia"/>
          <w:sz w:val="30"/>
          <w:szCs w:val="30"/>
        </w:rPr>
      </w:pPr>
      <w:bookmarkStart w:id="38" w:name="_Toc436059301"/>
      <w:bookmarkStart w:id="39" w:name="_Toc457318256"/>
      <w:bookmarkStart w:id="40" w:name="_Toc453828920"/>
      <w:r>
        <w:rPr>
          <w:rFonts w:hint="eastAsia"/>
          <w:sz w:val="30"/>
          <w:szCs w:val="30"/>
        </w:rPr>
        <w:t>三、评价标准</w:t>
      </w:r>
      <w:bookmarkEnd w:id="34"/>
      <w:bookmarkEnd w:id="35"/>
      <w:bookmarkEnd w:id="36"/>
      <w:bookmarkEnd w:id="37"/>
      <w:bookmarkEnd w:id="38"/>
      <w:bookmarkEnd w:id="39"/>
      <w:bookmarkEnd w:id="40"/>
    </w:p>
    <w:p>
      <w:pPr>
        <w:pStyle w:val="-"/>
        <w:snapToGrid/>
        <w:ind w:firstLine="560"/>
        <w:rPr>
          <w:rFonts w:hint="eastAsia"/>
        </w:rPr>
      </w:pPr>
      <w:r>
        <w:rPr>
          <w:rFonts w:hint="eastAsia"/>
        </w:rPr>
        <w:t>有关评价标准具体指标详见表1：</w:t>
      </w:r>
    </w:p>
    <w:p>
      <w:pPr>
        <w:spacing w:after="24" w:afterLines="10" w:line="300" w:lineRule="exact"/>
        <w:jc w:val="center"/>
        <w:rPr>
          <w:rFonts w:eastAsia="楷体_GB2312"/>
          <w:sz w:val="28"/>
          <w:szCs w:val="28"/>
        </w:rPr>
      </w:pPr>
      <w:r>
        <w:rPr>
          <w:rFonts w:eastAsia="楷体_GB2312"/>
          <w:sz w:val="28"/>
          <w:szCs w:val="28"/>
        </w:rPr>
        <w:t>表1</w:t>
      </w:r>
      <w:r>
        <w:rPr>
          <w:rFonts w:eastAsia="楷体_GB2312" w:hint="eastAsia"/>
          <w:sz w:val="28"/>
          <w:szCs w:val="28"/>
        </w:rPr>
        <w:t xml:space="preserve"> </w:t>
      </w:r>
      <w:r>
        <w:rPr>
          <w:rFonts w:eastAsia="楷体_GB2312"/>
          <w:sz w:val="28"/>
          <w:szCs w:val="28"/>
        </w:rPr>
        <w:t>各项目污染物排放限值</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78"/>
        <w:gridCol w:w="1018"/>
        <w:gridCol w:w="1414"/>
        <w:gridCol w:w="926"/>
        <w:gridCol w:w="967"/>
        <w:gridCol w:w="353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25"/>
          <w:tblHeader/>
          <w:jc w:val="center"/>
        </w:trPr>
        <w:tc>
          <w:tcPr>
            <w:tcW w:w="878" w:type="dxa"/>
            <w:vAlign w:val="center"/>
          </w:tcPr>
          <w:p>
            <w:pPr>
              <w:snapToGrid w:val="0"/>
              <w:jc w:val="center"/>
              <w:rPr>
                <w:rFonts w:ascii="宋体" w:hAnsi="宋体"/>
                <w:szCs w:val="21"/>
              </w:rPr>
            </w:pPr>
            <w:r>
              <w:rPr>
                <w:rFonts w:ascii="宋体" w:hAnsi="宋体"/>
                <w:szCs w:val="21"/>
              </w:rPr>
              <w:t>类别</w:t>
            </w:r>
          </w:p>
        </w:tc>
        <w:tc>
          <w:tcPr>
            <w:tcW w:w="2432" w:type="dxa"/>
            <w:gridSpan w:val="2"/>
            <w:vAlign w:val="center"/>
          </w:tcPr>
          <w:p>
            <w:pPr>
              <w:snapToGrid w:val="0"/>
              <w:jc w:val="center"/>
              <w:rPr>
                <w:rFonts w:ascii="宋体" w:hAnsi="宋体"/>
                <w:szCs w:val="21"/>
              </w:rPr>
            </w:pPr>
            <w:r>
              <w:rPr>
                <w:rFonts w:ascii="宋体" w:hAnsi="宋体"/>
                <w:szCs w:val="21"/>
              </w:rPr>
              <w:t>监测项目</w:t>
            </w:r>
          </w:p>
        </w:tc>
        <w:tc>
          <w:tcPr>
            <w:tcW w:w="926" w:type="dxa"/>
            <w:vAlign w:val="center"/>
          </w:tcPr>
          <w:p>
            <w:pPr>
              <w:snapToGrid w:val="0"/>
              <w:jc w:val="center"/>
              <w:rPr>
                <w:rFonts w:hint="eastAsia"/>
                <w:szCs w:val="21"/>
              </w:rPr>
            </w:pPr>
            <w:r>
              <w:rPr>
                <w:szCs w:val="21"/>
              </w:rPr>
              <w:t>标准</w:t>
            </w:r>
            <w:r>
              <w:rPr>
                <w:rFonts w:hint="eastAsia"/>
                <w:szCs w:val="21"/>
              </w:rPr>
              <w:t>值</w:t>
            </w:r>
          </w:p>
        </w:tc>
        <w:tc>
          <w:tcPr>
            <w:tcW w:w="967" w:type="dxa"/>
            <w:vAlign w:val="center"/>
          </w:tcPr>
          <w:p>
            <w:pPr>
              <w:snapToGrid w:val="0"/>
              <w:jc w:val="center"/>
              <w:rPr>
                <w:szCs w:val="21"/>
              </w:rPr>
            </w:pPr>
            <w:r>
              <w:rPr>
                <w:szCs w:val="21"/>
              </w:rPr>
              <w:t>单位</w:t>
            </w:r>
          </w:p>
        </w:tc>
        <w:tc>
          <w:tcPr>
            <w:tcW w:w="3539" w:type="dxa"/>
            <w:vAlign w:val="center"/>
          </w:tcPr>
          <w:p>
            <w:pPr>
              <w:snapToGrid w:val="0"/>
              <w:jc w:val="center"/>
              <w:rPr>
                <w:szCs w:val="21"/>
              </w:rPr>
            </w:pPr>
            <w:r>
              <w:rPr>
                <w:szCs w:val="21"/>
              </w:rPr>
              <w:t>评价标准</w:t>
            </w: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restart"/>
            <w:vAlign w:val="center"/>
          </w:tcPr>
          <w:p>
            <w:pPr>
              <w:snapToGrid w:val="0"/>
              <w:jc w:val="center"/>
              <w:rPr>
                <w:rFonts w:ascii="宋体" w:hAnsi="宋体"/>
                <w:szCs w:val="21"/>
              </w:rPr>
            </w:pPr>
            <w:r>
              <w:rPr>
                <w:rFonts w:ascii="宋体" w:hAnsi="宋体"/>
                <w:szCs w:val="21"/>
              </w:rPr>
              <w:t>废水</w:t>
            </w:r>
          </w:p>
        </w:tc>
        <w:tc>
          <w:tcPr>
            <w:tcW w:w="2432" w:type="dxa"/>
            <w:gridSpan w:val="2"/>
            <w:vAlign w:val="center"/>
          </w:tcPr>
          <w:p>
            <w:pPr>
              <w:snapToGrid w:val="0"/>
              <w:jc w:val="center"/>
              <w:rPr>
                <w:color w:val="000000"/>
                <w:szCs w:val="21"/>
              </w:rPr>
            </w:pPr>
            <w:r>
              <w:rPr>
                <w:color w:val="000000"/>
                <w:szCs w:val="21"/>
              </w:rPr>
              <w:t>pH</w:t>
            </w:r>
            <w:r>
              <w:rPr>
                <w:rFonts w:hAnsi="宋体"/>
                <w:color w:val="000000"/>
                <w:szCs w:val="21"/>
              </w:rPr>
              <w:t>值</w:t>
            </w:r>
          </w:p>
        </w:tc>
        <w:tc>
          <w:tcPr>
            <w:tcW w:w="926" w:type="dxa"/>
            <w:vAlign w:val="center"/>
          </w:tcPr>
          <w:p>
            <w:pPr>
              <w:snapToGrid w:val="0"/>
              <w:jc w:val="center"/>
              <w:rPr>
                <w:rFonts w:hint="eastAsia"/>
                <w:color w:val="000000"/>
                <w:szCs w:val="21"/>
              </w:rPr>
            </w:pPr>
            <w:r>
              <w:rPr>
                <w:rFonts w:hint="eastAsia"/>
                <w:color w:val="000000"/>
                <w:szCs w:val="21"/>
              </w:rPr>
              <w:t>6</w:t>
            </w:r>
            <w:r>
              <w:rPr>
                <w:color w:val="000000"/>
                <w:szCs w:val="21"/>
              </w:rPr>
              <w:t>~</w:t>
            </w:r>
            <w:r>
              <w:rPr>
                <w:rFonts w:hint="eastAsia"/>
                <w:color w:val="000000"/>
                <w:szCs w:val="21"/>
              </w:rPr>
              <w:t>9</w:t>
            </w:r>
          </w:p>
        </w:tc>
        <w:tc>
          <w:tcPr>
            <w:tcW w:w="967" w:type="dxa"/>
            <w:vAlign w:val="center"/>
          </w:tcPr>
          <w:p>
            <w:pPr>
              <w:snapToGrid w:val="0"/>
              <w:jc w:val="center"/>
              <w:rPr>
                <w:rFonts w:ascii="宋体" w:hAnsi="宋体"/>
                <w:color w:val="000000"/>
                <w:szCs w:val="21"/>
              </w:rPr>
            </w:pPr>
            <w:r>
              <w:rPr>
                <w:rFonts w:ascii="宋体" w:hAnsi="宋体"/>
                <w:color w:val="000000"/>
                <w:szCs w:val="21"/>
              </w:rPr>
              <w:t>无量纲</w:t>
            </w:r>
          </w:p>
        </w:tc>
        <w:tc>
          <w:tcPr>
            <w:tcW w:w="3539" w:type="dxa"/>
            <w:vMerge w:val="restart"/>
            <w:vAlign w:val="center"/>
          </w:tcPr>
          <w:p>
            <w:pPr>
              <w:snapToGrid w:val="0"/>
              <w:jc w:val="center"/>
              <w:rPr>
                <w:rFonts w:hint="eastAsia"/>
                <w:bCs/>
                <w:szCs w:val="21"/>
              </w:rPr>
            </w:pPr>
            <w:r>
              <w:rPr>
                <w:rFonts w:hint="eastAsia"/>
                <w:bCs/>
                <w:szCs w:val="21"/>
              </w:rPr>
              <w:t>《污水综合排放标准》</w:t>
            </w:r>
            <w:r>
              <w:rPr>
                <w:rFonts w:ascii="宋体" w:hAnsi="宋体"/>
                <w:bCs/>
                <w:szCs w:val="21"/>
              </w:rPr>
              <w:t>(</w:t>
            </w:r>
            <w:r>
              <w:rPr>
                <w:bCs/>
                <w:szCs w:val="21"/>
              </w:rPr>
              <w:t>GB8978-1996</w:t>
            </w:r>
            <w:r>
              <w:rPr>
                <w:rFonts w:ascii="宋体" w:hAnsi="宋体"/>
                <w:bCs/>
                <w:szCs w:val="21"/>
              </w:rPr>
              <w:t>)</w:t>
            </w:r>
            <w:r>
              <w:rPr>
                <w:rFonts w:hint="eastAsia"/>
                <w:bCs/>
                <w:szCs w:val="21"/>
              </w:rPr>
              <w:t>表4一级标准</w:t>
            </w: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ign w:val="center"/>
          </w:tcPr>
          <w:p>
            <w:pPr>
              <w:snapToGrid w:val="0"/>
              <w:jc w:val="center"/>
              <w:rPr>
                <w:rFonts w:ascii="宋体" w:hAnsi="宋体"/>
                <w:szCs w:val="21"/>
              </w:rPr>
            </w:pPr>
          </w:p>
        </w:tc>
        <w:tc>
          <w:tcPr>
            <w:tcW w:w="2432" w:type="dxa"/>
            <w:gridSpan w:val="2"/>
            <w:vAlign w:val="center"/>
          </w:tcPr>
          <w:p>
            <w:pPr>
              <w:snapToGrid w:val="0"/>
              <w:jc w:val="center"/>
              <w:rPr>
                <w:color w:val="000000"/>
                <w:szCs w:val="21"/>
              </w:rPr>
            </w:pPr>
            <w:r>
              <w:rPr>
                <w:rFonts w:hAnsi="宋体"/>
                <w:color w:val="000000"/>
                <w:szCs w:val="21"/>
              </w:rPr>
              <w:t>化学需氧量</w:t>
            </w:r>
          </w:p>
        </w:tc>
        <w:tc>
          <w:tcPr>
            <w:tcW w:w="926" w:type="dxa"/>
            <w:vAlign w:val="center"/>
          </w:tcPr>
          <w:p>
            <w:pPr>
              <w:snapToGrid w:val="0"/>
              <w:jc w:val="center"/>
              <w:rPr>
                <w:rFonts w:hint="eastAsia"/>
                <w:color w:val="000000"/>
                <w:szCs w:val="21"/>
              </w:rPr>
            </w:pPr>
            <w:r>
              <w:rPr>
                <w:rFonts w:hint="eastAsia"/>
                <w:color w:val="000000"/>
                <w:szCs w:val="21"/>
              </w:rPr>
              <w:t>100</w:t>
            </w:r>
          </w:p>
        </w:tc>
        <w:tc>
          <w:tcPr>
            <w:tcW w:w="967" w:type="dxa"/>
            <w:vAlign w:val="center"/>
          </w:tcPr>
          <w:p>
            <w:pPr>
              <w:snapToGrid w:val="0"/>
              <w:jc w:val="center"/>
              <w:rPr>
                <w:color w:val="000000"/>
                <w:szCs w:val="21"/>
              </w:rPr>
            </w:pPr>
            <w:r>
              <w:rPr>
                <w:color w:val="000000"/>
                <w:szCs w:val="21"/>
              </w:rPr>
              <w:t>mg/L</w:t>
            </w:r>
          </w:p>
        </w:tc>
        <w:tc>
          <w:tcPr>
            <w:tcW w:w="3539" w:type="dxa"/>
            <w:vMerge/>
            <w:vAlign w:val="center"/>
          </w:tcPr>
          <w:p>
            <w:pPr>
              <w:snapToGrid w:val="0"/>
              <w:jc w:val="center"/>
              <w:rPr>
                <w:rFonts w:hint="eastAsia"/>
                <w:bCs/>
                <w:szCs w:val="21"/>
              </w:rPr>
            </w:pP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ign w:val="center"/>
          </w:tcPr>
          <w:p>
            <w:pPr>
              <w:snapToGrid w:val="0"/>
              <w:jc w:val="center"/>
              <w:rPr>
                <w:rFonts w:ascii="宋体" w:hAnsi="宋体"/>
                <w:szCs w:val="21"/>
              </w:rPr>
            </w:pPr>
          </w:p>
        </w:tc>
        <w:tc>
          <w:tcPr>
            <w:tcW w:w="2432" w:type="dxa"/>
            <w:gridSpan w:val="2"/>
            <w:vAlign w:val="center"/>
          </w:tcPr>
          <w:p>
            <w:pPr>
              <w:snapToGrid w:val="0"/>
              <w:jc w:val="center"/>
              <w:rPr>
                <w:rFonts w:hAnsi="宋体"/>
                <w:color w:val="000000"/>
                <w:szCs w:val="21"/>
              </w:rPr>
            </w:pPr>
            <w:r>
              <w:rPr>
                <w:rFonts w:hAnsi="宋体" w:hint="eastAsia"/>
                <w:color w:val="000000"/>
                <w:szCs w:val="21"/>
              </w:rPr>
              <w:t>五日生化需氧量</w:t>
            </w:r>
          </w:p>
        </w:tc>
        <w:tc>
          <w:tcPr>
            <w:tcW w:w="926" w:type="dxa"/>
            <w:vAlign w:val="center"/>
          </w:tcPr>
          <w:p>
            <w:pPr>
              <w:snapToGrid w:val="0"/>
              <w:jc w:val="center"/>
              <w:rPr>
                <w:rFonts w:hint="eastAsia"/>
                <w:color w:val="000000"/>
                <w:szCs w:val="21"/>
              </w:rPr>
            </w:pPr>
            <w:r>
              <w:rPr>
                <w:rFonts w:hint="eastAsia"/>
                <w:color w:val="000000"/>
                <w:szCs w:val="21"/>
              </w:rPr>
              <w:t>20</w:t>
            </w:r>
          </w:p>
        </w:tc>
        <w:tc>
          <w:tcPr>
            <w:tcW w:w="967" w:type="dxa"/>
            <w:vAlign w:val="center"/>
          </w:tcPr>
          <w:p>
            <w:pPr>
              <w:snapToGrid w:val="0"/>
              <w:jc w:val="center"/>
              <w:rPr>
                <w:color w:val="000000"/>
                <w:szCs w:val="21"/>
              </w:rPr>
            </w:pPr>
            <w:r>
              <w:rPr>
                <w:color w:val="000000"/>
                <w:szCs w:val="21"/>
              </w:rPr>
              <w:t>mg/L</w:t>
            </w:r>
          </w:p>
        </w:tc>
        <w:tc>
          <w:tcPr>
            <w:tcW w:w="3539" w:type="dxa"/>
            <w:vMerge/>
            <w:vAlign w:val="center"/>
          </w:tcPr>
          <w:p>
            <w:pPr>
              <w:snapToGrid w:val="0"/>
              <w:jc w:val="center"/>
              <w:rPr>
                <w:rFonts w:hint="eastAsia"/>
                <w:bCs/>
                <w:szCs w:val="21"/>
              </w:rPr>
            </w:pP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ign w:val="center"/>
          </w:tcPr>
          <w:p>
            <w:pPr>
              <w:snapToGrid w:val="0"/>
              <w:jc w:val="center"/>
              <w:rPr>
                <w:rFonts w:ascii="宋体" w:hAnsi="宋体"/>
                <w:szCs w:val="21"/>
              </w:rPr>
            </w:pPr>
          </w:p>
        </w:tc>
        <w:tc>
          <w:tcPr>
            <w:tcW w:w="2432" w:type="dxa"/>
            <w:gridSpan w:val="2"/>
            <w:vAlign w:val="center"/>
          </w:tcPr>
          <w:p>
            <w:pPr>
              <w:snapToGrid w:val="0"/>
              <w:jc w:val="center"/>
              <w:rPr>
                <w:rFonts w:hAnsi="宋体"/>
                <w:color w:val="000000"/>
                <w:szCs w:val="21"/>
              </w:rPr>
            </w:pPr>
            <w:r>
              <w:rPr>
                <w:rFonts w:hAnsi="宋体"/>
                <w:color w:val="000000"/>
                <w:szCs w:val="21"/>
              </w:rPr>
              <w:t>动植物油类</w:t>
            </w:r>
          </w:p>
        </w:tc>
        <w:tc>
          <w:tcPr>
            <w:tcW w:w="926" w:type="dxa"/>
            <w:vAlign w:val="center"/>
          </w:tcPr>
          <w:p>
            <w:pPr>
              <w:snapToGrid w:val="0"/>
              <w:jc w:val="center"/>
              <w:rPr>
                <w:rFonts w:hint="eastAsia"/>
                <w:color w:val="000000"/>
                <w:szCs w:val="21"/>
              </w:rPr>
            </w:pPr>
            <w:r>
              <w:rPr>
                <w:rFonts w:hint="eastAsia"/>
                <w:color w:val="000000"/>
                <w:szCs w:val="21"/>
              </w:rPr>
              <w:t>10</w:t>
            </w:r>
          </w:p>
        </w:tc>
        <w:tc>
          <w:tcPr>
            <w:tcW w:w="967" w:type="dxa"/>
            <w:vAlign w:val="center"/>
          </w:tcPr>
          <w:p>
            <w:pPr>
              <w:snapToGrid w:val="0"/>
              <w:jc w:val="center"/>
              <w:rPr>
                <w:rFonts w:ascii="宋体" w:hAnsi="宋体"/>
                <w:color w:val="000000"/>
                <w:szCs w:val="21"/>
              </w:rPr>
            </w:pPr>
            <w:r>
              <w:rPr>
                <w:color w:val="000000"/>
                <w:szCs w:val="21"/>
              </w:rPr>
              <w:t>mg/L</w:t>
            </w:r>
          </w:p>
        </w:tc>
        <w:tc>
          <w:tcPr>
            <w:tcW w:w="3539" w:type="dxa"/>
            <w:vMerge/>
            <w:vAlign w:val="center"/>
          </w:tcPr>
          <w:p>
            <w:pPr>
              <w:snapToGrid w:val="0"/>
              <w:jc w:val="center"/>
              <w:rPr>
                <w:rFonts w:hint="eastAsia"/>
                <w:bCs/>
                <w:szCs w:val="21"/>
              </w:rPr>
            </w:pP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ign w:val="center"/>
          </w:tcPr>
          <w:p>
            <w:pPr>
              <w:snapToGrid w:val="0"/>
              <w:jc w:val="center"/>
              <w:rPr>
                <w:rFonts w:ascii="宋体" w:hAnsi="宋体"/>
                <w:szCs w:val="21"/>
              </w:rPr>
            </w:pPr>
          </w:p>
        </w:tc>
        <w:tc>
          <w:tcPr>
            <w:tcW w:w="2432" w:type="dxa"/>
            <w:gridSpan w:val="2"/>
            <w:vAlign w:val="center"/>
          </w:tcPr>
          <w:p>
            <w:pPr>
              <w:snapToGrid w:val="0"/>
              <w:jc w:val="center"/>
              <w:rPr>
                <w:rFonts w:hAnsi="宋体"/>
                <w:color w:val="000000"/>
                <w:szCs w:val="21"/>
              </w:rPr>
            </w:pPr>
            <w:r>
              <w:rPr>
                <w:rFonts w:hAnsi="宋体"/>
                <w:color w:val="000000"/>
                <w:szCs w:val="21"/>
              </w:rPr>
              <w:t>悬浮物</w:t>
            </w:r>
          </w:p>
        </w:tc>
        <w:tc>
          <w:tcPr>
            <w:tcW w:w="926" w:type="dxa"/>
            <w:vAlign w:val="center"/>
          </w:tcPr>
          <w:p>
            <w:pPr>
              <w:snapToGrid w:val="0"/>
              <w:jc w:val="center"/>
              <w:rPr>
                <w:rFonts w:hint="eastAsia"/>
                <w:color w:val="000000"/>
                <w:szCs w:val="21"/>
              </w:rPr>
            </w:pPr>
            <w:r>
              <w:rPr>
                <w:rFonts w:hint="eastAsia"/>
                <w:color w:val="000000"/>
                <w:szCs w:val="21"/>
              </w:rPr>
              <w:t>70</w:t>
            </w:r>
          </w:p>
        </w:tc>
        <w:tc>
          <w:tcPr>
            <w:tcW w:w="967" w:type="dxa"/>
            <w:vAlign w:val="center"/>
          </w:tcPr>
          <w:p>
            <w:pPr>
              <w:snapToGrid w:val="0"/>
              <w:jc w:val="center"/>
              <w:rPr>
                <w:rFonts w:ascii="宋体" w:hAnsi="宋体"/>
                <w:color w:val="000000"/>
                <w:szCs w:val="21"/>
              </w:rPr>
            </w:pPr>
            <w:r>
              <w:rPr>
                <w:color w:val="000000"/>
                <w:szCs w:val="21"/>
              </w:rPr>
              <w:t>mg/L</w:t>
            </w:r>
          </w:p>
        </w:tc>
        <w:tc>
          <w:tcPr>
            <w:tcW w:w="3539" w:type="dxa"/>
            <w:vMerge/>
            <w:vAlign w:val="center"/>
          </w:tcPr>
          <w:p>
            <w:pPr>
              <w:snapToGrid w:val="0"/>
              <w:jc w:val="center"/>
              <w:rPr>
                <w:rFonts w:hint="eastAsia"/>
                <w:bCs/>
                <w:szCs w:val="21"/>
              </w:rPr>
            </w:pP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ign w:val="center"/>
          </w:tcPr>
          <w:p>
            <w:pPr>
              <w:snapToGrid w:val="0"/>
              <w:jc w:val="center"/>
              <w:rPr>
                <w:rFonts w:ascii="宋体" w:hAnsi="宋体"/>
                <w:szCs w:val="21"/>
              </w:rPr>
            </w:pPr>
          </w:p>
        </w:tc>
        <w:tc>
          <w:tcPr>
            <w:tcW w:w="2432" w:type="dxa"/>
            <w:gridSpan w:val="2"/>
            <w:vAlign w:val="center"/>
          </w:tcPr>
          <w:p>
            <w:pPr>
              <w:snapToGrid w:val="0"/>
              <w:jc w:val="center"/>
              <w:rPr>
                <w:rFonts w:hAnsi="宋体" w:hint="eastAsia"/>
                <w:color w:val="000000"/>
                <w:szCs w:val="21"/>
              </w:rPr>
            </w:pPr>
            <w:r>
              <w:rPr>
                <w:rFonts w:hAnsi="宋体"/>
                <w:color w:val="000000"/>
                <w:szCs w:val="21"/>
              </w:rPr>
              <w:t>氨氮</w:t>
            </w:r>
          </w:p>
        </w:tc>
        <w:tc>
          <w:tcPr>
            <w:tcW w:w="926" w:type="dxa"/>
            <w:vAlign w:val="center"/>
          </w:tcPr>
          <w:p>
            <w:pPr>
              <w:snapToGrid w:val="0"/>
              <w:jc w:val="center"/>
              <w:rPr>
                <w:rFonts w:hint="eastAsia"/>
                <w:color w:val="000000"/>
                <w:szCs w:val="21"/>
              </w:rPr>
            </w:pPr>
            <w:r>
              <w:rPr>
                <w:rFonts w:hint="eastAsia"/>
                <w:color w:val="000000"/>
                <w:szCs w:val="21"/>
              </w:rPr>
              <w:t>15</w:t>
            </w:r>
          </w:p>
        </w:tc>
        <w:tc>
          <w:tcPr>
            <w:tcW w:w="967" w:type="dxa"/>
            <w:vAlign w:val="center"/>
          </w:tcPr>
          <w:p>
            <w:pPr>
              <w:snapToGrid w:val="0"/>
              <w:jc w:val="center"/>
              <w:rPr>
                <w:rFonts w:ascii="宋体" w:hAnsi="宋体"/>
                <w:color w:val="000000"/>
                <w:szCs w:val="21"/>
              </w:rPr>
            </w:pPr>
            <w:r>
              <w:rPr>
                <w:color w:val="000000"/>
                <w:szCs w:val="21"/>
              </w:rPr>
              <w:t>mg/L</w:t>
            </w:r>
          </w:p>
        </w:tc>
        <w:tc>
          <w:tcPr>
            <w:tcW w:w="3539" w:type="dxa"/>
            <w:vMerge/>
            <w:vAlign w:val="center"/>
          </w:tcPr>
          <w:p>
            <w:pPr>
              <w:snapToGrid w:val="0"/>
              <w:jc w:val="center"/>
              <w:rPr>
                <w:szCs w:val="21"/>
              </w:rPr>
            </w:pP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restart"/>
            <w:vAlign w:val="center"/>
          </w:tcPr>
          <w:p>
            <w:pPr>
              <w:snapToGrid w:val="0"/>
              <w:jc w:val="center"/>
              <w:rPr>
                <w:rFonts w:ascii="宋体" w:hAnsi="宋体"/>
                <w:szCs w:val="21"/>
              </w:rPr>
            </w:pPr>
            <w:r>
              <w:rPr>
                <w:rFonts w:ascii="宋体" w:hAnsi="宋体"/>
                <w:szCs w:val="21"/>
              </w:rPr>
              <w:t>废气</w:t>
            </w:r>
          </w:p>
        </w:tc>
        <w:tc>
          <w:tcPr>
            <w:tcW w:w="1018" w:type="dxa"/>
            <w:vMerge w:val="restart"/>
            <w:vAlign w:val="center"/>
          </w:tcPr>
          <w:p>
            <w:pPr>
              <w:adjustRightInd w:val="0"/>
              <w:snapToGrid w:val="0"/>
              <w:jc w:val="center"/>
              <w:rPr>
                <w:color w:val="auto"/>
                <w:szCs w:val="21"/>
              </w:rPr>
            </w:pPr>
            <w:r>
              <w:rPr>
                <w:color w:val="auto"/>
                <w:szCs w:val="21"/>
              </w:rPr>
              <w:t>氨</w:t>
            </w:r>
          </w:p>
        </w:tc>
        <w:tc>
          <w:tcPr>
            <w:tcW w:w="1414" w:type="dxa"/>
            <w:vAlign w:val="center"/>
          </w:tcPr>
          <w:p>
            <w:pPr>
              <w:adjustRightInd w:val="0"/>
              <w:snapToGrid w:val="0"/>
              <w:jc w:val="center"/>
              <w:rPr>
                <w:color w:val="auto"/>
                <w:szCs w:val="21"/>
              </w:rPr>
            </w:pPr>
            <w:r>
              <w:rPr>
                <w:color w:val="auto"/>
                <w:szCs w:val="21"/>
              </w:rPr>
              <w:t>无组织排放</w:t>
            </w:r>
          </w:p>
        </w:tc>
        <w:tc>
          <w:tcPr>
            <w:tcW w:w="926" w:type="dxa"/>
            <w:vAlign w:val="center"/>
          </w:tcPr>
          <w:p>
            <w:pPr>
              <w:adjustRightInd w:val="0"/>
              <w:snapToGrid w:val="0"/>
              <w:spacing w:line="260" w:lineRule="exact"/>
              <w:jc w:val="center"/>
              <w:rPr>
                <w:rFonts w:hint="eastAsia"/>
                <w:color w:val="auto"/>
                <w:szCs w:val="21"/>
              </w:rPr>
            </w:pPr>
            <w:r>
              <w:rPr>
                <w:rFonts w:hint="eastAsia"/>
                <w:color w:val="auto"/>
                <w:szCs w:val="21"/>
              </w:rPr>
              <w:t>1.5</w:t>
            </w:r>
          </w:p>
        </w:tc>
        <w:tc>
          <w:tcPr>
            <w:tcW w:w="967" w:type="dxa"/>
            <w:vAlign w:val="center"/>
          </w:tcPr>
          <w:p>
            <w:pPr>
              <w:snapToGrid w:val="0"/>
              <w:jc w:val="center"/>
              <w:rPr>
                <w:color w:val="auto"/>
                <w:szCs w:val="21"/>
              </w:rPr>
            </w:pPr>
            <w:r>
              <w:rPr>
                <w:color w:val="auto"/>
                <w:szCs w:val="21"/>
              </w:rPr>
              <w:t>mg/</w:t>
            </w:r>
            <w:r>
              <w:rPr>
                <w:rFonts w:hint="eastAsia"/>
                <w:color w:val="auto"/>
                <w:szCs w:val="21"/>
              </w:rPr>
              <w:t>m</w:t>
            </w:r>
            <w:r>
              <w:rPr>
                <w:rFonts w:hint="eastAsia"/>
                <w:color w:val="auto"/>
                <w:szCs w:val="21"/>
                <w:vertAlign w:val="superscript"/>
              </w:rPr>
              <w:t>3</w:t>
            </w:r>
          </w:p>
        </w:tc>
        <w:tc>
          <w:tcPr>
            <w:tcW w:w="3539" w:type="dxa"/>
            <w:vMerge w:val="restart"/>
            <w:vAlign w:val="center"/>
          </w:tcPr>
          <w:p>
            <w:pPr>
              <w:snapToGrid w:val="0"/>
              <w:jc w:val="center"/>
              <w:rPr>
                <w:rFonts w:ascii="宋体" w:hAnsi="宋体" w:cs="仿宋_GB2312" w:hint="eastAsia"/>
                <w:color w:val="FF0000"/>
                <w:szCs w:val="21"/>
              </w:rPr>
            </w:pPr>
            <w:bookmarkStart w:id="41" w:name="OLE_LINK10"/>
            <w:r>
              <w:rPr>
                <w:rFonts w:hint="eastAsia"/>
                <w:color w:val="auto"/>
                <w:szCs w:val="21"/>
              </w:rPr>
              <w:t>《恶臭污染物排放标准》</w:t>
            </w:r>
            <w:r>
              <w:rPr>
                <w:rFonts w:ascii="宋体" w:hAnsi="宋体" w:hint="eastAsia"/>
                <w:color w:val="auto"/>
                <w:szCs w:val="21"/>
              </w:rPr>
              <w:t>(</w:t>
            </w:r>
            <w:r>
              <w:rPr>
                <w:rFonts w:hint="eastAsia"/>
                <w:color w:val="auto"/>
                <w:szCs w:val="21"/>
              </w:rPr>
              <w:t>GB14554-1993</w:t>
            </w:r>
            <w:r>
              <w:rPr>
                <w:rFonts w:ascii="宋体" w:hAnsi="宋体" w:hint="eastAsia"/>
                <w:color w:val="auto"/>
                <w:szCs w:val="21"/>
              </w:rPr>
              <w:t>)厂界</w:t>
            </w:r>
            <w:r>
              <w:rPr>
                <w:rFonts w:hint="eastAsia"/>
                <w:color w:val="auto"/>
                <w:szCs w:val="21"/>
              </w:rPr>
              <w:t>二级新扩改标准</w:t>
            </w:r>
            <w:bookmarkEnd w:id="41"/>
            <w:r>
              <w:rPr>
                <w:rFonts w:hint="eastAsia"/>
                <w:color w:val="auto"/>
                <w:szCs w:val="21"/>
              </w:rPr>
              <w:t>及排气筒中排放量标准</w:t>
            </w: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ign w:val="center"/>
          </w:tcPr>
          <w:p>
            <w:pPr>
              <w:snapToGrid w:val="0"/>
              <w:jc w:val="center"/>
              <w:rPr>
                <w:rFonts w:ascii="宋体" w:hAnsi="宋体"/>
                <w:szCs w:val="21"/>
              </w:rPr>
            </w:pPr>
          </w:p>
        </w:tc>
        <w:tc>
          <w:tcPr>
            <w:tcW w:w="1018" w:type="dxa"/>
            <w:vMerge/>
            <w:vAlign w:val="center"/>
          </w:tcPr>
          <w:p>
            <w:pPr>
              <w:adjustRightInd w:val="0"/>
              <w:snapToGrid w:val="0"/>
              <w:jc w:val="center"/>
              <w:rPr>
                <w:color w:val="auto"/>
                <w:szCs w:val="21"/>
              </w:rPr>
            </w:pPr>
          </w:p>
        </w:tc>
        <w:tc>
          <w:tcPr>
            <w:tcW w:w="1414" w:type="dxa"/>
            <w:vAlign w:val="center"/>
          </w:tcPr>
          <w:p>
            <w:pPr>
              <w:adjustRightInd w:val="0"/>
              <w:snapToGrid w:val="0"/>
              <w:jc w:val="center"/>
              <w:rPr>
                <w:color w:val="auto"/>
                <w:szCs w:val="21"/>
              </w:rPr>
            </w:pPr>
            <w:r>
              <w:rPr>
                <w:color w:val="auto"/>
                <w:szCs w:val="21"/>
              </w:rPr>
              <w:t>排放量</w:t>
            </w:r>
            <w:r>
              <w:rPr>
                <w:rFonts w:ascii="宋体" w:hAnsi="宋体" w:hint="eastAsia"/>
                <w:color w:val="auto"/>
                <w:szCs w:val="21"/>
              </w:rPr>
              <w:t>(</w:t>
            </w:r>
            <w:r>
              <w:rPr>
                <w:color w:val="auto"/>
                <w:spacing w:val="-10"/>
                <w:szCs w:val="21"/>
              </w:rPr>
              <w:t>15m</w:t>
            </w:r>
            <w:r>
              <w:rPr>
                <w:rFonts w:ascii="宋体" w:hAnsi="宋体" w:hint="eastAsia"/>
                <w:color w:val="auto"/>
                <w:szCs w:val="21"/>
              </w:rPr>
              <w:t>)</w:t>
            </w:r>
          </w:p>
        </w:tc>
        <w:tc>
          <w:tcPr>
            <w:tcW w:w="926" w:type="dxa"/>
            <w:vAlign w:val="center"/>
          </w:tcPr>
          <w:p>
            <w:pPr>
              <w:adjustRightInd w:val="0"/>
              <w:snapToGrid w:val="0"/>
              <w:spacing w:line="260" w:lineRule="exact"/>
              <w:jc w:val="center"/>
              <w:rPr>
                <w:rFonts w:hint="eastAsia"/>
                <w:color w:val="auto"/>
                <w:szCs w:val="21"/>
              </w:rPr>
            </w:pPr>
            <w:r>
              <w:rPr>
                <w:rFonts w:hint="eastAsia"/>
                <w:color w:val="auto"/>
                <w:szCs w:val="21"/>
              </w:rPr>
              <w:t>4.9</w:t>
            </w:r>
          </w:p>
        </w:tc>
        <w:tc>
          <w:tcPr>
            <w:tcW w:w="967" w:type="dxa"/>
            <w:vAlign w:val="center"/>
          </w:tcPr>
          <w:p>
            <w:pPr>
              <w:adjustRightInd w:val="0"/>
              <w:snapToGrid w:val="0"/>
              <w:jc w:val="center"/>
              <w:rPr>
                <w:rFonts w:hint="eastAsia"/>
                <w:color w:val="auto"/>
                <w:szCs w:val="21"/>
              </w:rPr>
            </w:pPr>
            <w:r>
              <w:rPr>
                <w:rFonts w:hint="eastAsia"/>
                <w:color w:val="auto"/>
                <w:szCs w:val="21"/>
              </w:rPr>
              <w:t>kg/h</w:t>
            </w:r>
          </w:p>
        </w:tc>
        <w:tc>
          <w:tcPr>
            <w:tcW w:w="3539" w:type="dxa"/>
            <w:vMerge/>
            <w:vAlign w:val="center"/>
          </w:tcPr>
          <w:p>
            <w:pPr>
              <w:snapToGrid w:val="0"/>
              <w:jc w:val="center"/>
              <w:rPr>
                <w:rFonts w:ascii="宋体" w:hAnsi="宋体" w:cs="仿宋_GB2312" w:hint="eastAsia"/>
                <w:color w:val="FF0000"/>
                <w:szCs w:val="21"/>
              </w:rPr>
            </w:pP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ign w:val="center"/>
          </w:tcPr>
          <w:p>
            <w:pPr>
              <w:snapToGrid w:val="0"/>
              <w:jc w:val="center"/>
              <w:rPr>
                <w:rFonts w:ascii="宋体" w:hAnsi="宋体"/>
                <w:szCs w:val="21"/>
              </w:rPr>
            </w:pPr>
          </w:p>
        </w:tc>
        <w:tc>
          <w:tcPr>
            <w:tcW w:w="1018" w:type="dxa"/>
            <w:vMerge w:val="restart"/>
            <w:vAlign w:val="center"/>
          </w:tcPr>
          <w:p>
            <w:pPr>
              <w:adjustRightInd w:val="0"/>
              <w:snapToGrid w:val="0"/>
              <w:jc w:val="center"/>
              <w:rPr>
                <w:color w:val="auto"/>
                <w:szCs w:val="21"/>
              </w:rPr>
            </w:pPr>
            <w:r>
              <w:rPr>
                <w:color w:val="auto"/>
                <w:szCs w:val="21"/>
              </w:rPr>
              <w:t>硫化氢</w:t>
            </w:r>
          </w:p>
        </w:tc>
        <w:tc>
          <w:tcPr>
            <w:tcW w:w="1414" w:type="dxa"/>
            <w:vAlign w:val="center"/>
          </w:tcPr>
          <w:p>
            <w:pPr>
              <w:adjustRightInd w:val="0"/>
              <w:snapToGrid w:val="0"/>
              <w:jc w:val="center"/>
              <w:rPr>
                <w:color w:val="auto"/>
                <w:szCs w:val="21"/>
              </w:rPr>
            </w:pPr>
            <w:r>
              <w:rPr>
                <w:color w:val="auto"/>
                <w:szCs w:val="21"/>
              </w:rPr>
              <w:t>无组织排放</w:t>
            </w:r>
          </w:p>
        </w:tc>
        <w:tc>
          <w:tcPr>
            <w:tcW w:w="926" w:type="dxa"/>
            <w:vAlign w:val="center"/>
          </w:tcPr>
          <w:p>
            <w:pPr>
              <w:adjustRightInd w:val="0"/>
              <w:snapToGrid w:val="0"/>
              <w:spacing w:line="260" w:lineRule="exact"/>
              <w:jc w:val="center"/>
              <w:rPr>
                <w:rFonts w:hint="eastAsia"/>
                <w:color w:val="auto"/>
                <w:szCs w:val="21"/>
              </w:rPr>
            </w:pPr>
            <w:r>
              <w:rPr>
                <w:rFonts w:hint="eastAsia"/>
                <w:color w:val="auto"/>
                <w:szCs w:val="21"/>
              </w:rPr>
              <w:t>0.06</w:t>
            </w:r>
          </w:p>
        </w:tc>
        <w:tc>
          <w:tcPr>
            <w:tcW w:w="967" w:type="dxa"/>
            <w:vAlign w:val="center"/>
          </w:tcPr>
          <w:p>
            <w:pPr>
              <w:snapToGrid w:val="0"/>
              <w:jc w:val="center"/>
              <w:rPr>
                <w:color w:val="auto"/>
                <w:szCs w:val="21"/>
              </w:rPr>
            </w:pPr>
            <w:r>
              <w:rPr>
                <w:color w:val="auto"/>
                <w:szCs w:val="21"/>
              </w:rPr>
              <w:t>mg/</w:t>
            </w:r>
            <w:r>
              <w:rPr>
                <w:rFonts w:hint="eastAsia"/>
                <w:color w:val="auto"/>
                <w:szCs w:val="21"/>
              </w:rPr>
              <w:t>m</w:t>
            </w:r>
            <w:r>
              <w:rPr>
                <w:rFonts w:hint="eastAsia"/>
                <w:color w:val="auto"/>
                <w:szCs w:val="21"/>
                <w:vertAlign w:val="superscript"/>
              </w:rPr>
              <w:t>3</w:t>
            </w:r>
          </w:p>
        </w:tc>
        <w:tc>
          <w:tcPr>
            <w:tcW w:w="3539" w:type="dxa"/>
            <w:vMerge/>
            <w:vAlign w:val="center"/>
          </w:tcPr>
          <w:p>
            <w:pPr>
              <w:snapToGrid w:val="0"/>
              <w:jc w:val="center"/>
              <w:rPr>
                <w:rFonts w:ascii="宋体" w:hAnsi="宋体" w:cs="仿宋_GB2312" w:hint="eastAsia"/>
                <w:color w:val="FF0000"/>
                <w:szCs w:val="21"/>
              </w:rPr>
            </w:pP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ign w:val="center"/>
          </w:tcPr>
          <w:p>
            <w:pPr>
              <w:snapToGrid w:val="0"/>
              <w:jc w:val="center"/>
              <w:rPr>
                <w:rFonts w:ascii="宋体" w:hAnsi="宋体"/>
                <w:szCs w:val="21"/>
              </w:rPr>
            </w:pPr>
          </w:p>
        </w:tc>
        <w:tc>
          <w:tcPr>
            <w:tcW w:w="1018" w:type="dxa"/>
            <w:vMerge/>
            <w:vAlign w:val="center"/>
          </w:tcPr>
          <w:p>
            <w:pPr>
              <w:adjustRightInd w:val="0"/>
              <w:snapToGrid w:val="0"/>
              <w:jc w:val="center"/>
              <w:rPr>
                <w:color w:val="auto"/>
                <w:szCs w:val="21"/>
              </w:rPr>
            </w:pPr>
          </w:p>
        </w:tc>
        <w:tc>
          <w:tcPr>
            <w:tcW w:w="1414" w:type="dxa"/>
            <w:vAlign w:val="center"/>
          </w:tcPr>
          <w:p>
            <w:pPr>
              <w:adjustRightInd w:val="0"/>
              <w:snapToGrid w:val="0"/>
              <w:jc w:val="center"/>
              <w:rPr>
                <w:color w:val="auto"/>
                <w:szCs w:val="21"/>
              </w:rPr>
            </w:pPr>
            <w:r>
              <w:rPr>
                <w:color w:val="auto"/>
                <w:szCs w:val="21"/>
              </w:rPr>
              <w:t>排放量</w:t>
            </w:r>
            <w:r>
              <w:rPr>
                <w:rFonts w:ascii="宋体" w:hAnsi="宋体" w:hint="eastAsia"/>
                <w:color w:val="auto"/>
                <w:szCs w:val="21"/>
              </w:rPr>
              <w:t>(</w:t>
            </w:r>
            <w:r>
              <w:rPr>
                <w:color w:val="auto"/>
                <w:spacing w:val="-10"/>
                <w:szCs w:val="21"/>
              </w:rPr>
              <w:t>15m</w:t>
            </w:r>
            <w:r>
              <w:rPr>
                <w:rFonts w:ascii="宋体" w:hAnsi="宋体" w:hint="eastAsia"/>
                <w:color w:val="auto"/>
                <w:szCs w:val="21"/>
              </w:rPr>
              <w:t>)</w:t>
            </w:r>
          </w:p>
        </w:tc>
        <w:tc>
          <w:tcPr>
            <w:tcW w:w="926" w:type="dxa"/>
            <w:vAlign w:val="center"/>
          </w:tcPr>
          <w:p>
            <w:pPr>
              <w:adjustRightInd w:val="0"/>
              <w:snapToGrid w:val="0"/>
              <w:spacing w:line="260" w:lineRule="exact"/>
              <w:jc w:val="center"/>
              <w:rPr>
                <w:rFonts w:hint="eastAsia"/>
                <w:color w:val="auto"/>
                <w:szCs w:val="21"/>
              </w:rPr>
            </w:pPr>
            <w:r>
              <w:rPr>
                <w:rFonts w:hint="eastAsia"/>
                <w:color w:val="auto"/>
                <w:szCs w:val="21"/>
              </w:rPr>
              <w:t>0.33</w:t>
            </w:r>
          </w:p>
        </w:tc>
        <w:tc>
          <w:tcPr>
            <w:tcW w:w="967" w:type="dxa"/>
            <w:vAlign w:val="center"/>
          </w:tcPr>
          <w:p>
            <w:pPr>
              <w:adjustRightInd w:val="0"/>
              <w:snapToGrid w:val="0"/>
              <w:jc w:val="center"/>
              <w:rPr>
                <w:color w:val="auto"/>
                <w:szCs w:val="21"/>
              </w:rPr>
            </w:pPr>
            <w:r>
              <w:rPr>
                <w:rFonts w:hint="eastAsia"/>
                <w:color w:val="auto"/>
                <w:szCs w:val="21"/>
              </w:rPr>
              <w:t>kg/h</w:t>
            </w:r>
          </w:p>
        </w:tc>
        <w:tc>
          <w:tcPr>
            <w:tcW w:w="3539" w:type="dxa"/>
            <w:vMerge/>
            <w:vAlign w:val="center"/>
          </w:tcPr>
          <w:p>
            <w:pPr>
              <w:snapToGrid w:val="0"/>
              <w:jc w:val="center"/>
              <w:rPr>
                <w:rFonts w:ascii="宋体" w:hAnsi="宋体" w:cs="仿宋_GB2312" w:hint="eastAsia"/>
                <w:color w:val="FF0000"/>
                <w:szCs w:val="21"/>
              </w:rPr>
            </w:pP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ign w:val="center"/>
          </w:tcPr>
          <w:p>
            <w:pPr>
              <w:snapToGrid w:val="0"/>
              <w:jc w:val="center"/>
              <w:rPr>
                <w:rFonts w:ascii="宋体" w:hAnsi="宋体"/>
                <w:szCs w:val="21"/>
              </w:rPr>
            </w:pPr>
          </w:p>
        </w:tc>
        <w:tc>
          <w:tcPr>
            <w:tcW w:w="1018" w:type="dxa"/>
            <w:vMerge w:val="restart"/>
            <w:vAlign w:val="center"/>
          </w:tcPr>
          <w:p>
            <w:pPr>
              <w:snapToGrid w:val="0"/>
              <w:jc w:val="center"/>
              <w:rPr>
                <w:rFonts w:ascii="宋体" w:hAnsi="宋体" w:hint="eastAsia"/>
                <w:color w:val="auto"/>
                <w:szCs w:val="21"/>
              </w:rPr>
            </w:pPr>
            <w:r>
              <w:rPr>
                <w:rFonts w:ascii="宋体" w:hAnsi="宋体" w:hint="eastAsia"/>
                <w:color w:val="auto"/>
                <w:szCs w:val="21"/>
              </w:rPr>
              <w:t>硫酸雾</w:t>
            </w:r>
          </w:p>
        </w:tc>
        <w:tc>
          <w:tcPr>
            <w:tcW w:w="1414" w:type="dxa"/>
            <w:vAlign w:val="center"/>
          </w:tcPr>
          <w:p>
            <w:pPr>
              <w:adjustRightInd w:val="0"/>
              <w:snapToGrid w:val="0"/>
              <w:jc w:val="center"/>
              <w:rPr>
                <w:rFonts w:ascii="宋体" w:hAnsi="宋体" w:hint="eastAsia"/>
                <w:color w:val="auto"/>
                <w:szCs w:val="21"/>
              </w:rPr>
            </w:pPr>
            <w:r>
              <w:rPr>
                <w:color w:val="auto"/>
                <w:szCs w:val="21"/>
              </w:rPr>
              <w:t>无组织排放</w:t>
            </w:r>
          </w:p>
        </w:tc>
        <w:tc>
          <w:tcPr>
            <w:tcW w:w="926" w:type="dxa"/>
            <w:vAlign w:val="center"/>
          </w:tcPr>
          <w:p>
            <w:pPr>
              <w:snapToGrid w:val="0"/>
              <w:jc w:val="center"/>
              <w:rPr>
                <w:rFonts w:hint="eastAsia"/>
                <w:color w:val="auto"/>
                <w:szCs w:val="21"/>
              </w:rPr>
            </w:pPr>
            <w:r>
              <w:rPr>
                <w:rFonts w:hint="eastAsia"/>
                <w:color w:val="auto"/>
                <w:szCs w:val="21"/>
              </w:rPr>
              <w:t>1.2</w:t>
            </w:r>
          </w:p>
        </w:tc>
        <w:tc>
          <w:tcPr>
            <w:tcW w:w="967" w:type="dxa"/>
            <w:vAlign w:val="center"/>
          </w:tcPr>
          <w:p>
            <w:pPr>
              <w:snapToGrid w:val="0"/>
              <w:jc w:val="center"/>
              <w:rPr>
                <w:color w:val="auto"/>
                <w:szCs w:val="21"/>
              </w:rPr>
            </w:pPr>
            <w:r>
              <w:rPr>
                <w:color w:val="auto"/>
                <w:szCs w:val="21"/>
              </w:rPr>
              <w:t>mg/</w:t>
            </w:r>
            <w:r>
              <w:rPr>
                <w:rFonts w:hint="eastAsia"/>
                <w:color w:val="auto"/>
                <w:szCs w:val="21"/>
              </w:rPr>
              <w:t>m</w:t>
            </w:r>
            <w:r>
              <w:rPr>
                <w:rFonts w:hint="eastAsia"/>
                <w:color w:val="auto"/>
                <w:szCs w:val="21"/>
                <w:vertAlign w:val="superscript"/>
              </w:rPr>
              <w:t>3</w:t>
            </w:r>
          </w:p>
        </w:tc>
        <w:tc>
          <w:tcPr>
            <w:tcW w:w="3539" w:type="dxa"/>
            <w:vMerge w:val="restart"/>
            <w:vAlign w:val="center"/>
          </w:tcPr>
          <w:p>
            <w:pPr>
              <w:snapToGrid w:val="0"/>
              <w:jc w:val="center"/>
              <w:rPr>
                <w:rFonts w:ascii="宋体" w:hAnsi="宋体" w:cs="仿宋_GB2312" w:hint="eastAsia"/>
                <w:color w:val="auto"/>
                <w:szCs w:val="21"/>
              </w:rPr>
            </w:pPr>
            <w:r>
              <w:rPr>
                <w:rFonts w:hint="eastAsia"/>
                <w:color w:val="auto"/>
                <w:szCs w:val="21"/>
              </w:rPr>
              <w:t>《大气污染物综合排放标准》</w:t>
            </w:r>
            <w:r>
              <w:rPr>
                <w:rFonts w:ascii="宋体" w:hAnsi="宋体"/>
                <w:bCs/>
                <w:color w:val="auto"/>
                <w:szCs w:val="21"/>
              </w:rPr>
              <w:t>(</w:t>
            </w:r>
            <w:r>
              <w:rPr>
                <w:rFonts w:hint="eastAsia"/>
                <w:color w:val="auto"/>
                <w:szCs w:val="21"/>
              </w:rPr>
              <w:t>GB16297-1996</w:t>
            </w:r>
            <w:r>
              <w:rPr>
                <w:rFonts w:ascii="宋体" w:hAnsi="宋体"/>
                <w:bCs/>
                <w:color w:val="auto"/>
                <w:szCs w:val="21"/>
              </w:rPr>
              <w:t>)</w:t>
            </w:r>
            <w:r>
              <w:rPr>
                <w:rFonts w:ascii="宋体" w:hAnsi="宋体" w:hint="eastAsia"/>
                <w:bCs/>
                <w:color w:val="auto"/>
                <w:szCs w:val="21"/>
              </w:rPr>
              <w:t>新污染源</w:t>
            </w:r>
            <w:r>
              <w:rPr>
                <w:rFonts w:ascii="宋体" w:hAnsi="宋体" w:hint="eastAsia"/>
                <w:bCs/>
                <w:color w:val="auto"/>
                <w:szCs w:val="21"/>
                <w:lang w:val="en-US" w:eastAsia="zh-CN"/>
              </w:rPr>
              <w:t>二级标准</w:t>
            </w:r>
            <w:r>
              <w:rPr>
                <w:rFonts w:ascii="宋体" w:hAnsi="宋体" w:hint="eastAsia"/>
                <w:bCs/>
                <w:color w:val="auto"/>
                <w:szCs w:val="21"/>
              </w:rPr>
              <w:t>监控限值</w:t>
            </w: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ign w:val="center"/>
          </w:tcPr>
          <w:p>
            <w:pPr>
              <w:snapToGrid w:val="0"/>
              <w:jc w:val="center"/>
              <w:rPr>
                <w:rFonts w:ascii="宋体" w:hAnsi="宋体"/>
                <w:szCs w:val="21"/>
              </w:rPr>
            </w:pPr>
          </w:p>
        </w:tc>
        <w:tc>
          <w:tcPr>
            <w:tcW w:w="1018" w:type="dxa"/>
            <w:vMerge/>
            <w:vAlign w:val="center"/>
          </w:tcPr>
          <w:p>
            <w:pPr>
              <w:snapToGrid w:val="0"/>
              <w:jc w:val="center"/>
              <w:rPr>
                <w:rFonts w:ascii="宋体" w:hAnsi="宋体" w:hint="eastAsia"/>
                <w:color w:val="FF0000"/>
                <w:szCs w:val="21"/>
              </w:rPr>
            </w:pPr>
          </w:p>
        </w:tc>
        <w:tc>
          <w:tcPr>
            <w:tcW w:w="1414" w:type="dxa"/>
            <w:vAlign w:val="center"/>
          </w:tcPr>
          <w:p>
            <w:pPr>
              <w:adjustRightInd w:val="0"/>
              <w:snapToGrid w:val="0"/>
              <w:jc w:val="center"/>
              <w:rPr>
                <w:rFonts w:ascii="宋体" w:hAnsi="宋体" w:hint="eastAsia"/>
                <w:color w:val="auto"/>
                <w:szCs w:val="21"/>
              </w:rPr>
            </w:pPr>
            <w:r>
              <w:rPr>
                <w:rFonts w:hint="eastAsia"/>
                <w:color w:val="auto"/>
                <w:szCs w:val="21"/>
                <w:lang w:val="en-US" w:eastAsia="zh-CN"/>
              </w:rPr>
              <w:t>排放浓度</w:t>
            </w:r>
          </w:p>
        </w:tc>
        <w:tc>
          <w:tcPr>
            <w:tcW w:w="926" w:type="dxa"/>
            <w:vAlign w:val="center"/>
          </w:tcPr>
          <w:p>
            <w:pPr>
              <w:snapToGrid w:val="0"/>
              <w:jc w:val="center"/>
              <w:rPr>
                <w:rFonts w:eastAsia="宋体" w:hint="eastAsia"/>
                <w:color w:val="auto"/>
                <w:szCs w:val="21"/>
              </w:rPr>
            </w:pPr>
            <w:r>
              <w:rPr>
                <w:rFonts w:hint="eastAsia"/>
                <w:color w:val="auto"/>
                <w:szCs w:val="21"/>
                <w:lang w:val="en-US" w:eastAsia="zh-CN"/>
              </w:rPr>
              <w:t>70</w:t>
            </w:r>
          </w:p>
        </w:tc>
        <w:tc>
          <w:tcPr>
            <w:tcW w:w="967" w:type="dxa"/>
            <w:vAlign w:val="center"/>
          </w:tcPr>
          <w:p>
            <w:pPr>
              <w:snapToGrid w:val="0"/>
              <w:jc w:val="center"/>
              <w:rPr>
                <w:color w:val="auto"/>
                <w:szCs w:val="21"/>
              </w:rPr>
            </w:pPr>
            <w:r>
              <w:rPr>
                <w:color w:val="auto"/>
                <w:szCs w:val="21"/>
              </w:rPr>
              <w:t>mg/</w:t>
            </w:r>
            <w:r>
              <w:rPr>
                <w:rFonts w:hint="eastAsia"/>
                <w:color w:val="auto"/>
                <w:szCs w:val="21"/>
              </w:rPr>
              <w:t>m</w:t>
            </w:r>
            <w:r>
              <w:rPr>
                <w:rFonts w:hint="eastAsia"/>
                <w:color w:val="auto"/>
                <w:szCs w:val="21"/>
                <w:vertAlign w:val="superscript"/>
              </w:rPr>
              <w:t>3</w:t>
            </w:r>
          </w:p>
        </w:tc>
        <w:tc>
          <w:tcPr>
            <w:tcW w:w="3539" w:type="dxa"/>
            <w:vMerge/>
            <w:vAlign w:val="center"/>
          </w:tcPr>
          <w:p>
            <w:pPr>
              <w:snapToGrid w:val="0"/>
              <w:jc w:val="center"/>
              <w:rPr>
                <w:rFonts w:hint="eastAsia"/>
                <w:color w:val="FF0000"/>
                <w:szCs w:val="21"/>
              </w:rPr>
            </w:pP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ign w:val="center"/>
          </w:tcPr>
          <w:p>
            <w:pPr>
              <w:snapToGrid w:val="0"/>
              <w:jc w:val="center"/>
              <w:rPr>
                <w:rFonts w:ascii="宋体" w:hAnsi="宋体"/>
                <w:szCs w:val="21"/>
              </w:rPr>
            </w:pPr>
          </w:p>
        </w:tc>
        <w:tc>
          <w:tcPr>
            <w:tcW w:w="1018" w:type="dxa"/>
            <w:vMerge/>
            <w:vAlign w:val="center"/>
          </w:tcPr>
          <w:p>
            <w:pPr>
              <w:snapToGrid w:val="0"/>
              <w:jc w:val="center"/>
              <w:rPr>
                <w:rFonts w:ascii="宋体" w:hAnsi="宋体" w:hint="eastAsia"/>
                <w:color w:val="FF0000"/>
                <w:szCs w:val="21"/>
              </w:rPr>
            </w:pPr>
          </w:p>
        </w:tc>
        <w:tc>
          <w:tcPr>
            <w:tcW w:w="1414" w:type="dxa"/>
            <w:vAlign w:val="center"/>
          </w:tcPr>
          <w:p>
            <w:pPr>
              <w:adjustRightInd w:val="0"/>
              <w:snapToGrid w:val="0"/>
              <w:jc w:val="center"/>
              <w:rPr>
                <w:rFonts w:ascii="宋体" w:hAnsi="宋体" w:hint="eastAsia"/>
                <w:color w:val="auto"/>
                <w:szCs w:val="21"/>
              </w:rPr>
            </w:pPr>
            <w:r>
              <w:rPr>
                <w:color w:val="auto"/>
                <w:szCs w:val="21"/>
              </w:rPr>
              <w:t>排放量</w:t>
            </w:r>
            <w:r>
              <w:rPr>
                <w:rFonts w:ascii="宋体" w:hAnsi="宋体" w:hint="eastAsia"/>
                <w:color w:val="auto"/>
                <w:szCs w:val="21"/>
              </w:rPr>
              <w:t>(</w:t>
            </w:r>
            <w:r>
              <w:rPr>
                <w:color w:val="auto"/>
                <w:spacing w:val="-10"/>
                <w:szCs w:val="21"/>
              </w:rPr>
              <w:t>15m</w:t>
            </w:r>
            <w:r>
              <w:rPr>
                <w:rFonts w:ascii="宋体" w:hAnsi="宋体" w:hint="eastAsia"/>
                <w:color w:val="auto"/>
                <w:szCs w:val="21"/>
              </w:rPr>
              <w:t>)</w:t>
            </w:r>
          </w:p>
        </w:tc>
        <w:tc>
          <w:tcPr>
            <w:tcW w:w="926" w:type="dxa"/>
            <w:vAlign w:val="center"/>
          </w:tcPr>
          <w:p>
            <w:pPr>
              <w:snapToGrid w:val="0"/>
              <w:jc w:val="center"/>
              <w:rPr>
                <w:rFonts w:eastAsia="宋体" w:hint="eastAsia"/>
                <w:color w:val="auto"/>
                <w:szCs w:val="21"/>
              </w:rPr>
            </w:pPr>
            <w:r>
              <w:rPr>
                <w:rFonts w:hint="eastAsia"/>
                <w:color w:val="auto"/>
                <w:szCs w:val="21"/>
                <w:lang w:val="en-US" w:eastAsia="zh-CN"/>
              </w:rPr>
              <w:t>1.8</w:t>
            </w:r>
          </w:p>
        </w:tc>
        <w:tc>
          <w:tcPr>
            <w:tcW w:w="967" w:type="dxa"/>
            <w:vAlign w:val="center"/>
          </w:tcPr>
          <w:p>
            <w:pPr>
              <w:snapToGrid w:val="0"/>
              <w:jc w:val="center"/>
              <w:rPr>
                <w:color w:val="auto"/>
                <w:szCs w:val="21"/>
              </w:rPr>
            </w:pPr>
            <w:r>
              <w:rPr>
                <w:rFonts w:hint="eastAsia"/>
                <w:color w:val="auto"/>
                <w:szCs w:val="21"/>
              </w:rPr>
              <w:t>kg/h</w:t>
            </w:r>
          </w:p>
        </w:tc>
        <w:tc>
          <w:tcPr>
            <w:tcW w:w="3539" w:type="dxa"/>
            <w:vMerge/>
            <w:vAlign w:val="center"/>
          </w:tcPr>
          <w:p>
            <w:pPr>
              <w:snapToGrid w:val="0"/>
              <w:jc w:val="center"/>
              <w:rPr>
                <w:rFonts w:hint="eastAsia"/>
                <w:color w:val="FF0000"/>
                <w:szCs w:val="21"/>
              </w:rPr>
            </w:pPr>
          </w:p>
        </w:tc>
      </w:tr>
    </w:tbl>
    <w:p>
      <w:pPr>
        <w:sectPr>
          <w:headerReference w:type="even" r:id="rId19"/>
          <w:headerReference w:type="default" r:id="rId20"/>
          <w:footerReference w:type="even" r:id="rId21"/>
          <w:footerReference w:type="default" r:id="rId22"/>
          <w:type w:val="nextPage"/>
          <w:pgSz w:w="11907" w:h="16840"/>
          <w:pgMar w:top="1418" w:right="1418" w:bottom="1021" w:left="1418" w:header="851" w:footer="851" w:gutter="284"/>
          <w:pgNumType w:start="3"/>
          <w:cols w:space="708"/>
          <w:titlePg w:val="0"/>
          <w:docGrid w:linePitch="289"/>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78"/>
        <w:gridCol w:w="1018"/>
        <w:gridCol w:w="1414"/>
        <w:gridCol w:w="926"/>
        <w:gridCol w:w="967"/>
        <w:gridCol w:w="353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25"/>
          <w:jc w:val="center"/>
        </w:trPr>
        <w:tc>
          <w:tcPr>
            <w:tcW w:w="878" w:type="dxa"/>
            <w:vMerge w:val="restart"/>
            <w:vAlign w:val="center"/>
          </w:tcPr>
          <w:p>
            <w:pPr>
              <w:snapToGrid w:val="0"/>
              <w:jc w:val="center"/>
              <w:rPr>
                <w:rFonts w:ascii="宋体" w:hAnsi="宋体"/>
                <w:szCs w:val="21"/>
              </w:rPr>
            </w:pPr>
          </w:p>
        </w:tc>
        <w:tc>
          <w:tcPr>
            <w:tcW w:w="1018" w:type="dxa"/>
            <w:vMerge w:val="restart"/>
            <w:vAlign w:val="center"/>
          </w:tcPr>
          <w:p>
            <w:pPr>
              <w:snapToGrid w:val="0"/>
              <w:jc w:val="center"/>
              <w:rPr>
                <w:rFonts w:ascii="宋体" w:hAnsi="宋体" w:hint="eastAsia"/>
                <w:color w:val="000000"/>
                <w:szCs w:val="21"/>
              </w:rPr>
            </w:pPr>
            <w:r>
              <w:rPr>
                <w:rFonts w:ascii="宋体" w:hAnsi="宋体" w:hint="eastAsia"/>
                <w:color w:val="000000"/>
                <w:szCs w:val="21"/>
              </w:rPr>
              <w:t>氯化氢</w:t>
            </w:r>
          </w:p>
        </w:tc>
        <w:tc>
          <w:tcPr>
            <w:tcW w:w="1414" w:type="dxa"/>
            <w:vAlign w:val="center"/>
          </w:tcPr>
          <w:p>
            <w:pPr>
              <w:adjustRightInd w:val="0"/>
              <w:snapToGrid w:val="0"/>
              <w:jc w:val="center"/>
              <w:rPr>
                <w:rFonts w:ascii="宋体" w:hAnsi="宋体" w:hint="eastAsia"/>
                <w:color w:val="auto"/>
                <w:szCs w:val="21"/>
              </w:rPr>
            </w:pPr>
            <w:r>
              <w:rPr>
                <w:color w:val="auto"/>
                <w:szCs w:val="21"/>
              </w:rPr>
              <w:t>无组织排放</w:t>
            </w:r>
          </w:p>
        </w:tc>
        <w:tc>
          <w:tcPr>
            <w:tcW w:w="926" w:type="dxa"/>
            <w:vAlign w:val="center"/>
          </w:tcPr>
          <w:p>
            <w:pPr>
              <w:snapToGrid w:val="0"/>
              <w:jc w:val="center"/>
              <w:rPr>
                <w:rFonts w:hint="eastAsia"/>
                <w:color w:val="auto"/>
                <w:szCs w:val="21"/>
              </w:rPr>
            </w:pPr>
            <w:r>
              <w:rPr>
                <w:rFonts w:hint="eastAsia"/>
                <w:color w:val="auto"/>
                <w:szCs w:val="21"/>
              </w:rPr>
              <w:t>0.20</w:t>
            </w:r>
          </w:p>
        </w:tc>
        <w:tc>
          <w:tcPr>
            <w:tcW w:w="967" w:type="dxa"/>
            <w:vAlign w:val="center"/>
          </w:tcPr>
          <w:p>
            <w:pPr>
              <w:snapToGrid w:val="0"/>
              <w:jc w:val="center"/>
              <w:rPr>
                <w:color w:val="auto"/>
                <w:szCs w:val="21"/>
              </w:rPr>
            </w:pPr>
            <w:r>
              <w:rPr>
                <w:color w:val="auto"/>
                <w:szCs w:val="21"/>
              </w:rPr>
              <w:t>mg/</w:t>
            </w:r>
            <w:r>
              <w:rPr>
                <w:rFonts w:hint="eastAsia"/>
                <w:color w:val="auto"/>
                <w:szCs w:val="21"/>
              </w:rPr>
              <w:t>m</w:t>
            </w:r>
            <w:r>
              <w:rPr>
                <w:rFonts w:hint="eastAsia"/>
                <w:color w:val="auto"/>
                <w:szCs w:val="21"/>
                <w:vertAlign w:val="superscript"/>
              </w:rPr>
              <w:t>3</w:t>
            </w:r>
          </w:p>
        </w:tc>
        <w:tc>
          <w:tcPr>
            <w:tcW w:w="3539" w:type="dxa"/>
            <w:vMerge w:val="restart"/>
            <w:vAlign w:val="center"/>
          </w:tcPr>
          <w:p>
            <w:pPr>
              <w:snapToGrid w:val="0"/>
              <w:jc w:val="center"/>
              <w:rPr>
                <w:rFonts w:ascii="宋体" w:hAnsi="宋体" w:cs="仿宋_GB2312" w:hint="eastAsia"/>
                <w:color w:val="000000"/>
                <w:szCs w:val="21"/>
              </w:rPr>
            </w:pP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ign w:val="center"/>
          </w:tcPr>
          <w:p>
            <w:pPr>
              <w:snapToGrid w:val="0"/>
              <w:jc w:val="center"/>
              <w:rPr>
                <w:rFonts w:ascii="宋体" w:hAnsi="宋体"/>
                <w:szCs w:val="21"/>
              </w:rPr>
            </w:pPr>
          </w:p>
        </w:tc>
        <w:tc>
          <w:tcPr>
            <w:tcW w:w="1018" w:type="dxa"/>
            <w:vMerge/>
            <w:vAlign w:val="center"/>
          </w:tcPr>
          <w:p>
            <w:pPr>
              <w:snapToGrid w:val="0"/>
              <w:jc w:val="center"/>
              <w:rPr>
                <w:rFonts w:ascii="宋体" w:hAnsi="宋体" w:hint="eastAsia"/>
                <w:color w:val="000000"/>
                <w:szCs w:val="21"/>
              </w:rPr>
            </w:pPr>
          </w:p>
        </w:tc>
        <w:tc>
          <w:tcPr>
            <w:tcW w:w="1414" w:type="dxa"/>
            <w:vAlign w:val="center"/>
          </w:tcPr>
          <w:p>
            <w:pPr>
              <w:adjustRightInd w:val="0"/>
              <w:snapToGrid w:val="0"/>
              <w:jc w:val="center"/>
              <w:rPr>
                <w:rFonts w:ascii="宋体" w:hAnsi="宋体" w:hint="eastAsia"/>
                <w:color w:val="auto"/>
                <w:szCs w:val="21"/>
              </w:rPr>
            </w:pPr>
            <w:r>
              <w:rPr>
                <w:rFonts w:hint="eastAsia"/>
                <w:color w:val="auto"/>
                <w:szCs w:val="21"/>
                <w:lang w:val="en-US" w:eastAsia="zh-CN"/>
              </w:rPr>
              <w:t>排放浓度</w:t>
            </w:r>
          </w:p>
        </w:tc>
        <w:tc>
          <w:tcPr>
            <w:tcW w:w="926" w:type="dxa"/>
            <w:vAlign w:val="center"/>
          </w:tcPr>
          <w:p>
            <w:pPr>
              <w:snapToGrid w:val="0"/>
              <w:jc w:val="center"/>
              <w:rPr>
                <w:rFonts w:eastAsia="宋体" w:hint="eastAsia"/>
                <w:color w:val="auto"/>
                <w:szCs w:val="21"/>
              </w:rPr>
            </w:pPr>
            <w:r>
              <w:rPr>
                <w:rFonts w:hint="eastAsia"/>
                <w:color w:val="auto"/>
                <w:szCs w:val="21"/>
                <w:lang w:val="en-US" w:eastAsia="zh-CN"/>
              </w:rPr>
              <w:t>100</w:t>
            </w:r>
          </w:p>
        </w:tc>
        <w:tc>
          <w:tcPr>
            <w:tcW w:w="967" w:type="dxa"/>
            <w:vAlign w:val="center"/>
          </w:tcPr>
          <w:p>
            <w:pPr>
              <w:snapToGrid w:val="0"/>
              <w:jc w:val="center"/>
              <w:rPr>
                <w:color w:val="auto"/>
                <w:szCs w:val="21"/>
              </w:rPr>
            </w:pPr>
            <w:r>
              <w:rPr>
                <w:color w:val="auto"/>
                <w:szCs w:val="21"/>
              </w:rPr>
              <w:t>mg/</w:t>
            </w:r>
            <w:r>
              <w:rPr>
                <w:rFonts w:hint="eastAsia"/>
                <w:color w:val="auto"/>
                <w:szCs w:val="21"/>
              </w:rPr>
              <w:t>m</w:t>
            </w:r>
            <w:r>
              <w:rPr>
                <w:rFonts w:hint="eastAsia"/>
                <w:color w:val="auto"/>
                <w:szCs w:val="21"/>
                <w:vertAlign w:val="superscript"/>
              </w:rPr>
              <w:t>3</w:t>
            </w:r>
          </w:p>
        </w:tc>
        <w:tc>
          <w:tcPr>
            <w:tcW w:w="3539" w:type="dxa"/>
            <w:vMerge/>
            <w:vAlign w:val="center"/>
          </w:tcPr>
          <w:p>
            <w:pPr>
              <w:snapToGrid w:val="0"/>
              <w:jc w:val="center"/>
              <w:rPr>
                <w:rFonts w:ascii="宋体" w:hAnsi="宋体" w:cs="仿宋_GB2312" w:hint="eastAsia"/>
                <w:color w:val="000000"/>
                <w:szCs w:val="21"/>
              </w:rPr>
            </w:pP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ign w:val="center"/>
          </w:tcPr>
          <w:p>
            <w:pPr>
              <w:snapToGrid w:val="0"/>
              <w:jc w:val="center"/>
              <w:rPr>
                <w:rFonts w:ascii="宋体" w:hAnsi="宋体"/>
                <w:szCs w:val="21"/>
              </w:rPr>
            </w:pPr>
          </w:p>
        </w:tc>
        <w:tc>
          <w:tcPr>
            <w:tcW w:w="1018" w:type="dxa"/>
            <w:vMerge/>
            <w:vAlign w:val="center"/>
          </w:tcPr>
          <w:p>
            <w:pPr>
              <w:snapToGrid w:val="0"/>
              <w:jc w:val="center"/>
              <w:rPr>
                <w:rFonts w:ascii="宋体" w:hAnsi="宋体" w:hint="eastAsia"/>
                <w:color w:val="000000"/>
                <w:szCs w:val="21"/>
              </w:rPr>
            </w:pPr>
          </w:p>
        </w:tc>
        <w:tc>
          <w:tcPr>
            <w:tcW w:w="1414" w:type="dxa"/>
            <w:vAlign w:val="center"/>
          </w:tcPr>
          <w:p>
            <w:pPr>
              <w:adjustRightInd w:val="0"/>
              <w:snapToGrid w:val="0"/>
              <w:jc w:val="center"/>
              <w:rPr>
                <w:rFonts w:ascii="宋体" w:hAnsi="宋体" w:hint="eastAsia"/>
                <w:color w:val="auto"/>
                <w:szCs w:val="21"/>
              </w:rPr>
            </w:pPr>
            <w:r>
              <w:rPr>
                <w:color w:val="auto"/>
                <w:szCs w:val="21"/>
              </w:rPr>
              <w:t>排放量</w:t>
            </w:r>
            <w:r>
              <w:rPr>
                <w:rFonts w:ascii="宋体" w:hAnsi="宋体" w:hint="eastAsia"/>
                <w:color w:val="auto"/>
                <w:szCs w:val="21"/>
              </w:rPr>
              <w:t>(</w:t>
            </w:r>
            <w:r>
              <w:rPr>
                <w:color w:val="auto"/>
                <w:spacing w:val="-10"/>
                <w:szCs w:val="21"/>
              </w:rPr>
              <w:t>15m</w:t>
            </w:r>
            <w:r>
              <w:rPr>
                <w:rFonts w:ascii="宋体" w:hAnsi="宋体" w:hint="eastAsia"/>
                <w:color w:val="auto"/>
                <w:szCs w:val="21"/>
              </w:rPr>
              <w:t>)</w:t>
            </w:r>
          </w:p>
        </w:tc>
        <w:tc>
          <w:tcPr>
            <w:tcW w:w="926" w:type="dxa"/>
            <w:vAlign w:val="center"/>
          </w:tcPr>
          <w:p>
            <w:pPr>
              <w:snapToGrid w:val="0"/>
              <w:jc w:val="center"/>
              <w:rPr>
                <w:rFonts w:eastAsia="宋体" w:hint="eastAsia"/>
                <w:color w:val="auto"/>
                <w:szCs w:val="21"/>
              </w:rPr>
            </w:pPr>
            <w:r>
              <w:rPr>
                <w:rFonts w:hint="eastAsia"/>
                <w:color w:val="auto"/>
                <w:szCs w:val="21"/>
                <w:lang w:val="en-US" w:eastAsia="zh-CN"/>
              </w:rPr>
              <w:t>0.26</w:t>
            </w:r>
          </w:p>
        </w:tc>
        <w:tc>
          <w:tcPr>
            <w:tcW w:w="967" w:type="dxa"/>
            <w:vAlign w:val="center"/>
          </w:tcPr>
          <w:p>
            <w:pPr>
              <w:snapToGrid w:val="0"/>
              <w:jc w:val="center"/>
              <w:rPr>
                <w:color w:val="auto"/>
                <w:szCs w:val="21"/>
              </w:rPr>
            </w:pPr>
            <w:r>
              <w:rPr>
                <w:rFonts w:hint="eastAsia"/>
                <w:color w:val="auto"/>
                <w:szCs w:val="21"/>
              </w:rPr>
              <w:t>kg/h</w:t>
            </w:r>
          </w:p>
        </w:tc>
        <w:tc>
          <w:tcPr>
            <w:tcW w:w="3539" w:type="dxa"/>
            <w:vMerge/>
            <w:vAlign w:val="center"/>
          </w:tcPr>
          <w:p>
            <w:pPr>
              <w:snapToGrid w:val="0"/>
              <w:jc w:val="center"/>
              <w:rPr>
                <w:rFonts w:ascii="宋体" w:hAnsi="宋体" w:cs="仿宋_GB2312" w:hint="eastAsia"/>
                <w:color w:val="000000"/>
                <w:szCs w:val="21"/>
              </w:rPr>
            </w:pP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restart"/>
            <w:vAlign w:val="center"/>
          </w:tcPr>
          <w:p>
            <w:pPr>
              <w:snapToGrid w:val="0"/>
              <w:jc w:val="center"/>
              <w:rPr>
                <w:rFonts w:ascii="宋体" w:hAnsi="宋体"/>
                <w:szCs w:val="21"/>
              </w:rPr>
            </w:pPr>
            <w:r>
              <w:rPr>
                <w:rFonts w:ascii="宋体" w:hAnsi="宋体"/>
                <w:szCs w:val="21"/>
              </w:rPr>
              <w:t>噪声</w:t>
            </w:r>
          </w:p>
        </w:tc>
        <w:tc>
          <w:tcPr>
            <w:tcW w:w="1018" w:type="dxa"/>
            <w:vMerge w:val="restart"/>
            <w:vAlign w:val="center"/>
          </w:tcPr>
          <w:p>
            <w:pPr>
              <w:adjustRightInd w:val="0"/>
              <w:snapToGrid w:val="0"/>
              <w:jc w:val="center"/>
              <w:rPr>
                <w:color w:val="000000"/>
                <w:szCs w:val="21"/>
              </w:rPr>
            </w:pPr>
            <w:r>
              <w:rPr>
                <w:color w:val="000000"/>
                <w:szCs w:val="21"/>
              </w:rPr>
              <w:t>厂界噪声</w:t>
            </w:r>
          </w:p>
        </w:tc>
        <w:tc>
          <w:tcPr>
            <w:tcW w:w="1414" w:type="dxa"/>
            <w:vAlign w:val="center"/>
          </w:tcPr>
          <w:p>
            <w:pPr>
              <w:adjustRightInd w:val="0"/>
              <w:snapToGrid w:val="0"/>
              <w:jc w:val="center"/>
              <w:rPr>
                <w:color w:val="000000"/>
                <w:szCs w:val="21"/>
              </w:rPr>
            </w:pPr>
            <w:r>
              <w:rPr>
                <w:color w:val="000000"/>
                <w:szCs w:val="21"/>
              </w:rPr>
              <w:t>北侧</w:t>
            </w:r>
            <w:r>
              <w:rPr>
                <w:rFonts w:hint="eastAsia"/>
                <w:color w:val="000000"/>
                <w:szCs w:val="21"/>
              </w:rPr>
              <w:t>4类</w:t>
            </w:r>
          </w:p>
        </w:tc>
        <w:tc>
          <w:tcPr>
            <w:tcW w:w="926" w:type="dxa"/>
            <w:vAlign w:val="center"/>
          </w:tcPr>
          <w:p>
            <w:pPr>
              <w:adjustRightInd w:val="0"/>
              <w:snapToGrid w:val="0"/>
              <w:spacing w:line="240" w:lineRule="exact"/>
              <w:jc w:val="center"/>
              <w:rPr>
                <w:rFonts w:hint="eastAsia"/>
                <w:color w:val="000000"/>
                <w:szCs w:val="21"/>
              </w:rPr>
            </w:pPr>
            <w:r>
              <w:rPr>
                <w:rFonts w:hint="eastAsia"/>
                <w:color w:val="000000"/>
                <w:szCs w:val="21"/>
              </w:rPr>
              <w:t>70</w:t>
            </w:r>
            <w:r>
              <w:rPr>
                <w:rFonts w:ascii="宋体" w:hAnsi="宋体" w:hint="eastAsia"/>
                <w:color w:val="000000"/>
                <w:szCs w:val="21"/>
              </w:rPr>
              <w:t>(昼)</w:t>
            </w:r>
            <w:r>
              <w:rPr>
                <w:rFonts w:hint="eastAsia"/>
                <w:color w:val="000000"/>
                <w:szCs w:val="21"/>
              </w:rPr>
              <w:t xml:space="preserve"> 55</w:t>
            </w:r>
            <w:r>
              <w:rPr>
                <w:rFonts w:ascii="宋体" w:hAnsi="宋体" w:hint="eastAsia"/>
                <w:color w:val="000000"/>
                <w:szCs w:val="21"/>
              </w:rPr>
              <w:t>(夜)</w:t>
            </w:r>
          </w:p>
        </w:tc>
        <w:tc>
          <w:tcPr>
            <w:tcW w:w="967" w:type="dxa"/>
            <w:vAlign w:val="center"/>
          </w:tcPr>
          <w:p>
            <w:pPr>
              <w:adjustRightInd w:val="0"/>
              <w:snapToGrid w:val="0"/>
              <w:jc w:val="center"/>
              <w:rPr>
                <w:rFonts w:eastAsia="方正小标宋简体"/>
                <w:color w:val="000000"/>
                <w:szCs w:val="21"/>
              </w:rPr>
            </w:pPr>
            <w:r>
              <w:rPr>
                <w:rFonts w:eastAsia="方正小标宋简体"/>
                <w:color w:val="000000"/>
                <w:szCs w:val="21"/>
              </w:rPr>
              <w:t>dB</w:t>
            </w:r>
            <w:r>
              <w:rPr>
                <w:rFonts w:ascii="宋体" w:hAnsi="宋体" w:hint="eastAsia"/>
                <w:color w:val="000000"/>
                <w:szCs w:val="21"/>
              </w:rPr>
              <w:t>(</w:t>
            </w:r>
            <w:r>
              <w:rPr>
                <w:color w:val="000000"/>
                <w:szCs w:val="21"/>
              </w:rPr>
              <w:t>A</w:t>
            </w:r>
            <w:r>
              <w:rPr>
                <w:rFonts w:ascii="宋体" w:hAnsi="宋体" w:hint="eastAsia"/>
                <w:color w:val="000000"/>
                <w:szCs w:val="21"/>
              </w:rPr>
              <w:t>)</w:t>
            </w:r>
          </w:p>
        </w:tc>
        <w:tc>
          <w:tcPr>
            <w:tcW w:w="3539" w:type="dxa"/>
            <w:vMerge w:val="restart"/>
            <w:vAlign w:val="center"/>
          </w:tcPr>
          <w:p>
            <w:pPr>
              <w:adjustRightInd w:val="0"/>
              <w:snapToGrid w:val="0"/>
              <w:jc w:val="center"/>
              <w:rPr>
                <w:rFonts w:eastAsia="方正小标宋简体"/>
                <w:color w:val="000000"/>
                <w:szCs w:val="21"/>
              </w:rPr>
            </w:pPr>
            <w:r>
              <w:rPr>
                <w:rFonts w:hint="eastAsia"/>
                <w:szCs w:val="21"/>
              </w:rPr>
              <w:t>《工业企业厂界环境噪声排放标准》</w:t>
            </w:r>
            <w:r>
              <w:rPr>
                <w:rFonts w:ascii="宋体" w:hAnsi="宋体" w:hint="eastAsia"/>
                <w:szCs w:val="21"/>
              </w:rPr>
              <w:t>(</w:t>
            </w:r>
            <w:r>
              <w:rPr>
                <w:szCs w:val="21"/>
              </w:rPr>
              <w:t>GB12348-2008</w:t>
            </w:r>
            <w:r>
              <w:rPr>
                <w:rFonts w:ascii="宋体" w:hAnsi="宋体" w:hint="eastAsia"/>
                <w:szCs w:val="21"/>
              </w:rPr>
              <w:t>)</w:t>
            </w:r>
            <w:r>
              <w:rPr>
                <w:rFonts w:hint="eastAsia"/>
                <w:szCs w:val="21"/>
              </w:rPr>
              <w:t>2类、4类标准</w:t>
            </w: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ign w:val="center"/>
          </w:tcPr>
          <w:p>
            <w:pPr>
              <w:snapToGrid w:val="0"/>
              <w:jc w:val="center"/>
              <w:rPr>
                <w:rFonts w:ascii="宋体" w:hAnsi="宋体"/>
                <w:szCs w:val="21"/>
              </w:rPr>
            </w:pPr>
          </w:p>
        </w:tc>
        <w:tc>
          <w:tcPr>
            <w:tcW w:w="1018" w:type="dxa"/>
            <w:vMerge/>
            <w:vAlign w:val="center"/>
          </w:tcPr>
          <w:p>
            <w:pPr>
              <w:adjustRightInd w:val="0"/>
              <w:snapToGrid w:val="0"/>
              <w:jc w:val="center"/>
              <w:rPr>
                <w:color w:val="000000"/>
                <w:szCs w:val="21"/>
              </w:rPr>
            </w:pPr>
          </w:p>
        </w:tc>
        <w:tc>
          <w:tcPr>
            <w:tcW w:w="1414" w:type="dxa"/>
            <w:vAlign w:val="center"/>
          </w:tcPr>
          <w:p>
            <w:pPr>
              <w:adjustRightInd w:val="0"/>
              <w:snapToGrid w:val="0"/>
              <w:jc w:val="center"/>
              <w:rPr>
                <w:color w:val="000000"/>
                <w:szCs w:val="21"/>
              </w:rPr>
            </w:pPr>
            <w:r>
              <w:rPr>
                <w:color w:val="000000"/>
                <w:szCs w:val="21"/>
              </w:rPr>
              <w:t>其余侧</w:t>
            </w:r>
            <w:r>
              <w:rPr>
                <w:rFonts w:hint="eastAsia"/>
                <w:color w:val="000000"/>
                <w:szCs w:val="21"/>
              </w:rPr>
              <w:t>2类</w:t>
            </w:r>
          </w:p>
        </w:tc>
        <w:tc>
          <w:tcPr>
            <w:tcW w:w="926" w:type="dxa"/>
            <w:vAlign w:val="center"/>
          </w:tcPr>
          <w:p>
            <w:pPr>
              <w:adjustRightInd w:val="0"/>
              <w:snapToGrid w:val="0"/>
              <w:spacing w:line="240" w:lineRule="exact"/>
              <w:jc w:val="center"/>
              <w:rPr>
                <w:rFonts w:hint="eastAsia"/>
                <w:color w:val="000000"/>
                <w:szCs w:val="21"/>
              </w:rPr>
            </w:pPr>
            <w:r>
              <w:rPr>
                <w:color w:val="000000"/>
                <w:szCs w:val="21"/>
              </w:rPr>
              <w:t>6</w:t>
            </w:r>
            <w:r>
              <w:rPr>
                <w:rFonts w:hint="eastAsia"/>
                <w:color w:val="000000"/>
                <w:szCs w:val="21"/>
              </w:rPr>
              <w:t>0</w:t>
            </w:r>
            <w:r>
              <w:rPr>
                <w:rFonts w:ascii="宋体" w:hAnsi="宋体" w:hint="eastAsia"/>
                <w:color w:val="000000"/>
                <w:szCs w:val="21"/>
              </w:rPr>
              <w:t>(昼)</w:t>
            </w:r>
            <w:r>
              <w:rPr>
                <w:rFonts w:hint="eastAsia"/>
                <w:color w:val="000000"/>
                <w:szCs w:val="21"/>
              </w:rPr>
              <w:t xml:space="preserve"> 50</w:t>
            </w:r>
            <w:r>
              <w:rPr>
                <w:rFonts w:ascii="宋体" w:hAnsi="宋体" w:hint="eastAsia"/>
                <w:color w:val="000000"/>
                <w:szCs w:val="21"/>
              </w:rPr>
              <w:t>(夜)</w:t>
            </w:r>
          </w:p>
        </w:tc>
        <w:tc>
          <w:tcPr>
            <w:tcW w:w="967" w:type="dxa"/>
            <w:vAlign w:val="center"/>
          </w:tcPr>
          <w:p>
            <w:pPr>
              <w:adjustRightInd w:val="0"/>
              <w:snapToGrid w:val="0"/>
              <w:jc w:val="center"/>
              <w:rPr>
                <w:rFonts w:eastAsia="方正小标宋简体"/>
                <w:color w:val="000000"/>
                <w:szCs w:val="21"/>
              </w:rPr>
            </w:pPr>
            <w:r>
              <w:rPr>
                <w:rFonts w:eastAsia="方正小标宋简体"/>
                <w:color w:val="000000"/>
                <w:szCs w:val="21"/>
              </w:rPr>
              <w:t>dB</w:t>
            </w:r>
            <w:r>
              <w:rPr>
                <w:rFonts w:ascii="宋体" w:hAnsi="宋体" w:hint="eastAsia"/>
                <w:color w:val="000000"/>
                <w:szCs w:val="21"/>
              </w:rPr>
              <w:t>(</w:t>
            </w:r>
            <w:r>
              <w:rPr>
                <w:color w:val="000000"/>
                <w:szCs w:val="21"/>
              </w:rPr>
              <w:t>A</w:t>
            </w:r>
            <w:r>
              <w:rPr>
                <w:rFonts w:ascii="宋体" w:hAnsi="宋体" w:hint="eastAsia"/>
                <w:color w:val="000000"/>
                <w:szCs w:val="21"/>
              </w:rPr>
              <w:t>)</w:t>
            </w:r>
          </w:p>
        </w:tc>
        <w:tc>
          <w:tcPr>
            <w:tcW w:w="3539" w:type="dxa"/>
            <w:vMerge/>
            <w:vAlign w:val="center"/>
          </w:tcPr>
          <w:p>
            <w:pPr>
              <w:adjustRightInd w:val="0"/>
              <w:snapToGrid w:val="0"/>
              <w:jc w:val="center"/>
              <w:rPr>
                <w:rFonts w:eastAsia="方正小标宋简体"/>
                <w:color w:val="000000"/>
                <w:szCs w:val="21"/>
              </w:rPr>
            </w:pP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restart"/>
            <w:vAlign w:val="center"/>
          </w:tcPr>
          <w:p>
            <w:pPr>
              <w:snapToGrid w:val="0"/>
              <w:jc w:val="center"/>
              <w:rPr>
                <w:rFonts w:ascii="宋体" w:hAnsi="宋体"/>
                <w:szCs w:val="21"/>
              </w:rPr>
            </w:pPr>
            <w:r>
              <w:rPr>
                <w:rFonts w:ascii="宋体" w:hAnsi="宋体"/>
                <w:szCs w:val="21"/>
              </w:rPr>
              <w:t>废气</w:t>
            </w:r>
          </w:p>
        </w:tc>
        <w:tc>
          <w:tcPr>
            <w:tcW w:w="2432" w:type="dxa"/>
            <w:gridSpan w:val="2"/>
            <w:vAlign w:val="center"/>
          </w:tcPr>
          <w:p>
            <w:pPr>
              <w:adjustRightInd w:val="0"/>
              <w:snapToGrid w:val="0"/>
              <w:jc w:val="center"/>
              <w:rPr>
                <w:color w:val="000000"/>
                <w:szCs w:val="21"/>
              </w:rPr>
            </w:pPr>
            <w:r>
              <w:rPr>
                <w:color w:val="000000"/>
                <w:szCs w:val="21"/>
              </w:rPr>
              <w:t>烟尘</w:t>
            </w:r>
            <w:r>
              <w:rPr>
                <w:rFonts w:ascii="宋体" w:hAnsi="宋体" w:hint="eastAsia"/>
                <w:color w:val="000000"/>
                <w:szCs w:val="21"/>
              </w:rPr>
              <w:t>(颗粒物)</w:t>
            </w:r>
          </w:p>
        </w:tc>
        <w:tc>
          <w:tcPr>
            <w:tcW w:w="926" w:type="dxa"/>
            <w:vAlign w:val="center"/>
          </w:tcPr>
          <w:p>
            <w:pPr>
              <w:adjustRightInd w:val="0"/>
              <w:snapToGrid w:val="0"/>
              <w:spacing w:line="260" w:lineRule="exact"/>
              <w:jc w:val="center"/>
              <w:rPr>
                <w:rFonts w:hint="eastAsia"/>
                <w:color w:val="000000"/>
                <w:szCs w:val="21"/>
              </w:rPr>
            </w:pPr>
            <w:r>
              <w:rPr>
                <w:rFonts w:hint="eastAsia"/>
                <w:color w:val="000000"/>
                <w:szCs w:val="21"/>
              </w:rPr>
              <w:t>50</w:t>
            </w:r>
          </w:p>
        </w:tc>
        <w:tc>
          <w:tcPr>
            <w:tcW w:w="967" w:type="dxa"/>
            <w:vAlign w:val="center"/>
          </w:tcPr>
          <w:p>
            <w:pPr>
              <w:adjustRightInd w:val="0"/>
              <w:snapToGrid w:val="0"/>
              <w:jc w:val="center"/>
              <w:rPr>
                <w:rFonts w:eastAsia="方正小标宋简体"/>
                <w:color w:val="000000"/>
                <w:szCs w:val="21"/>
              </w:rPr>
            </w:pPr>
            <w:r>
              <w:rPr>
                <w:color w:val="000000"/>
                <w:szCs w:val="21"/>
              </w:rPr>
              <w:t>mg/L</w:t>
            </w:r>
          </w:p>
        </w:tc>
        <w:tc>
          <w:tcPr>
            <w:tcW w:w="3539" w:type="dxa"/>
            <w:vMerge w:val="restart"/>
            <w:vAlign w:val="center"/>
          </w:tcPr>
          <w:p>
            <w:pPr>
              <w:snapToGrid w:val="0"/>
              <w:jc w:val="center"/>
              <w:rPr>
                <w:rFonts w:hint="eastAsia"/>
                <w:szCs w:val="21"/>
              </w:rPr>
            </w:pPr>
            <w:r>
              <w:rPr>
                <w:rFonts w:ascii="宋体" w:hAnsi="宋体" w:cs="仿宋_GB2312" w:hint="eastAsia"/>
                <w:color w:val="000000"/>
                <w:szCs w:val="21"/>
              </w:rPr>
              <w:t>《锅炉大气污染物排放标准》(</w:t>
            </w:r>
            <w:r>
              <w:rPr>
                <w:color w:val="000000"/>
                <w:szCs w:val="21"/>
              </w:rPr>
              <w:t>GB</w:t>
            </w:r>
            <w:r>
              <w:rPr>
                <w:rFonts w:hint="eastAsia"/>
                <w:color w:val="000000"/>
                <w:szCs w:val="21"/>
              </w:rPr>
              <w:t>13271-2014</w:t>
            </w:r>
            <w:r>
              <w:rPr>
                <w:rFonts w:ascii="宋体" w:hAnsi="宋体" w:cs="仿宋_GB2312" w:hint="eastAsia"/>
                <w:color w:val="000000"/>
                <w:szCs w:val="21"/>
              </w:rPr>
              <w:t>)新建燃</w:t>
            </w:r>
            <w:r>
              <w:rPr>
                <w:rFonts w:ascii="宋体" w:hAnsi="宋体" w:cs="仿宋_GB2312" w:hint="eastAsia"/>
                <w:color w:val="000000"/>
                <w:szCs w:val="21"/>
                <w:lang w:val="en-US" w:eastAsia="zh-CN"/>
              </w:rPr>
              <w:t>气</w:t>
            </w:r>
            <w:r>
              <w:rPr>
                <w:rFonts w:ascii="宋体" w:hAnsi="宋体" w:cs="仿宋_GB2312" w:hint="eastAsia"/>
                <w:color w:val="000000"/>
                <w:szCs w:val="21"/>
              </w:rPr>
              <w:t>锅炉标准</w:t>
            </w: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ign w:val="center"/>
          </w:tcPr>
          <w:p>
            <w:pPr>
              <w:snapToGrid w:val="0"/>
              <w:jc w:val="center"/>
              <w:rPr>
                <w:rFonts w:ascii="宋体" w:hAnsi="宋体"/>
                <w:szCs w:val="21"/>
              </w:rPr>
            </w:pPr>
          </w:p>
        </w:tc>
        <w:tc>
          <w:tcPr>
            <w:tcW w:w="2432" w:type="dxa"/>
            <w:gridSpan w:val="2"/>
            <w:vAlign w:val="center"/>
          </w:tcPr>
          <w:p>
            <w:pPr>
              <w:adjustRightInd w:val="0"/>
              <w:snapToGrid w:val="0"/>
              <w:jc w:val="center"/>
              <w:rPr>
                <w:rFonts w:hint="eastAsia"/>
                <w:color w:val="000000"/>
                <w:szCs w:val="21"/>
              </w:rPr>
            </w:pPr>
            <w:r>
              <w:rPr>
                <w:rFonts w:hint="eastAsia"/>
                <w:color w:val="000000"/>
                <w:szCs w:val="21"/>
              </w:rPr>
              <w:t>二氧化硫</w:t>
            </w:r>
          </w:p>
        </w:tc>
        <w:tc>
          <w:tcPr>
            <w:tcW w:w="926" w:type="dxa"/>
            <w:vAlign w:val="center"/>
          </w:tcPr>
          <w:p>
            <w:pPr>
              <w:adjustRightInd w:val="0"/>
              <w:snapToGrid w:val="0"/>
              <w:spacing w:line="260" w:lineRule="exact"/>
              <w:jc w:val="center"/>
              <w:rPr>
                <w:rFonts w:hint="eastAsia"/>
                <w:color w:val="000000"/>
                <w:szCs w:val="21"/>
              </w:rPr>
            </w:pPr>
            <w:r>
              <w:rPr>
                <w:rFonts w:hint="eastAsia"/>
                <w:color w:val="000000"/>
                <w:szCs w:val="21"/>
              </w:rPr>
              <w:t>300</w:t>
            </w:r>
          </w:p>
        </w:tc>
        <w:tc>
          <w:tcPr>
            <w:tcW w:w="967" w:type="dxa"/>
            <w:vAlign w:val="center"/>
          </w:tcPr>
          <w:p>
            <w:pPr>
              <w:adjustRightInd w:val="0"/>
              <w:snapToGrid w:val="0"/>
              <w:jc w:val="center"/>
              <w:rPr>
                <w:rFonts w:ascii="宋体" w:hAnsi="宋体"/>
                <w:color w:val="000000"/>
                <w:szCs w:val="21"/>
              </w:rPr>
            </w:pPr>
            <w:r>
              <w:rPr>
                <w:color w:val="000000"/>
                <w:szCs w:val="21"/>
              </w:rPr>
              <w:t>mg/L</w:t>
            </w:r>
          </w:p>
        </w:tc>
        <w:tc>
          <w:tcPr>
            <w:tcW w:w="3539" w:type="dxa"/>
            <w:vMerge/>
            <w:vAlign w:val="center"/>
          </w:tcPr>
          <w:p>
            <w:pPr>
              <w:snapToGrid w:val="0"/>
              <w:jc w:val="center"/>
              <w:rPr>
                <w:rFonts w:hint="eastAsia"/>
                <w:szCs w:val="21"/>
              </w:rPr>
            </w:pP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ign w:val="center"/>
          </w:tcPr>
          <w:p>
            <w:pPr>
              <w:snapToGrid w:val="0"/>
              <w:jc w:val="center"/>
              <w:rPr>
                <w:rFonts w:ascii="宋体" w:hAnsi="宋体"/>
                <w:szCs w:val="21"/>
              </w:rPr>
            </w:pPr>
          </w:p>
        </w:tc>
        <w:tc>
          <w:tcPr>
            <w:tcW w:w="2432" w:type="dxa"/>
            <w:gridSpan w:val="2"/>
            <w:vAlign w:val="center"/>
          </w:tcPr>
          <w:p>
            <w:pPr>
              <w:adjustRightInd w:val="0"/>
              <w:snapToGrid w:val="0"/>
              <w:jc w:val="center"/>
              <w:rPr>
                <w:rFonts w:hint="eastAsia"/>
                <w:color w:val="000000"/>
                <w:szCs w:val="21"/>
              </w:rPr>
            </w:pPr>
            <w:r>
              <w:rPr>
                <w:rFonts w:hint="eastAsia"/>
                <w:color w:val="000000"/>
                <w:szCs w:val="21"/>
              </w:rPr>
              <w:t>氮氧化物</w:t>
            </w:r>
          </w:p>
        </w:tc>
        <w:tc>
          <w:tcPr>
            <w:tcW w:w="926" w:type="dxa"/>
            <w:vAlign w:val="center"/>
          </w:tcPr>
          <w:p>
            <w:pPr>
              <w:adjustRightInd w:val="0"/>
              <w:snapToGrid w:val="0"/>
              <w:spacing w:line="260" w:lineRule="exact"/>
              <w:jc w:val="center"/>
              <w:rPr>
                <w:rFonts w:hint="eastAsia"/>
                <w:color w:val="000000"/>
                <w:szCs w:val="21"/>
              </w:rPr>
            </w:pPr>
            <w:r>
              <w:rPr>
                <w:rFonts w:hint="eastAsia"/>
                <w:color w:val="000000"/>
                <w:szCs w:val="21"/>
              </w:rPr>
              <w:t>300</w:t>
            </w:r>
          </w:p>
        </w:tc>
        <w:tc>
          <w:tcPr>
            <w:tcW w:w="967" w:type="dxa"/>
            <w:vAlign w:val="center"/>
          </w:tcPr>
          <w:p>
            <w:pPr>
              <w:adjustRightInd w:val="0"/>
              <w:snapToGrid w:val="0"/>
              <w:jc w:val="center"/>
              <w:rPr>
                <w:rFonts w:ascii="宋体" w:hAnsi="宋体"/>
                <w:color w:val="000000"/>
                <w:sz w:val="18"/>
                <w:szCs w:val="21"/>
              </w:rPr>
            </w:pPr>
            <w:r>
              <w:rPr>
                <w:color w:val="000000"/>
                <w:szCs w:val="21"/>
              </w:rPr>
              <w:t>mg/L</w:t>
            </w:r>
          </w:p>
        </w:tc>
        <w:tc>
          <w:tcPr>
            <w:tcW w:w="3539" w:type="dxa"/>
            <w:vMerge/>
            <w:vAlign w:val="center"/>
          </w:tcPr>
          <w:p>
            <w:pPr>
              <w:snapToGrid w:val="0"/>
              <w:jc w:val="center"/>
              <w:rPr>
                <w:rFonts w:hint="eastAsia"/>
                <w:szCs w:val="21"/>
              </w:rPr>
            </w:pPr>
          </w:p>
        </w:tc>
      </w:tr>
      <w:tr>
        <w:tblPrEx>
          <w:tblW w:w="0" w:type="auto"/>
          <w:jc w:val="center"/>
          <w:tblLayout w:type="fixed"/>
          <w:tblCellMar>
            <w:top w:w="0" w:type="dxa"/>
            <w:left w:w="108" w:type="dxa"/>
            <w:bottom w:w="0" w:type="dxa"/>
            <w:right w:w="108" w:type="dxa"/>
          </w:tblCellMar>
          <w:tblLook w:val="0000"/>
        </w:tblPrEx>
        <w:trPr>
          <w:trHeight w:val="425"/>
          <w:jc w:val="center"/>
        </w:trPr>
        <w:tc>
          <w:tcPr>
            <w:tcW w:w="878" w:type="dxa"/>
            <w:vMerge/>
            <w:vAlign w:val="center"/>
          </w:tcPr>
          <w:p>
            <w:pPr>
              <w:snapToGrid w:val="0"/>
              <w:jc w:val="center"/>
              <w:rPr>
                <w:rFonts w:ascii="宋体" w:hAnsi="宋体"/>
                <w:szCs w:val="21"/>
              </w:rPr>
            </w:pPr>
          </w:p>
        </w:tc>
        <w:tc>
          <w:tcPr>
            <w:tcW w:w="2432" w:type="dxa"/>
            <w:gridSpan w:val="2"/>
            <w:vAlign w:val="center"/>
          </w:tcPr>
          <w:p>
            <w:pPr>
              <w:snapToGrid w:val="0"/>
              <w:jc w:val="center"/>
              <w:rPr>
                <w:rFonts w:ascii="宋体" w:hAnsi="宋体" w:hint="eastAsia"/>
                <w:color w:val="000000"/>
                <w:szCs w:val="21"/>
              </w:rPr>
            </w:pPr>
            <w:r>
              <w:rPr>
                <w:rFonts w:ascii="宋体" w:hAnsi="宋体" w:hint="eastAsia"/>
                <w:color w:val="000000"/>
                <w:szCs w:val="21"/>
              </w:rPr>
              <w:t>油烟</w:t>
            </w:r>
          </w:p>
        </w:tc>
        <w:tc>
          <w:tcPr>
            <w:tcW w:w="926" w:type="dxa"/>
            <w:vAlign w:val="center"/>
          </w:tcPr>
          <w:p>
            <w:pPr>
              <w:snapToGrid w:val="0"/>
              <w:jc w:val="center"/>
              <w:rPr>
                <w:rFonts w:hint="eastAsia"/>
                <w:color w:val="000000"/>
                <w:szCs w:val="21"/>
              </w:rPr>
            </w:pPr>
            <w:r>
              <w:rPr>
                <w:rFonts w:hint="eastAsia"/>
                <w:color w:val="000000"/>
                <w:szCs w:val="21"/>
              </w:rPr>
              <w:t>2.0</w:t>
            </w:r>
          </w:p>
        </w:tc>
        <w:tc>
          <w:tcPr>
            <w:tcW w:w="967" w:type="dxa"/>
            <w:vAlign w:val="center"/>
          </w:tcPr>
          <w:p>
            <w:pPr>
              <w:snapToGrid w:val="0"/>
              <w:jc w:val="center"/>
              <w:rPr>
                <w:color w:val="000000"/>
                <w:szCs w:val="21"/>
              </w:rPr>
            </w:pPr>
            <w:r>
              <w:rPr>
                <w:color w:val="000000"/>
                <w:szCs w:val="21"/>
              </w:rPr>
              <w:t>mg/</w:t>
            </w:r>
            <w:bookmarkStart w:id="42" w:name="OLE_LINK9"/>
            <w:r>
              <w:rPr>
                <w:rFonts w:hint="eastAsia"/>
                <w:color w:val="000000"/>
                <w:szCs w:val="21"/>
              </w:rPr>
              <w:t>m</w:t>
            </w:r>
            <w:r>
              <w:rPr>
                <w:rFonts w:hint="eastAsia"/>
                <w:color w:val="000000"/>
                <w:szCs w:val="21"/>
                <w:vertAlign w:val="superscript"/>
              </w:rPr>
              <w:t>3</w:t>
            </w:r>
            <w:bookmarkEnd w:id="42"/>
          </w:p>
        </w:tc>
        <w:tc>
          <w:tcPr>
            <w:tcW w:w="3539" w:type="dxa"/>
            <w:vAlign w:val="center"/>
          </w:tcPr>
          <w:p>
            <w:pPr>
              <w:snapToGrid w:val="0"/>
              <w:jc w:val="center"/>
              <w:rPr>
                <w:rFonts w:hint="eastAsia"/>
                <w:color w:val="000000"/>
                <w:szCs w:val="21"/>
              </w:rPr>
            </w:pPr>
            <w:r>
              <w:rPr>
                <w:rFonts w:hint="eastAsia"/>
                <w:color w:val="000000"/>
                <w:szCs w:val="21"/>
              </w:rPr>
              <w:t>《饮食业油烟排放标准</w:t>
            </w:r>
            <w:r>
              <w:rPr>
                <w:rFonts w:ascii="宋体" w:hAnsi="宋体" w:hint="eastAsia"/>
                <w:color w:val="000000"/>
                <w:szCs w:val="21"/>
              </w:rPr>
              <w:t>(试行)</w:t>
            </w:r>
            <w:r>
              <w:rPr>
                <w:rFonts w:hint="eastAsia"/>
                <w:color w:val="000000"/>
                <w:szCs w:val="21"/>
              </w:rPr>
              <w:t>》</w:t>
            </w:r>
            <w:r>
              <w:rPr>
                <w:rFonts w:ascii="宋体" w:hAnsi="宋体" w:hint="eastAsia"/>
                <w:color w:val="000000"/>
                <w:szCs w:val="21"/>
              </w:rPr>
              <w:t>(</w:t>
            </w:r>
            <w:r>
              <w:rPr>
                <w:color w:val="000000"/>
                <w:szCs w:val="21"/>
              </w:rPr>
              <w:t>GB</w:t>
            </w:r>
            <w:r>
              <w:rPr>
                <w:rFonts w:hint="eastAsia"/>
                <w:color w:val="000000"/>
                <w:szCs w:val="21"/>
              </w:rPr>
              <w:t>18483</w:t>
            </w:r>
            <w:r>
              <w:rPr>
                <w:color w:val="000000"/>
                <w:szCs w:val="21"/>
              </w:rPr>
              <w:t>-</w:t>
            </w:r>
            <w:r>
              <w:rPr>
                <w:rFonts w:hint="eastAsia"/>
                <w:color w:val="000000"/>
                <w:szCs w:val="21"/>
              </w:rPr>
              <w:t>2001</w:t>
            </w:r>
            <w:r>
              <w:rPr>
                <w:rFonts w:ascii="宋体" w:hAnsi="宋体" w:hint="eastAsia"/>
                <w:color w:val="000000"/>
                <w:szCs w:val="21"/>
              </w:rPr>
              <w:t>)小型规模标准</w:t>
            </w:r>
          </w:p>
        </w:tc>
      </w:tr>
    </w:tbl>
    <w:p>
      <w:pPr>
        <w:pStyle w:val="-3"/>
        <w:numPr>
          <w:ilvl w:val="0"/>
          <w:numId w:val="0"/>
        </w:numPr>
        <w:tabs>
          <w:tab w:val="left" w:pos="1035"/>
        </w:tabs>
        <w:snapToGrid/>
        <w:spacing w:before="240" w:beforeLines="100" w:after="0" w:afterLines="0" w:line="360" w:lineRule="auto"/>
        <w:ind w:firstLine="588" w:firstLineChars="196"/>
        <w:rPr>
          <w:sz w:val="30"/>
          <w:szCs w:val="30"/>
        </w:rPr>
      </w:pPr>
      <w:bookmarkStart w:id="43" w:name="_Toc435709042"/>
      <w:bookmarkStart w:id="44" w:name="_Toc381089486"/>
      <w:bookmarkStart w:id="45" w:name="_Toc457318257"/>
      <w:bookmarkStart w:id="46" w:name="_Toc453828921"/>
      <w:r>
        <w:rPr>
          <w:rFonts w:hint="eastAsia"/>
          <w:sz w:val="30"/>
          <w:szCs w:val="30"/>
        </w:rPr>
        <w:t>四</w:t>
      </w:r>
      <w:r>
        <w:rPr>
          <w:sz w:val="30"/>
          <w:szCs w:val="30"/>
        </w:rPr>
        <w:t>、</w:t>
      </w:r>
      <w:bookmarkEnd w:id="43"/>
      <w:bookmarkEnd w:id="44"/>
      <w:r>
        <w:rPr>
          <w:rFonts w:ascii="Times New Roman"/>
          <w:color w:val="000000"/>
          <w:sz w:val="30"/>
          <w:szCs w:val="30"/>
        </w:rPr>
        <w:t>环</w:t>
      </w:r>
      <w:r>
        <w:rPr>
          <w:rFonts w:ascii="Times New Roman" w:hint="eastAsia"/>
          <w:color w:val="000000"/>
          <w:sz w:val="30"/>
          <w:szCs w:val="30"/>
        </w:rPr>
        <w:t>评结论</w:t>
      </w:r>
      <w:r>
        <w:rPr>
          <w:rFonts w:ascii="Times New Roman"/>
          <w:color w:val="000000"/>
          <w:sz w:val="30"/>
          <w:szCs w:val="30"/>
        </w:rPr>
        <w:t>及批复</w:t>
      </w:r>
      <w:bookmarkEnd w:id="45"/>
      <w:bookmarkEnd w:id="46"/>
    </w:p>
    <w:p>
      <w:pPr>
        <w:tabs>
          <w:tab w:val="left" w:pos="750"/>
        </w:tabs>
        <w:spacing w:line="360" w:lineRule="auto"/>
        <w:ind w:firstLine="560" w:firstLineChars="200"/>
        <w:rPr>
          <w:b/>
          <w:sz w:val="28"/>
        </w:rPr>
      </w:pPr>
      <w:r>
        <w:rPr>
          <w:rFonts w:ascii="宋体" w:hAnsi="宋体" w:hint="eastAsia"/>
          <w:b/>
          <w:sz w:val="28"/>
        </w:rPr>
        <w:t>(</w:t>
      </w:r>
      <w:r>
        <w:rPr>
          <w:rFonts w:ascii="宋体" w:hAnsi="宋体"/>
          <w:b/>
          <w:sz w:val="28"/>
        </w:rPr>
        <w:t>一</w:t>
      </w:r>
      <w:r>
        <w:rPr>
          <w:rFonts w:ascii="宋体" w:hAnsi="宋体" w:hint="eastAsia"/>
          <w:b/>
          <w:sz w:val="28"/>
        </w:rPr>
        <w:t>)</w:t>
      </w:r>
      <w:r>
        <w:rPr>
          <w:b/>
          <w:sz w:val="28"/>
        </w:rPr>
        <w:t>环评主要结论和建议</w:t>
      </w:r>
    </w:p>
    <w:p>
      <w:pPr>
        <w:spacing w:line="360" w:lineRule="auto"/>
        <w:ind w:firstLine="560" w:firstLineChars="200"/>
        <w:rPr>
          <w:rFonts w:ascii="宋体" w:hAnsi="宋体" w:cs="宋体" w:hint="eastAsia"/>
          <w:bCs/>
          <w:sz w:val="28"/>
          <w:szCs w:val="28"/>
        </w:rPr>
      </w:pPr>
      <w:r>
        <w:rPr>
          <w:rFonts w:ascii="宋体" w:hAnsi="宋体" w:cs="宋体" w:hint="eastAsia"/>
          <w:bCs/>
          <w:sz w:val="28"/>
          <w:szCs w:val="28"/>
        </w:rPr>
        <w:t>1、环境影响评价结论</w:t>
      </w:r>
    </w:p>
    <w:p>
      <w:pPr>
        <w:spacing w:line="360" w:lineRule="auto"/>
        <w:ind w:firstLine="560" w:firstLineChars="200"/>
        <w:rPr>
          <w:rFonts w:ascii="宋体" w:hAnsi="宋体" w:cs="宋体" w:hint="eastAsia"/>
          <w:bCs/>
          <w:color w:val="000000"/>
          <w:sz w:val="28"/>
          <w:szCs w:val="28"/>
        </w:rPr>
      </w:pPr>
      <w:r>
        <w:rPr>
          <w:rFonts w:ascii="宋体" w:hAnsi="宋体" w:cs="宋体" w:hint="eastAsia"/>
          <w:sz w:val="28"/>
          <w:szCs w:val="28"/>
        </w:rPr>
        <w:t xml:space="preserve">(1)水环境影响  </w:t>
      </w:r>
      <w:r>
        <w:rPr>
          <w:rFonts w:hint="eastAsia"/>
          <w:sz w:val="28"/>
          <w:szCs w:val="28"/>
        </w:rPr>
        <w:t>由预测结果可知</w:t>
      </w:r>
      <w:r>
        <w:rPr>
          <w:rFonts w:hint="eastAsia"/>
          <w:spacing w:val="-40"/>
          <w:sz w:val="28"/>
          <w:szCs w:val="28"/>
        </w:rPr>
        <w:t>，</w:t>
      </w:r>
      <w:r>
        <w:rPr>
          <w:rFonts w:hint="eastAsia"/>
          <w:sz w:val="28"/>
          <w:szCs w:val="28"/>
        </w:rPr>
        <w:t>平水期和枯水期平均流量条件下</w:t>
      </w:r>
      <w:r>
        <w:rPr>
          <w:rFonts w:hint="eastAsia"/>
          <w:spacing w:val="-40"/>
          <w:sz w:val="28"/>
          <w:szCs w:val="28"/>
        </w:rPr>
        <w:t>，</w:t>
      </w:r>
      <w:r>
        <w:rPr>
          <w:rFonts w:hint="eastAsia"/>
          <w:sz w:val="28"/>
          <w:szCs w:val="28"/>
        </w:rPr>
        <w:t>污水达标排放时</w:t>
      </w:r>
      <w:r>
        <w:rPr>
          <w:rFonts w:hint="eastAsia"/>
          <w:spacing w:val="-40"/>
          <w:sz w:val="28"/>
          <w:szCs w:val="28"/>
        </w:rPr>
        <w:t>，</w:t>
      </w:r>
      <w:r>
        <w:rPr>
          <w:rFonts w:hint="eastAsia"/>
          <w:sz w:val="28"/>
          <w:szCs w:val="28"/>
        </w:rPr>
        <w:t>排放口混合断面</w:t>
      </w:r>
      <w:r>
        <w:rPr>
          <w:rFonts w:hint="eastAsia"/>
          <w:spacing w:val="-40"/>
          <w:sz w:val="28"/>
          <w:szCs w:val="28"/>
        </w:rPr>
        <w:t>、</w:t>
      </w:r>
      <w:r>
        <w:rPr>
          <w:rFonts w:hint="eastAsia"/>
          <w:sz w:val="28"/>
          <w:szCs w:val="28"/>
        </w:rPr>
        <w:t>下游方岩断面COD</w:t>
      </w:r>
      <w:r>
        <w:rPr>
          <w:rFonts w:hint="eastAsia"/>
          <w:spacing w:val="-40"/>
          <w:sz w:val="28"/>
          <w:szCs w:val="28"/>
        </w:rPr>
        <w:t>、</w:t>
      </w:r>
      <w:r>
        <w:rPr>
          <w:rFonts w:hint="eastAsia"/>
          <w:sz w:val="28"/>
          <w:szCs w:val="28"/>
        </w:rPr>
        <w:t>氨氮贡献值均低于《地表水环境质量标准</w:t>
      </w:r>
      <w:r>
        <w:rPr>
          <w:rFonts w:hint="eastAsia"/>
          <w:spacing w:val="-40"/>
          <w:sz w:val="28"/>
          <w:szCs w:val="28"/>
        </w:rPr>
        <w:t>》</w:t>
      </w:r>
      <w:r>
        <w:rPr>
          <w:rFonts w:ascii="宋体" w:hAnsi="宋体" w:hint="eastAsia"/>
          <w:sz w:val="28"/>
          <w:szCs w:val="28"/>
        </w:rPr>
        <w:t>(</w:t>
      </w:r>
      <w:r>
        <w:rPr>
          <w:rFonts w:hint="eastAsia"/>
          <w:sz w:val="28"/>
          <w:szCs w:val="28"/>
        </w:rPr>
        <w:t>GB3838-2002</w:t>
      </w:r>
      <w:r>
        <w:rPr>
          <w:rFonts w:ascii="宋体" w:hAnsi="宋体" w:hint="eastAsia"/>
          <w:sz w:val="28"/>
          <w:szCs w:val="28"/>
        </w:rPr>
        <w:t>)</w:t>
      </w:r>
      <w:r>
        <w:rPr>
          <w:rFonts w:hint="eastAsia"/>
          <w:sz w:val="28"/>
          <w:szCs w:val="28"/>
        </w:rPr>
        <w:t>中的III类水质标准</w:t>
      </w:r>
      <w:r>
        <w:rPr>
          <w:rFonts w:hint="eastAsia"/>
          <w:spacing w:val="-40"/>
          <w:sz w:val="28"/>
          <w:szCs w:val="28"/>
        </w:rPr>
        <w:t>。</w:t>
      </w:r>
      <w:r>
        <w:rPr>
          <w:rFonts w:hint="eastAsia"/>
          <w:sz w:val="28"/>
          <w:szCs w:val="28"/>
        </w:rPr>
        <w:t>项目属于平阳县昆鳌污水处理厂服务范围</w:t>
      </w:r>
      <w:r>
        <w:rPr>
          <w:rFonts w:hint="eastAsia"/>
          <w:spacing w:val="-40"/>
          <w:sz w:val="28"/>
          <w:szCs w:val="28"/>
        </w:rPr>
        <w:t>，</w:t>
      </w:r>
      <w:r>
        <w:rPr>
          <w:rFonts w:hAnsi="宋体" w:hint="eastAsia"/>
          <w:spacing w:val="2"/>
          <w:kern w:val="0"/>
          <w:sz w:val="28"/>
          <w:szCs w:val="28"/>
        </w:rPr>
        <w:t>2014年3月共处理污水115.5594万吨</w:t>
      </w:r>
      <w:r>
        <w:rPr>
          <w:rFonts w:hint="eastAsia"/>
          <w:spacing w:val="-40"/>
          <w:sz w:val="28"/>
          <w:szCs w:val="28"/>
        </w:rPr>
        <w:t>，</w:t>
      </w:r>
      <w:r>
        <w:rPr>
          <w:rFonts w:hAnsi="宋体" w:hint="eastAsia"/>
          <w:spacing w:val="2"/>
          <w:kern w:val="0"/>
          <w:sz w:val="28"/>
          <w:szCs w:val="28"/>
        </w:rPr>
        <w:t>运行负荷率约为61.7%</w:t>
      </w:r>
      <w:r>
        <w:rPr>
          <w:rFonts w:hint="eastAsia"/>
          <w:spacing w:val="-40"/>
          <w:sz w:val="28"/>
          <w:szCs w:val="28"/>
        </w:rPr>
        <w:t>，</w:t>
      </w:r>
      <w:r>
        <w:rPr>
          <w:rFonts w:hAnsi="宋体" w:hint="eastAsia"/>
          <w:spacing w:val="2"/>
          <w:kern w:val="0"/>
          <w:sz w:val="28"/>
          <w:szCs w:val="28"/>
        </w:rPr>
        <w:t>进水污染物平均浓度</w:t>
      </w:r>
      <w:r>
        <w:rPr>
          <w:rFonts w:hint="eastAsia"/>
          <w:spacing w:val="-40"/>
          <w:sz w:val="28"/>
          <w:szCs w:val="28"/>
        </w:rPr>
        <w:t>：</w:t>
      </w:r>
      <w:r>
        <w:rPr>
          <w:rFonts w:hAnsi="宋体" w:hint="eastAsia"/>
          <w:spacing w:val="2"/>
          <w:kern w:val="0"/>
          <w:sz w:val="28"/>
          <w:szCs w:val="28"/>
        </w:rPr>
        <w:t>COD为179.23 mg/L</w:t>
      </w:r>
      <w:r>
        <w:rPr>
          <w:rFonts w:hint="eastAsia"/>
          <w:spacing w:val="-40"/>
          <w:sz w:val="28"/>
          <w:szCs w:val="28"/>
        </w:rPr>
        <w:t>，</w:t>
      </w:r>
      <w:r>
        <w:rPr>
          <w:rFonts w:hAnsi="宋体" w:hint="eastAsia"/>
          <w:spacing w:val="2"/>
          <w:kern w:val="0"/>
          <w:sz w:val="28"/>
          <w:szCs w:val="28"/>
        </w:rPr>
        <w:t>氨氮为18.03 mg/L，</w:t>
      </w:r>
      <w:r>
        <w:rPr>
          <w:rFonts w:hint="eastAsia"/>
          <w:sz w:val="28"/>
          <w:szCs w:val="28"/>
        </w:rPr>
        <w:t>因此建议政府部门抓紧实施鳌江钱仓片区截污纳管，减轻鳌江的污染负荷</w:t>
      </w:r>
      <w:r>
        <w:rPr>
          <w:spacing w:val="-40"/>
          <w:sz w:val="28"/>
          <w:szCs w:val="28"/>
        </w:rPr>
        <w:t>。</w:t>
      </w:r>
      <w:r>
        <w:rPr>
          <w:rFonts w:hint="eastAsia"/>
          <w:sz w:val="28"/>
          <w:szCs w:val="28"/>
        </w:rPr>
        <w:t>根据鳌江镇出具的纳管情况说明</w:t>
      </w:r>
      <w:r>
        <w:rPr>
          <w:rFonts w:hint="eastAsia"/>
          <w:spacing w:val="-40"/>
          <w:sz w:val="28"/>
          <w:szCs w:val="28"/>
        </w:rPr>
        <w:t>，</w:t>
      </w:r>
      <w:r>
        <w:rPr>
          <w:rFonts w:hint="eastAsia"/>
          <w:sz w:val="28"/>
          <w:szCs w:val="28"/>
        </w:rPr>
        <w:t>2017年底前通过鳌江底顶管至对岸萧江镇</w:t>
      </w:r>
      <w:r>
        <w:rPr>
          <w:rFonts w:hint="eastAsia"/>
          <w:spacing w:val="-40"/>
          <w:sz w:val="28"/>
          <w:szCs w:val="28"/>
        </w:rPr>
        <w:t>，</w:t>
      </w:r>
      <w:r>
        <w:rPr>
          <w:rFonts w:hint="eastAsia"/>
          <w:sz w:val="28"/>
          <w:szCs w:val="28"/>
        </w:rPr>
        <w:t>纳入萧江污水处理厂处理达《城镇污水处理厂污染物排放标准》</w:t>
      </w:r>
      <w:r>
        <w:rPr>
          <w:rFonts w:ascii="宋体" w:hAnsi="宋体" w:hint="eastAsia"/>
          <w:sz w:val="28"/>
          <w:szCs w:val="28"/>
        </w:rPr>
        <w:t>(</w:t>
      </w:r>
      <w:r>
        <w:rPr>
          <w:rFonts w:hint="eastAsia"/>
          <w:sz w:val="28"/>
          <w:szCs w:val="28"/>
        </w:rPr>
        <w:t>GB18918-2002</w:t>
      </w:r>
      <w:r>
        <w:rPr>
          <w:rFonts w:ascii="宋体" w:hAnsi="宋体" w:hint="eastAsia"/>
          <w:sz w:val="28"/>
          <w:szCs w:val="28"/>
        </w:rPr>
        <w:t>)</w:t>
      </w:r>
      <w:r>
        <w:rPr>
          <w:rFonts w:hint="eastAsia"/>
          <w:sz w:val="28"/>
          <w:szCs w:val="28"/>
        </w:rPr>
        <w:t>一级B标准后排放</w:t>
      </w:r>
      <w:r>
        <w:rPr>
          <w:rFonts w:hint="eastAsia"/>
          <w:spacing w:val="-40"/>
          <w:sz w:val="28"/>
          <w:szCs w:val="28"/>
        </w:rPr>
        <w:t>。</w:t>
      </w:r>
    </w:p>
    <w:p>
      <w:pPr>
        <w:spacing w:line="360" w:lineRule="auto"/>
        <w:ind w:firstLine="560"/>
        <w:rPr>
          <w:rFonts w:ascii="宋体" w:hAnsi="宋体" w:cs="宋体" w:hint="eastAsia"/>
          <w:bCs/>
          <w:sz w:val="28"/>
          <w:szCs w:val="28"/>
        </w:rPr>
        <w:sectPr>
          <w:headerReference w:type="even" r:id="rId23"/>
          <w:headerReference w:type="default" r:id="rId24"/>
          <w:footerReference w:type="even" r:id="rId25"/>
          <w:footerReference w:type="default" r:id="rId26"/>
          <w:type w:val="nextPage"/>
          <w:pgSz w:w="11907" w:h="16840"/>
          <w:pgMar w:top="1418" w:right="1418" w:bottom="1021" w:left="1418" w:header="851" w:footer="851" w:gutter="284"/>
          <w:pgNumType w:start="4"/>
          <w:cols w:space="708"/>
          <w:titlePg w:val="0"/>
          <w:docGrid w:linePitch="289"/>
        </w:sectPr>
      </w:pPr>
      <w:r>
        <w:rPr>
          <w:rFonts w:ascii="宋体" w:hAnsi="宋体" w:cs="宋体" w:hint="eastAsia"/>
          <w:bCs/>
          <w:sz w:val="28"/>
          <w:szCs w:val="28"/>
        </w:rPr>
        <w:t xml:space="preserve">(2)大气环境影响  </w:t>
      </w:r>
      <w:r>
        <w:rPr>
          <w:rFonts w:hint="eastAsia"/>
          <w:sz w:val="28"/>
          <w:szCs w:val="28"/>
        </w:rPr>
        <w:t>根据预测结果</w:t>
      </w:r>
      <w:r>
        <w:rPr>
          <w:rFonts w:hint="eastAsia"/>
          <w:spacing w:val="-40"/>
          <w:sz w:val="28"/>
          <w:szCs w:val="28"/>
        </w:rPr>
        <w:t>，</w:t>
      </w:r>
      <w:r>
        <w:rPr>
          <w:rFonts w:hint="eastAsia"/>
          <w:sz w:val="28"/>
          <w:szCs w:val="28"/>
        </w:rPr>
        <w:t>各敏感点恶臭污染物NH</w:t>
      </w:r>
      <w:r>
        <w:rPr>
          <w:rFonts w:hint="eastAsia"/>
          <w:sz w:val="28"/>
          <w:szCs w:val="28"/>
          <w:vertAlign w:val="subscript"/>
        </w:rPr>
        <w:t>3</w:t>
      </w:r>
      <w:r>
        <w:rPr>
          <w:rFonts w:hint="eastAsia"/>
          <w:spacing w:val="-40"/>
          <w:sz w:val="28"/>
          <w:szCs w:val="28"/>
        </w:rPr>
        <w:t>、</w:t>
      </w:r>
      <w:r>
        <w:rPr>
          <w:rFonts w:hint="eastAsia"/>
          <w:sz w:val="28"/>
          <w:szCs w:val="28"/>
        </w:rPr>
        <w:t>H</w:t>
      </w:r>
      <w:r>
        <w:rPr>
          <w:rFonts w:hint="eastAsia"/>
          <w:sz w:val="28"/>
          <w:szCs w:val="28"/>
          <w:vertAlign w:val="subscript"/>
        </w:rPr>
        <w:t>2</w:t>
      </w:r>
      <w:r>
        <w:rPr>
          <w:rFonts w:hint="eastAsia"/>
          <w:sz w:val="28"/>
          <w:szCs w:val="28"/>
        </w:rPr>
        <w:t>S符</w:t>
      </w:r>
      <w:r>
        <w:rPr>
          <w:rFonts w:hAnsi="宋体" w:hint="eastAsia"/>
          <w:sz w:val="28"/>
          <w:szCs w:val="28"/>
        </w:rPr>
        <w:t>合《</w:t>
      </w:r>
      <w:r>
        <w:rPr>
          <w:rFonts w:hAnsi="宋体"/>
          <w:sz w:val="28"/>
          <w:szCs w:val="28"/>
        </w:rPr>
        <w:t>工业企业设计卫生标准》</w:t>
      </w:r>
      <w:r>
        <w:rPr>
          <w:rFonts w:hAnsi="宋体" w:hint="eastAsia"/>
          <w:sz w:val="28"/>
          <w:szCs w:val="28"/>
        </w:rPr>
        <w:t>(</w:t>
      </w:r>
      <w:r>
        <w:rPr>
          <w:rFonts w:hAnsi="宋体"/>
          <w:sz w:val="28"/>
          <w:szCs w:val="28"/>
        </w:rPr>
        <w:t>TJ36-79</w:t>
      </w:r>
      <w:r>
        <w:rPr>
          <w:rFonts w:hAnsi="宋体" w:hint="eastAsia"/>
          <w:sz w:val="28"/>
          <w:szCs w:val="28"/>
        </w:rPr>
        <w:t>)</w:t>
      </w:r>
      <w:r>
        <w:rPr>
          <w:rFonts w:hAnsi="宋体"/>
          <w:sz w:val="28"/>
          <w:szCs w:val="28"/>
        </w:rPr>
        <w:t>中居住区大气中有害物质的最高容许浓度</w:t>
      </w:r>
      <w:r>
        <w:rPr>
          <w:rFonts w:hAnsi="宋体" w:hint="eastAsia"/>
          <w:sz w:val="28"/>
          <w:szCs w:val="28"/>
        </w:rPr>
        <w:t>要求，对项目周边现状及规划敏感点的环境影响可以接受。</w:t>
      </w:r>
    </w:p>
    <w:p>
      <w:pPr>
        <w:spacing w:line="360" w:lineRule="auto"/>
        <w:ind w:firstLine="560"/>
        <w:rPr>
          <w:rFonts w:ascii="宋体" w:hAnsi="宋体" w:cs="宋体" w:hint="eastAsia"/>
          <w:bCs/>
          <w:sz w:val="28"/>
          <w:szCs w:val="28"/>
        </w:rPr>
      </w:pPr>
      <w:r>
        <w:rPr>
          <w:rFonts w:hAnsi="宋体"/>
          <w:sz w:val="28"/>
          <w:szCs w:val="28"/>
        </w:rPr>
        <w:t>根据环评计算，无组织废气排放后厂界外均没有超标点，无需设置大气环境防护区域。卫生、安全等防护距离应按国家相关规定和有关主管部门要求执行，环评建议污水处理站边界外100m、</w:t>
      </w:r>
      <w:r>
        <w:rPr>
          <w:rFonts w:hAnsi="宋体" w:hint="eastAsia"/>
          <w:sz w:val="28"/>
          <w:szCs w:val="28"/>
        </w:rPr>
        <w:t>生产</w:t>
      </w:r>
      <w:r>
        <w:rPr>
          <w:rFonts w:hAnsi="宋体"/>
          <w:sz w:val="28"/>
          <w:szCs w:val="28"/>
        </w:rPr>
        <w:t>车间边界外</w:t>
      </w:r>
      <w:r>
        <w:rPr>
          <w:rFonts w:hAnsi="宋体" w:hint="eastAsia"/>
          <w:sz w:val="28"/>
          <w:szCs w:val="28"/>
        </w:rPr>
        <w:t>10</w:t>
      </w:r>
      <w:r>
        <w:rPr>
          <w:rFonts w:hAnsi="宋体"/>
          <w:sz w:val="28"/>
          <w:szCs w:val="28"/>
        </w:rPr>
        <w:t>0m连接形成的包络线作为卫生防护距离。</w:t>
      </w:r>
      <w:r>
        <w:rPr>
          <w:rFonts w:hAnsi="宋体" w:hint="eastAsia"/>
          <w:sz w:val="28"/>
          <w:szCs w:val="28"/>
        </w:rPr>
        <w:t>结合厂区布局以及周围敏感点分布情况，落实东江村（29户）拆迁后，该项目符合防护距离要求。</w:t>
      </w:r>
    </w:p>
    <w:p>
      <w:pPr>
        <w:spacing w:line="360" w:lineRule="auto"/>
        <w:rPr>
          <w:rFonts w:ascii="宋体" w:hAnsi="宋体" w:cs="宋体" w:hint="eastAsia"/>
          <w:bCs/>
          <w:color w:val="000000"/>
          <w:sz w:val="28"/>
          <w:szCs w:val="28"/>
        </w:rPr>
      </w:pPr>
      <w:r>
        <w:rPr>
          <w:rFonts w:ascii="宋体" w:hAnsi="宋体" w:cs="宋体" w:hint="eastAsia"/>
          <w:bCs/>
          <w:sz w:val="28"/>
          <w:szCs w:val="28"/>
        </w:rPr>
        <w:t xml:space="preserve">    (3)声环境影响  </w:t>
      </w:r>
      <w:r>
        <w:rPr>
          <w:rFonts w:hint="eastAsia"/>
          <w:color w:val="000000"/>
          <w:sz w:val="28"/>
          <w:szCs w:val="28"/>
        </w:rPr>
        <w:t>根据平面布置图可知</w:t>
      </w:r>
      <w:r>
        <w:rPr>
          <w:rFonts w:hint="eastAsia"/>
          <w:spacing w:val="-40"/>
          <w:sz w:val="28"/>
          <w:szCs w:val="28"/>
        </w:rPr>
        <w:t>，</w:t>
      </w:r>
      <w:r>
        <w:rPr>
          <w:rFonts w:hint="eastAsia"/>
          <w:color w:val="000000"/>
          <w:sz w:val="28"/>
          <w:szCs w:val="28"/>
        </w:rPr>
        <w:t>主要噪声设备设在车间内</w:t>
      </w:r>
      <w:r>
        <w:rPr>
          <w:rFonts w:hint="eastAsia"/>
          <w:spacing w:val="-40"/>
          <w:sz w:val="28"/>
          <w:szCs w:val="28"/>
        </w:rPr>
        <w:t>，</w:t>
      </w:r>
      <w:r>
        <w:rPr>
          <w:color w:val="000000"/>
          <w:sz w:val="28"/>
          <w:szCs w:val="28"/>
        </w:rPr>
        <w:t>平均可衰减20~30dB</w:t>
      </w:r>
      <w:r>
        <w:rPr>
          <w:rFonts w:hint="eastAsia"/>
          <w:spacing w:val="-40"/>
          <w:sz w:val="28"/>
          <w:szCs w:val="28"/>
        </w:rPr>
        <w:t>，</w:t>
      </w:r>
      <w:r>
        <w:rPr>
          <w:rFonts w:hint="eastAsia"/>
          <w:color w:val="000000"/>
          <w:sz w:val="28"/>
          <w:szCs w:val="28"/>
        </w:rPr>
        <w:t>保守估计按照18dB进行估算</w:t>
      </w:r>
      <w:r>
        <w:rPr>
          <w:rFonts w:hint="eastAsia"/>
          <w:spacing w:val="-40"/>
          <w:sz w:val="28"/>
          <w:szCs w:val="28"/>
        </w:rPr>
        <w:t>。</w:t>
      </w:r>
      <w:r>
        <w:rPr>
          <w:color w:val="000000"/>
          <w:sz w:val="28"/>
          <w:szCs w:val="28"/>
        </w:rPr>
        <w:t>通过噪声预测</w:t>
      </w:r>
      <w:r>
        <w:rPr>
          <w:spacing w:val="-40"/>
          <w:sz w:val="28"/>
          <w:szCs w:val="28"/>
        </w:rPr>
        <w:t>，</w:t>
      </w:r>
      <w:r>
        <w:rPr>
          <w:rFonts w:hint="eastAsia"/>
          <w:color w:val="000000"/>
          <w:sz w:val="28"/>
          <w:szCs w:val="28"/>
        </w:rPr>
        <w:t>四周厂界贡献值昼</w:t>
      </w:r>
      <w:r>
        <w:rPr>
          <w:rFonts w:hint="eastAsia"/>
          <w:spacing w:val="-40"/>
          <w:sz w:val="28"/>
          <w:szCs w:val="28"/>
        </w:rPr>
        <w:t>、</w:t>
      </w:r>
      <w:r>
        <w:rPr>
          <w:rFonts w:hint="eastAsia"/>
          <w:color w:val="000000"/>
          <w:sz w:val="28"/>
          <w:szCs w:val="28"/>
        </w:rPr>
        <w:t>夜间均</w:t>
      </w:r>
      <w:r>
        <w:rPr>
          <w:color w:val="000000"/>
          <w:sz w:val="28"/>
          <w:szCs w:val="28"/>
        </w:rPr>
        <w:t>能达到</w:t>
      </w:r>
      <w:r>
        <w:rPr>
          <w:rFonts w:hint="eastAsia"/>
          <w:color w:val="000000"/>
          <w:sz w:val="28"/>
          <w:szCs w:val="28"/>
        </w:rPr>
        <w:t>相应声环境</w:t>
      </w:r>
      <w:r>
        <w:rPr>
          <w:color w:val="000000"/>
          <w:sz w:val="28"/>
          <w:szCs w:val="28"/>
        </w:rPr>
        <w:t>功能区</w:t>
      </w:r>
      <w:r>
        <w:rPr>
          <w:rFonts w:hint="eastAsia"/>
          <w:color w:val="000000"/>
          <w:sz w:val="28"/>
          <w:szCs w:val="28"/>
        </w:rPr>
        <w:t>噪声</w:t>
      </w:r>
      <w:r>
        <w:rPr>
          <w:color w:val="000000"/>
          <w:sz w:val="28"/>
          <w:szCs w:val="28"/>
        </w:rPr>
        <w:t>标准</w:t>
      </w:r>
      <w:r>
        <w:rPr>
          <w:rFonts w:hint="eastAsia"/>
          <w:color w:val="000000"/>
          <w:sz w:val="28"/>
          <w:szCs w:val="28"/>
        </w:rPr>
        <w:t>要求</w:t>
      </w:r>
      <w:r>
        <w:rPr>
          <w:rFonts w:hint="eastAsia"/>
          <w:spacing w:val="-40"/>
          <w:sz w:val="28"/>
          <w:szCs w:val="28"/>
        </w:rPr>
        <w:t>。</w:t>
      </w:r>
      <w:r>
        <w:rPr>
          <w:rFonts w:hint="eastAsia"/>
          <w:color w:val="000000"/>
          <w:sz w:val="28"/>
          <w:szCs w:val="28"/>
        </w:rPr>
        <w:t>为了进一步提高周边声环境质量</w:t>
      </w:r>
      <w:r>
        <w:rPr>
          <w:rFonts w:hint="eastAsia"/>
          <w:spacing w:val="-40"/>
          <w:sz w:val="28"/>
          <w:szCs w:val="28"/>
        </w:rPr>
        <w:t>，</w:t>
      </w:r>
      <w:r>
        <w:rPr>
          <w:rFonts w:hint="eastAsia"/>
          <w:color w:val="000000"/>
          <w:sz w:val="28"/>
          <w:szCs w:val="28"/>
        </w:rPr>
        <w:t>企业通过加强高噪声设备的隔声减震</w:t>
      </w:r>
      <w:r>
        <w:rPr>
          <w:rFonts w:hint="eastAsia"/>
          <w:spacing w:val="-40"/>
          <w:sz w:val="28"/>
          <w:szCs w:val="28"/>
        </w:rPr>
        <w:t>，</w:t>
      </w:r>
      <w:r>
        <w:rPr>
          <w:rFonts w:hint="eastAsia"/>
          <w:color w:val="000000"/>
          <w:sz w:val="28"/>
          <w:szCs w:val="28"/>
        </w:rPr>
        <w:t>可进一步削减5~10dB</w:t>
      </w:r>
      <w:r>
        <w:rPr>
          <w:rFonts w:hint="eastAsia"/>
          <w:spacing w:val="-40"/>
          <w:sz w:val="28"/>
          <w:szCs w:val="28"/>
        </w:rPr>
        <w:t>，</w:t>
      </w:r>
      <w:r>
        <w:rPr>
          <w:rFonts w:hint="eastAsia"/>
          <w:color w:val="000000"/>
          <w:sz w:val="28"/>
          <w:szCs w:val="28"/>
        </w:rPr>
        <w:t>确保厂界达标排放</w:t>
      </w:r>
      <w:r>
        <w:rPr>
          <w:rFonts w:hint="eastAsia"/>
          <w:spacing w:val="-40"/>
          <w:sz w:val="28"/>
          <w:szCs w:val="28"/>
        </w:rPr>
        <w:t>。</w:t>
      </w:r>
    </w:p>
    <w:p>
      <w:pPr>
        <w:spacing w:line="360" w:lineRule="auto"/>
        <w:ind w:firstLine="560" w:firstLineChars="200"/>
        <w:rPr>
          <w:rFonts w:hint="eastAsia"/>
          <w:color w:val="000000"/>
          <w:sz w:val="28"/>
          <w:szCs w:val="28"/>
        </w:rPr>
      </w:pPr>
      <w:r>
        <w:rPr>
          <w:rFonts w:ascii="宋体" w:hAnsi="宋体" w:cs="宋体" w:hint="eastAsia"/>
          <w:bCs/>
          <w:sz w:val="28"/>
          <w:szCs w:val="28"/>
        </w:rPr>
        <w:t xml:space="preserve">(4)固废影响  </w:t>
      </w:r>
      <w:r>
        <w:rPr>
          <w:rFonts w:hint="eastAsia"/>
          <w:color w:val="000000"/>
          <w:sz w:val="28"/>
          <w:szCs w:val="28"/>
        </w:rPr>
        <w:t>各类固废均能全部妥善处理</w:t>
      </w:r>
      <w:r>
        <w:rPr>
          <w:rFonts w:hint="eastAsia"/>
          <w:spacing w:val="-40"/>
          <w:sz w:val="28"/>
          <w:szCs w:val="28"/>
        </w:rPr>
        <w:t>。</w:t>
      </w:r>
      <w:r>
        <w:rPr>
          <w:rFonts w:hint="eastAsia"/>
          <w:color w:val="000000"/>
          <w:sz w:val="28"/>
          <w:szCs w:val="28"/>
        </w:rPr>
        <w:t>固废暂存场所应采取防尘</w:t>
      </w:r>
      <w:r>
        <w:rPr>
          <w:rFonts w:hint="eastAsia"/>
          <w:spacing w:val="-40"/>
          <w:sz w:val="28"/>
          <w:szCs w:val="28"/>
        </w:rPr>
        <w:t>、</w:t>
      </w:r>
      <w:r>
        <w:rPr>
          <w:rFonts w:hint="eastAsia"/>
          <w:color w:val="000000"/>
          <w:sz w:val="28"/>
          <w:szCs w:val="28"/>
        </w:rPr>
        <w:t>防雨</w:t>
      </w:r>
      <w:r>
        <w:rPr>
          <w:rFonts w:hint="eastAsia"/>
          <w:spacing w:val="-40"/>
          <w:sz w:val="28"/>
          <w:szCs w:val="28"/>
        </w:rPr>
        <w:t>、</w:t>
      </w:r>
      <w:r>
        <w:rPr>
          <w:rFonts w:hint="eastAsia"/>
          <w:color w:val="000000"/>
          <w:sz w:val="28"/>
          <w:szCs w:val="28"/>
        </w:rPr>
        <w:t>防渗措施</w:t>
      </w:r>
      <w:r>
        <w:rPr>
          <w:rFonts w:hint="eastAsia"/>
          <w:spacing w:val="-40"/>
          <w:sz w:val="28"/>
          <w:szCs w:val="28"/>
        </w:rPr>
        <w:t>，</w:t>
      </w:r>
      <w:r>
        <w:rPr>
          <w:rFonts w:hint="eastAsia"/>
          <w:color w:val="000000"/>
          <w:sz w:val="28"/>
          <w:szCs w:val="28"/>
        </w:rPr>
        <w:t>并远离水体</w:t>
      </w:r>
      <w:r>
        <w:rPr>
          <w:rFonts w:hint="eastAsia"/>
          <w:spacing w:val="-40"/>
          <w:sz w:val="28"/>
          <w:szCs w:val="28"/>
        </w:rPr>
        <w:t>。</w:t>
      </w:r>
      <w:r>
        <w:rPr>
          <w:rFonts w:hint="eastAsia"/>
          <w:color w:val="000000"/>
          <w:sz w:val="28"/>
          <w:szCs w:val="28"/>
        </w:rPr>
        <w:t>建设单位只要认真做好各类固体废物的收集</w:t>
      </w:r>
      <w:r>
        <w:rPr>
          <w:rFonts w:hint="eastAsia"/>
          <w:spacing w:val="-40"/>
          <w:sz w:val="28"/>
          <w:szCs w:val="28"/>
        </w:rPr>
        <w:t>、</w:t>
      </w:r>
      <w:r>
        <w:rPr>
          <w:rFonts w:hint="eastAsia"/>
          <w:color w:val="000000"/>
          <w:sz w:val="28"/>
          <w:szCs w:val="28"/>
        </w:rPr>
        <w:t>分类存放和定点处置</w:t>
      </w:r>
      <w:r>
        <w:rPr>
          <w:rFonts w:hint="eastAsia"/>
          <w:spacing w:val="-40"/>
          <w:sz w:val="28"/>
          <w:szCs w:val="28"/>
        </w:rPr>
        <w:t>，</w:t>
      </w:r>
      <w:r>
        <w:rPr>
          <w:rFonts w:hint="eastAsia"/>
          <w:color w:val="000000"/>
          <w:sz w:val="28"/>
          <w:szCs w:val="28"/>
        </w:rPr>
        <w:t>不随意堆放在露天场地</w:t>
      </w:r>
      <w:r>
        <w:rPr>
          <w:rFonts w:hint="eastAsia"/>
          <w:spacing w:val="-40"/>
          <w:sz w:val="28"/>
          <w:szCs w:val="28"/>
        </w:rPr>
        <w:t>。</w:t>
      </w:r>
      <w:r>
        <w:rPr>
          <w:rFonts w:hint="eastAsia"/>
          <w:color w:val="000000"/>
          <w:sz w:val="28"/>
          <w:szCs w:val="28"/>
        </w:rPr>
        <w:t>本工程不会对周围环境和地下水环境造成影响</w:t>
      </w:r>
      <w:r>
        <w:rPr>
          <w:rFonts w:hint="eastAsia"/>
          <w:spacing w:val="-40"/>
          <w:sz w:val="28"/>
          <w:szCs w:val="28"/>
        </w:rPr>
        <w:t>，</w:t>
      </w:r>
      <w:r>
        <w:rPr>
          <w:rFonts w:hint="eastAsia"/>
          <w:color w:val="000000"/>
          <w:sz w:val="28"/>
          <w:szCs w:val="28"/>
        </w:rPr>
        <w:t>符合环保要求</w:t>
      </w:r>
      <w:r>
        <w:rPr>
          <w:rFonts w:hint="eastAsia"/>
          <w:spacing w:val="-40"/>
          <w:sz w:val="28"/>
          <w:szCs w:val="28"/>
        </w:rPr>
        <w:t>。</w:t>
      </w:r>
    </w:p>
    <w:p>
      <w:pPr>
        <w:pStyle w:val="01"/>
        <w:rPr>
          <w:rFonts w:hAnsi="宋体" w:hint="eastAsia"/>
          <w:color w:val="000000"/>
          <w:spacing w:val="-40"/>
          <w:sz w:val="28"/>
          <w:szCs w:val="28"/>
        </w:rPr>
      </w:pPr>
      <w:r>
        <w:rPr>
          <w:rFonts w:ascii="宋体" w:hAnsi="宋体" w:hint="eastAsia"/>
          <w:bCs/>
          <w:sz w:val="28"/>
          <w:szCs w:val="28"/>
        </w:rPr>
        <w:t>(5)</w:t>
      </w:r>
      <w:r>
        <w:rPr>
          <w:rFonts w:hint="eastAsia"/>
          <w:bCs/>
          <w:sz w:val="28"/>
          <w:szCs w:val="28"/>
        </w:rPr>
        <w:t xml:space="preserve">总量控制  </w:t>
      </w:r>
      <w:r>
        <w:rPr>
          <w:rFonts w:hAnsi="宋体" w:hint="eastAsia"/>
          <w:sz w:val="28"/>
          <w:szCs w:val="28"/>
        </w:rPr>
        <w:t>嘉利达（平阳）明胶有限公司COD排放量为</w:t>
      </w:r>
      <w:r>
        <w:rPr>
          <w:rFonts w:hAnsi="宋体" w:hint="eastAsia"/>
          <w:sz w:val="28"/>
          <w:szCs w:val="28"/>
          <w:lang w:val="en-US" w:eastAsia="zh-CN"/>
        </w:rPr>
        <w:t>87.57</w:t>
      </w:r>
      <w:r>
        <w:rPr>
          <w:rFonts w:hAnsi="宋体" w:hint="eastAsia"/>
          <w:sz w:val="28"/>
          <w:szCs w:val="28"/>
        </w:rPr>
        <w:t>t/a，氨氮排放量为</w:t>
      </w:r>
      <w:r>
        <w:rPr>
          <w:rFonts w:hAnsi="宋体" w:hint="eastAsia"/>
          <w:sz w:val="28"/>
          <w:szCs w:val="28"/>
          <w:lang w:val="en-US" w:eastAsia="zh-CN"/>
        </w:rPr>
        <w:t>8.71</w:t>
      </w:r>
      <w:r>
        <w:rPr>
          <w:rFonts w:hAnsi="宋体" w:hint="eastAsia"/>
          <w:sz w:val="28"/>
          <w:szCs w:val="28"/>
        </w:rPr>
        <w:t>t/a。根据《温州市排污权有偿使用和交易试行办法》（温政令123号），新建、改建、扩建项目需新增污染物排放量的，必须按替代比例要求通过排污权交易有偿取得，其中COD、氨氮、SO</w:t>
      </w:r>
      <w:r>
        <w:rPr>
          <w:rFonts w:hAnsi="宋体" w:hint="eastAsia"/>
          <w:sz w:val="28"/>
          <w:szCs w:val="28"/>
          <w:vertAlign w:val="subscript"/>
        </w:rPr>
        <w:t>2</w:t>
      </w:r>
      <w:r>
        <w:rPr>
          <w:rFonts w:hAnsi="宋体" w:hint="eastAsia"/>
          <w:sz w:val="28"/>
          <w:szCs w:val="28"/>
        </w:rPr>
        <w:t>和NOx作为排污权交易指标。企业总量控制指标COD</w:t>
      </w:r>
      <w:r>
        <w:rPr>
          <w:rFonts w:hAnsi="宋体" w:hint="eastAsia"/>
          <w:sz w:val="28"/>
          <w:szCs w:val="28"/>
          <w:lang w:val="en-US" w:eastAsia="zh-CN"/>
        </w:rPr>
        <w:t>87.57</w:t>
      </w:r>
      <w:r>
        <w:rPr>
          <w:rFonts w:hAnsi="宋体" w:hint="eastAsia"/>
          <w:sz w:val="28"/>
          <w:szCs w:val="28"/>
        </w:rPr>
        <w:t>t/a、氨氮</w:t>
      </w:r>
      <w:r>
        <w:rPr>
          <w:rFonts w:hAnsi="宋体" w:hint="eastAsia"/>
          <w:sz w:val="28"/>
          <w:szCs w:val="28"/>
          <w:lang w:val="en-US" w:eastAsia="zh-CN"/>
        </w:rPr>
        <w:t>8.71</w:t>
      </w:r>
      <w:r>
        <w:rPr>
          <w:rFonts w:hAnsi="宋体" w:hint="eastAsia"/>
          <w:sz w:val="28"/>
          <w:szCs w:val="28"/>
        </w:rPr>
        <w:t>t/a，SO</w:t>
      </w:r>
      <w:r>
        <w:rPr>
          <w:rFonts w:hAnsi="宋体" w:hint="eastAsia"/>
          <w:sz w:val="28"/>
          <w:szCs w:val="28"/>
          <w:vertAlign w:val="subscript"/>
        </w:rPr>
        <w:t>2</w:t>
      </w:r>
      <w:r>
        <w:rPr>
          <w:rFonts w:hAnsi="宋体" w:hint="eastAsia"/>
          <w:sz w:val="28"/>
          <w:szCs w:val="28"/>
          <w:lang w:val="en-US" w:eastAsia="zh-CN"/>
        </w:rPr>
        <w:t>41.47</w:t>
      </w:r>
      <w:r>
        <w:rPr>
          <w:rFonts w:hAnsi="宋体" w:hint="eastAsia"/>
          <w:sz w:val="28"/>
          <w:szCs w:val="28"/>
        </w:rPr>
        <w:t>t/a、NOx</w:t>
      </w:r>
      <w:r>
        <w:rPr>
          <w:rFonts w:hAnsi="宋体" w:hint="eastAsia"/>
          <w:sz w:val="28"/>
          <w:szCs w:val="28"/>
          <w:lang w:val="en-US" w:eastAsia="zh-CN"/>
        </w:rPr>
        <w:t>44.45</w:t>
      </w:r>
      <w:r>
        <w:rPr>
          <w:rFonts w:hAnsi="宋体" w:hint="eastAsia"/>
          <w:sz w:val="28"/>
          <w:szCs w:val="28"/>
        </w:rPr>
        <w:t>t/a。</w:t>
      </w:r>
    </w:p>
    <w:p>
      <w:pPr>
        <w:spacing w:line="360" w:lineRule="auto"/>
        <w:ind w:firstLine="560" w:firstLineChars="200"/>
        <w:rPr>
          <w:rFonts w:hint="eastAsia"/>
          <w:sz w:val="28"/>
          <w:szCs w:val="28"/>
        </w:rPr>
      </w:pPr>
      <w:r>
        <w:rPr>
          <w:rFonts w:ascii="宋体" w:hAnsi="宋体" w:hint="eastAsia"/>
          <w:sz w:val="28"/>
          <w:szCs w:val="28"/>
        </w:rPr>
        <w:t>(6)</w:t>
      </w:r>
      <w:r>
        <w:rPr>
          <w:rFonts w:hint="eastAsia"/>
          <w:sz w:val="28"/>
          <w:szCs w:val="28"/>
        </w:rPr>
        <w:t>污染治理对策</w:t>
      </w:r>
    </w:p>
    <w:p>
      <w:pPr>
        <w:spacing w:line="360" w:lineRule="auto"/>
        <w:ind w:firstLine="560" w:firstLineChars="200"/>
        <w:rPr>
          <w:rFonts w:eastAsia="楷体_GB2312" w:hint="eastAsia"/>
          <w:color w:val="FF0000"/>
          <w:sz w:val="28"/>
          <w:szCs w:val="28"/>
        </w:rPr>
      </w:pPr>
      <w:r>
        <w:rPr>
          <w:rFonts w:hint="eastAsia"/>
          <w:sz w:val="28"/>
          <w:szCs w:val="28"/>
        </w:rPr>
        <w:t>项目污染治理措施清单见表2。</w:t>
      </w:r>
    </w:p>
    <w:p>
      <w:pPr>
        <w:spacing w:after="24" w:afterLines="10"/>
        <w:jc w:val="center"/>
        <w:rPr>
          <w:rFonts w:eastAsia="楷体_GB2312" w:hint="eastAsia"/>
          <w:sz w:val="28"/>
          <w:szCs w:val="28"/>
        </w:rPr>
      </w:pPr>
      <w:r>
        <w:rPr>
          <w:rFonts w:eastAsia="楷体_GB2312" w:hint="eastAsia"/>
          <w:sz w:val="28"/>
          <w:szCs w:val="28"/>
        </w:rPr>
        <w:t>表2 污染防治措施清单</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966"/>
        <w:gridCol w:w="2704"/>
        <w:gridCol w:w="4970"/>
      </w:tblGrid>
      <w:tr>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425"/>
          <w:tblHeader/>
          <w:jc w:val="center"/>
        </w:trPr>
        <w:tc>
          <w:tcPr>
            <w:tcW w:w="3670" w:type="dxa"/>
            <w:gridSpan w:val="2"/>
            <w:vAlign w:val="center"/>
          </w:tcPr>
          <w:p>
            <w:pPr>
              <w:snapToGrid w:val="0"/>
              <w:jc w:val="center"/>
              <w:rPr>
                <w:szCs w:val="21"/>
              </w:rPr>
            </w:pPr>
            <w:r>
              <w:rPr>
                <w:rFonts w:hAnsi="宋体"/>
                <w:szCs w:val="21"/>
              </w:rPr>
              <w:t>污染源</w:t>
            </w:r>
          </w:p>
        </w:tc>
        <w:tc>
          <w:tcPr>
            <w:tcW w:w="4970" w:type="dxa"/>
            <w:vAlign w:val="center"/>
          </w:tcPr>
          <w:p>
            <w:pPr>
              <w:snapToGrid w:val="0"/>
              <w:jc w:val="center"/>
              <w:rPr>
                <w:szCs w:val="21"/>
              </w:rPr>
            </w:pPr>
            <w:r>
              <w:rPr>
                <w:rFonts w:hAnsi="宋体"/>
                <w:szCs w:val="21"/>
              </w:rPr>
              <w:t>治理措施</w:t>
            </w:r>
          </w:p>
        </w:tc>
      </w:tr>
      <w:tr>
        <w:tblPrEx>
          <w:tblW w:w="0" w:type="auto"/>
          <w:jc w:val="center"/>
          <w:tblLayout w:type="fixed"/>
          <w:tblCellMar>
            <w:top w:w="0" w:type="dxa"/>
            <w:left w:w="108" w:type="dxa"/>
            <w:bottom w:w="0" w:type="dxa"/>
            <w:right w:w="108" w:type="dxa"/>
          </w:tblCellMar>
          <w:tblLook w:val="0000"/>
        </w:tblPrEx>
        <w:trPr>
          <w:trHeight w:val="425"/>
          <w:jc w:val="center"/>
        </w:trPr>
        <w:tc>
          <w:tcPr>
            <w:tcW w:w="966" w:type="dxa"/>
            <w:vMerge w:val="restart"/>
            <w:vAlign w:val="center"/>
          </w:tcPr>
          <w:p>
            <w:pPr>
              <w:snapToGrid w:val="0"/>
              <w:jc w:val="center"/>
              <w:rPr>
                <w:rFonts w:hAnsi="宋体"/>
                <w:szCs w:val="21"/>
              </w:rPr>
            </w:pPr>
            <w:r>
              <w:rPr>
                <w:rFonts w:hAnsi="宋体" w:hint="eastAsia"/>
                <w:szCs w:val="21"/>
              </w:rPr>
              <w:t>废水</w:t>
            </w:r>
          </w:p>
        </w:tc>
        <w:tc>
          <w:tcPr>
            <w:tcW w:w="2704" w:type="dxa"/>
            <w:vAlign w:val="center"/>
          </w:tcPr>
          <w:p>
            <w:pPr>
              <w:snapToGrid w:val="0"/>
              <w:jc w:val="center"/>
              <w:rPr>
                <w:szCs w:val="21"/>
              </w:rPr>
            </w:pPr>
            <w:r>
              <w:rPr>
                <w:rFonts w:hAnsi="宋体"/>
                <w:szCs w:val="21"/>
              </w:rPr>
              <w:t>生活</w:t>
            </w:r>
            <w:r>
              <w:rPr>
                <w:rFonts w:hAnsi="宋体" w:hint="eastAsia"/>
                <w:szCs w:val="21"/>
              </w:rPr>
              <w:t>污</w:t>
            </w:r>
            <w:r>
              <w:rPr>
                <w:rFonts w:hAnsi="宋体"/>
                <w:szCs w:val="21"/>
              </w:rPr>
              <w:t>水</w:t>
            </w:r>
          </w:p>
        </w:tc>
        <w:tc>
          <w:tcPr>
            <w:tcW w:w="4970" w:type="dxa"/>
            <w:vAlign w:val="center"/>
          </w:tcPr>
          <w:p>
            <w:pPr>
              <w:snapToGrid w:val="0"/>
              <w:jc w:val="center"/>
              <w:rPr>
                <w:szCs w:val="21"/>
              </w:rPr>
            </w:pPr>
            <w:r>
              <w:rPr>
                <w:szCs w:val="21"/>
              </w:rPr>
              <w:t>化粪池预处理后并入生产废水处理</w:t>
            </w:r>
          </w:p>
        </w:tc>
      </w:tr>
      <w:tr>
        <w:tblPrEx>
          <w:tblW w:w="0" w:type="auto"/>
          <w:jc w:val="center"/>
          <w:tblLayout w:type="fixed"/>
          <w:tblCellMar>
            <w:top w:w="0" w:type="dxa"/>
            <w:left w:w="108" w:type="dxa"/>
            <w:bottom w:w="0" w:type="dxa"/>
            <w:right w:w="108" w:type="dxa"/>
          </w:tblCellMar>
          <w:tblLook w:val="0000"/>
        </w:tblPrEx>
        <w:trPr>
          <w:trHeight w:val="425"/>
          <w:jc w:val="center"/>
        </w:trPr>
        <w:tc>
          <w:tcPr>
            <w:tcW w:w="966" w:type="dxa"/>
            <w:vMerge/>
            <w:vAlign w:val="center"/>
          </w:tcPr>
          <w:p>
            <w:pPr>
              <w:snapToGrid w:val="0"/>
              <w:jc w:val="center"/>
              <w:rPr>
                <w:rFonts w:hAnsi="宋体" w:hint="eastAsia"/>
                <w:szCs w:val="21"/>
              </w:rPr>
            </w:pPr>
          </w:p>
        </w:tc>
        <w:tc>
          <w:tcPr>
            <w:tcW w:w="2704" w:type="dxa"/>
            <w:vAlign w:val="center"/>
          </w:tcPr>
          <w:p>
            <w:pPr>
              <w:snapToGrid w:val="0"/>
              <w:jc w:val="center"/>
              <w:rPr>
                <w:rFonts w:hAnsi="宋体" w:hint="eastAsia"/>
                <w:szCs w:val="21"/>
              </w:rPr>
            </w:pPr>
            <w:r>
              <w:rPr>
                <w:rFonts w:hAnsi="宋体" w:hint="eastAsia"/>
                <w:szCs w:val="21"/>
              </w:rPr>
              <w:t>生产废水</w:t>
            </w:r>
          </w:p>
        </w:tc>
        <w:tc>
          <w:tcPr>
            <w:tcW w:w="4970" w:type="dxa"/>
            <w:tcBorders>
              <w:bottom w:val="single" w:sz="4" w:space="0" w:color="auto"/>
            </w:tcBorders>
            <w:vAlign w:val="center"/>
          </w:tcPr>
          <w:p>
            <w:pPr>
              <w:snapToGrid w:val="0"/>
              <w:jc w:val="center"/>
              <w:rPr>
                <w:rFonts w:hint="eastAsia"/>
                <w:szCs w:val="21"/>
              </w:rPr>
            </w:pPr>
            <w:r>
              <w:rPr>
                <w:rFonts w:hAnsi="宋体" w:hint="eastAsia"/>
                <w:szCs w:val="21"/>
              </w:rPr>
              <w:t>隔油池处理后采用SBR工艺处理</w:t>
            </w:r>
          </w:p>
        </w:tc>
      </w:tr>
      <w:tr>
        <w:tblPrEx>
          <w:tblW w:w="0" w:type="auto"/>
          <w:jc w:val="center"/>
          <w:tblLayout w:type="fixed"/>
          <w:tblCellMar>
            <w:top w:w="0" w:type="dxa"/>
            <w:left w:w="108" w:type="dxa"/>
            <w:bottom w:w="0" w:type="dxa"/>
            <w:right w:w="108" w:type="dxa"/>
          </w:tblCellMar>
          <w:tblLook w:val="0000"/>
        </w:tblPrEx>
        <w:trPr>
          <w:trHeight w:val="425"/>
          <w:jc w:val="center"/>
        </w:trPr>
        <w:tc>
          <w:tcPr>
            <w:tcW w:w="966" w:type="dxa"/>
            <w:vMerge w:val="restart"/>
            <w:vAlign w:val="center"/>
          </w:tcPr>
          <w:p>
            <w:pPr>
              <w:snapToGrid w:val="0"/>
              <w:jc w:val="center"/>
              <w:rPr>
                <w:rFonts w:hAnsi="宋体" w:hint="eastAsia"/>
                <w:szCs w:val="21"/>
              </w:rPr>
            </w:pPr>
            <w:r>
              <w:rPr>
                <w:rFonts w:hAnsi="宋体" w:hint="eastAsia"/>
                <w:szCs w:val="21"/>
              </w:rPr>
              <w:t>废气</w:t>
            </w:r>
          </w:p>
        </w:tc>
        <w:tc>
          <w:tcPr>
            <w:tcW w:w="2704" w:type="dxa"/>
            <w:vAlign w:val="center"/>
          </w:tcPr>
          <w:p>
            <w:pPr>
              <w:snapToGrid w:val="0"/>
              <w:jc w:val="center"/>
              <w:rPr>
                <w:rFonts w:hint="eastAsia"/>
                <w:szCs w:val="21"/>
              </w:rPr>
            </w:pPr>
            <w:r>
              <w:rPr>
                <w:rFonts w:hint="eastAsia"/>
                <w:szCs w:val="21"/>
              </w:rPr>
              <w:t>锅炉废气</w:t>
            </w:r>
          </w:p>
        </w:tc>
        <w:tc>
          <w:tcPr>
            <w:tcW w:w="4970" w:type="dxa"/>
            <w:vAlign w:val="center"/>
          </w:tcPr>
          <w:p>
            <w:pPr>
              <w:snapToGrid w:val="0"/>
              <w:jc w:val="center"/>
              <w:rPr>
                <w:rFonts w:hAnsi="宋体" w:hint="eastAsia"/>
                <w:szCs w:val="21"/>
              </w:rPr>
            </w:pPr>
            <w:r>
              <w:rPr>
                <w:rFonts w:hint="eastAsia"/>
                <w:color w:val="000000"/>
                <w:szCs w:val="21"/>
                <w:lang w:val="en-US" w:eastAsia="zh-CN"/>
              </w:rPr>
              <w:t>集气后</w:t>
            </w:r>
            <w:r>
              <w:rPr>
                <w:rFonts w:hAnsi="宋体" w:hint="eastAsia"/>
                <w:color w:val="000000"/>
                <w:szCs w:val="21"/>
              </w:rPr>
              <w:t>高空</w:t>
            </w:r>
            <w:r>
              <w:rPr>
                <w:rFonts w:hAnsi="宋体" w:hint="eastAsia"/>
                <w:szCs w:val="21"/>
              </w:rPr>
              <w:t>排放</w:t>
            </w:r>
          </w:p>
        </w:tc>
      </w:tr>
      <w:tr>
        <w:tblPrEx>
          <w:tblW w:w="0" w:type="auto"/>
          <w:jc w:val="center"/>
          <w:tblLayout w:type="fixed"/>
          <w:tblCellMar>
            <w:top w:w="0" w:type="dxa"/>
            <w:left w:w="108" w:type="dxa"/>
            <w:bottom w:w="0" w:type="dxa"/>
            <w:right w:w="108" w:type="dxa"/>
          </w:tblCellMar>
          <w:tblLook w:val="0000"/>
        </w:tblPrEx>
        <w:trPr>
          <w:trHeight w:val="425"/>
          <w:jc w:val="center"/>
        </w:trPr>
        <w:tc>
          <w:tcPr>
            <w:tcW w:w="966" w:type="dxa"/>
            <w:vMerge/>
            <w:vAlign w:val="center"/>
          </w:tcPr>
          <w:p>
            <w:pPr>
              <w:snapToGrid w:val="0"/>
              <w:jc w:val="center"/>
              <w:rPr>
                <w:rFonts w:hAnsi="宋体" w:hint="eastAsia"/>
                <w:szCs w:val="21"/>
              </w:rPr>
            </w:pPr>
          </w:p>
        </w:tc>
        <w:tc>
          <w:tcPr>
            <w:tcW w:w="2704" w:type="dxa"/>
            <w:vAlign w:val="center"/>
          </w:tcPr>
          <w:p>
            <w:pPr>
              <w:snapToGrid w:val="0"/>
              <w:jc w:val="center"/>
              <w:rPr>
                <w:rFonts w:hint="eastAsia"/>
                <w:szCs w:val="21"/>
              </w:rPr>
            </w:pPr>
            <w:r>
              <w:rPr>
                <w:rFonts w:hint="eastAsia"/>
                <w:szCs w:val="21"/>
                <w:lang w:val="en-US" w:eastAsia="zh-CN"/>
              </w:rPr>
              <w:t>生产车间</w:t>
            </w:r>
            <w:r>
              <w:rPr>
                <w:rFonts w:hint="eastAsia"/>
                <w:szCs w:val="21"/>
              </w:rPr>
              <w:t>和废水处理恶臭</w:t>
            </w:r>
          </w:p>
        </w:tc>
        <w:tc>
          <w:tcPr>
            <w:tcW w:w="4970" w:type="dxa"/>
            <w:vAlign w:val="center"/>
          </w:tcPr>
          <w:p>
            <w:pPr>
              <w:snapToGrid w:val="0"/>
              <w:jc w:val="center"/>
              <w:rPr>
                <w:rFonts w:hAnsi="宋体" w:hint="eastAsia"/>
                <w:szCs w:val="21"/>
              </w:rPr>
            </w:pPr>
            <w:r>
              <w:rPr>
                <w:rFonts w:hAnsi="宋体" w:hint="eastAsia"/>
                <w:szCs w:val="21"/>
              </w:rPr>
              <w:t>集气后并入</w:t>
            </w:r>
            <w:r>
              <w:rPr>
                <w:rFonts w:hAnsi="宋体" w:hint="eastAsia"/>
                <w:szCs w:val="21"/>
                <w:lang w:val="en-US" w:eastAsia="zh-CN"/>
              </w:rPr>
              <w:t>Wintop-CW-30K化学处理的净化设备</w:t>
            </w:r>
            <w:r>
              <w:rPr>
                <w:rFonts w:hAnsi="宋体" w:hint="eastAsia"/>
                <w:szCs w:val="21"/>
              </w:rPr>
              <w:t>处理</w:t>
            </w:r>
          </w:p>
        </w:tc>
      </w:tr>
      <w:tr>
        <w:tblPrEx>
          <w:tblW w:w="0" w:type="auto"/>
          <w:jc w:val="center"/>
          <w:tblLayout w:type="fixed"/>
          <w:tblCellMar>
            <w:top w:w="0" w:type="dxa"/>
            <w:left w:w="108" w:type="dxa"/>
            <w:bottom w:w="0" w:type="dxa"/>
            <w:right w:w="108" w:type="dxa"/>
          </w:tblCellMar>
          <w:tblLook w:val="0000"/>
        </w:tblPrEx>
        <w:trPr>
          <w:trHeight w:val="425"/>
          <w:jc w:val="center"/>
        </w:trPr>
        <w:tc>
          <w:tcPr>
            <w:tcW w:w="966" w:type="dxa"/>
            <w:vMerge/>
            <w:vAlign w:val="center"/>
          </w:tcPr>
          <w:p>
            <w:pPr>
              <w:snapToGrid w:val="0"/>
              <w:jc w:val="center"/>
              <w:rPr>
                <w:rFonts w:hAnsi="宋体" w:hint="eastAsia"/>
                <w:szCs w:val="21"/>
              </w:rPr>
            </w:pPr>
          </w:p>
        </w:tc>
        <w:tc>
          <w:tcPr>
            <w:tcW w:w="2704" w:type="dxa"/>
            <w:vAlign w:val="center"/>
          </w:tcPr>
          <w:p>
            <w:pPr>
              <w:jc w:val="center"/>
              <w:rPr>
                <w:color w:val="000000"/>
              </w:rPr>
            </w:pPr>
            <w:r>
              <w:rPr>
                <w:rFonts w:hint="eastAsia"/>
                <w:color w:val="000000"/>
              </w:rPr>
              <w:t>食堂油烟</w:t>
            </w:r>
          </w:p>
        </w:tc>
        <w:tc>
          <w:tcPr>
            <w:tcW w:w="4970" w:type="dxa"/>
            <w:vAlign w:val="center"/>
          </w:tcPr>
          <w:p>
            <w:pPr>
              <w:jc w:val="center"/>
              <w:rPr>
                <w:rFonts w:hint="eastAsia"/>
                <w:color w:val="000000"/>
                <w:szCs w:val="21"/>
              </w:rPr>
            </w:pPr>
            <w:r>
              <w:rPr>
                <w:rFonts w:hint="eastAsia"/>
                <w:color w:val="000000"/>
                <w:szCs w:val="21"/>
              </w:rPr>
              <w:t>油烟净化器处理</w:t>
            </w:r>
          </w:p>
        </w:tc>
      </w:tr>
    </w:tbl>
    <w:p>
      <w:pPr>
        <w:sectPr>
          <w:headerReference w:type="even" r:id="rId27"/>
          <w:headerReference w:type="default" r:id="rId28"/>
          <w:footerReference w:type="even" r:id="rId29"/>
          <w:footerReference w:type="default" r:id="rId30"/>
          <w:type w:val="nextPage"/>
          <w:pgSz w:w="11907" w:h="16840"/>
          <w:pgMar w:top="1418" w:right="1418" w:bottom="1021" w:left="1418" w:header="851" w:footer="851" w:gutter="284"/>
          <w:pgNumType w:start="5"/>
          <w:cols w:space="708"/>
          <w:titlePg w:val="0"/>
          <w:docGrid w:linePitch="289"/>
        </w:sect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966"/>
        <w:gridCol w:w="2704"/>
        <w:gridCol w:w="4970"/>
      </w:tblGrid>
      <w:tr>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425"/>
          <w:jc w:val="center"/>
        </w:trPr>
        <w:tc>
          <w:tcPr>
            <w:tcW w:w="966" w:type="dxa"/>
            <w:vAlign w:val="center"/>
          </w:tcPr>
          <w:p>
            <w:pPr>
              <w:snapToGrid w:val="0"/>
              <w:jc w:val="center"/>
              <w:rPr>
                <w:rFonts w:hAnsi="宋体"/>
                <w:szCs w:val="21"/>
              </w:rPr>
            </w:pPr>
            <w:r>
              <w:rPr>
                <w:rFonts w:hAnsi="宋体" w:hint="eastAsia"/>
                <w:szCs w:val="21"/>
              </w:rPr>
              <w:t>噪声</w:t>
            </w:r>
          </w:p>
        </w:tc>
        <w:tc>
          <w:tcPr>
            <w:tcW w:w="2704" w:type="dxa"/>
            <w:vAlign w:val="center"/>
          </w:tcPr>
          <w:p>
            <w:pPr>
              <w:snapToGrid w:val="0"/>
              <w:jc w:val="center"/>
              <w:rPr>
                <w:szCs w:val="21"/>
              </w:rPr>
            </w:pPr>
            <w:r>
              <w:rPr>
                <w:rFonts w:hint="eastAsia"/>
                <w:szCs w:val="21"/>
              </w:rPr>
              <w:t>生产设备</w:t>
            </w:r>
          </w:p>
        </w:tc>
        <w:tc>
          <w:tcPr>
            <w:tcW w:w="4970" w:type="dxa"/>
            <w:vAlign w:val="center"/>
          </w:tcPr>
          <w:p>
            <w:pPr>
              <w:snapToGrid w:val="0"/>
              <w:jc w:val="center"/>
              <w:rPr>
                <w:szCs w:val="21"/>
              </w:rPr>
            </w:pPr>
            <w:r>
              <w:rPr>
                <w:rFonts w:hAnsi="宋体" w:hint="eastAsia"/>
                <w:szCs w:val="21"/>
              </w:rPr>
              <w:t>设备合理布局</w:t>
            </w:r>
            <w:r>
              <w:rPr>
                <w:rFonts w:hint="eastAsia"/>
                <w:spacing w:val="-40"/>
                <w:szCs w:val="21"/>
              </w:rPr>
              <w:t>，</w:t>
            </w:r>
            <w:r>
              <w:rPr>
                <w:rFonts w:hAnsi="宋体"/>
                <w:szCs w:val="21"/>
              </w:rPr>
              <w:t>隔声</w:t>
            </w:r>
            <w:r>
              <w:rPr>
                <w:spacing w:val="-40"/>
                <w:szCs w:val="21"/>
              </w:rPr>
              <w:t>、</w:t>
            </w:r>
            <w:r>
              <w:rPr>
                <w:rFonts w:hAnsi="宋体" w:hint="eastAsia"/>
                <w:szCs w:val="21"/>
              </w:rPr>
              <w:t>减振</w:t>
            </w:r>
            <w:r>
              <w:rPr>
                <w:rFonts w:hint="eastAsia"/>
                <w:spacing w:val="-40"/>
                <w:szCs w:val="21"/>
              </w:rPr>
              <w:t>、</w:t>
            </w:r>
            <w:r>
              <w:rPr>
                <w:rFonts w:hAnsi="宋体" w:hint="eastAsia"/>
                <w:szCs w:val="21"/>
              </w:rPr>
              <w:t>降噪等</w:t>
            </w:r>
            <w:r>
              <w:rPr>
                <w:rFonts w:hAnsi="宋体"/>
                <w:szCs w:val="21"/>
              </w:rPr>
              <w:t>措施</w:t>
            </w:r>
          </w:p>
        </w:tc>
      </w:tr>
      <w:tr>
        <w:tblPrEx>
          <w:tblW w:w="0" w:type="auto"/>
          <w:jc w:val="center"/>
          <w:tblLayout w:type="fixed"/>
          <w:tblCellMar>
            <w:top w:w="0" w:type="dxa"/>
            <w:left w:w="108" w:type="dxa"/>
            <w:bottom w:w="0" w:type="dxa"/>
            <w:right w:w="108" w:type="dxa"/>
          </w:tblCellMar>
          <w:tblLook w:val="0000"/>
        </w:tblPrEx>
        <w:trPr>
          <w:trHeight w:val="794"/>
          <w:jc w:val="center"/>
        </w:trPr>
        <w:tc>
          <w:tcPr>
            <w:tcW w:w="966" w:type="dxa"/>
            <w:vMerge w:val="restart"/>
            <w:vAlign w:val="center"/>
          </w:tcPr>
          <w:p>
            <w:pPr>
              <w:snapToGrid w:val="0"/>
              <w:jc w:val="center"/>
              <w:rPr>
                <w:rFonts w:hAnsi="宋体"/>
                <w:szCs w:val="21"/>
              </w:rPr>
            </w:pPr>
            <w:r>
              <w:rPr>
                <w:rFonts w:hAnsi="宋体" w:hint="eastAsia"/>
                <w:szCs w:val="21"/>
              </w:rPr>
              <w:t>固废</w:t>
            </w:r>
          </w:p>
        </w:tc>
        <w:tc>
          <w:tcPr>
            <w:tcW w:w="2704" w:type="dxa"/>
            <w:vAlign w:val="center"/>
          </w:tcPr>
          <w:p>
            <w:pPr>
              <w:snapToGrid w:val="0"/>
              <w:jc w:val="center"/>
              <w:rPr>
                <w:szCs w:val="21"/>
              </w:rPr>
            </w:pPr>
            <w:r>
              <w:rPr>
                <w:rFonts w:hAnsi="宋体" w:hint="eastAsia"/>
                <w:szCs w:val="21"/>
              </w:rPr>
              <w:t>生产固废</w:t>
            </w:r>
          </w:p>
        </w:tc>
        <w:tc>
          <w:tcPr>
            <w:tcW w:w="4970" w:type="dxa"/>
            <w:vAlign w:val="center"/>
          </w:tcPr>
          <w:p>
            <w:pPr>
              <w:spacing w:line="240" w:lineRule="exact"/>
              <w:jc w:val="center"/>
              <w:rPr>
                <w:rFonts w:ascii="宋体" w:hAnsi="宋体" w:hint="eastAsia"/>
                <w:color w:val="000000"/>
                <w:szCs w:val="21"/>
              </w:rPr>
            </w:pPr>
            <w:r>
              <w:rPr>
                <w:rFonts w:hint="eastAsia"/>
                <w:color w:val="000000"/>
                <w:szCs w:val="21"/>
              </w:rPr>
              <w:t>粉尘由公司自行回收综合利用；污泥委托</w:t>
            </w:r>
            <w:r>
              <w:rPr>
                <w:rFonts w:hint="eastAsia"/>
                <w:color w:val="000000"/>
                <w:szCs w:val="21"/>
                <w:lang w:val="en-US" w:eastAsia="zh-CN"/>
              </w:rPr>
              <w:t>平阳县绿洲生态生物有限公司处理处置</w:t>
            </w:r>
            <w:r>
              <w:rPr>
                <w:rFonts w:hint="eastAsia"/>
                <w:color w:val="auto"/>
                <w:szCs w:val="21"/>
                <w:lang w:val="en-US" w:eastAsia="zh-CN"/>
              </w:rPr>
              <w:t>；</w:t>
            </w:r>
            <w:r>
              <w:rPr>
                <w:rFonts w:hint="eastAsia"/>
                <w:color w:val="auto"/>
                <w:szCs w:val="21"/>
              </w:rPr>
              <w:t>皮料废渣交由</w:t>
            </w:r>
            <w:r>
              <w:rPr>
                <w:rFonts w:hint="eastAsia"/>
                <w:color w:val="auto"/>
                <w:szCs w:val="21"/>
                <w:lang w:val="en-US" w:eastAsia="zh-CN"/>
              </w:rPr>
              <w:t>龙海市榜山信鸿骨粉加工厂处理处置；</w:t>
            </w:r>
            <w:r>
              <w:rPr>
                <w:rFonts w:hint="eastAsia"/>
                <w:color w:val="auto"/>
                <w:szCs w:val="21"/>
              </w:rPr>
              <w:t>生活垃圾由环卫部门统一清运处置。</w:t>
            </w:r>
          </w:p>
        </w:tc>
      </w:tr>
      <w:tr>
        <w:tblPrEx>
          <w:tblW w:w="0" w:type="auto"/>
          <w:jc w:val="center"/>
          <w:tblLayout w:type="fixed"/>
          <w:tblCellMar>
            <w:top w:w="0" w:type="dxa"/>
            <w:left w:w="108" w:type="dxa"/>
            <w:bottom w:w="0" w:type="dxa"/>
            <w:right w:w="108" w:type="dxa"/>
          </w:tblCellMar>
          <w:tblLook w:val="0000"/>
        </w:tblPrEx>
        <w:trPr>
          <w:trHeight w:val="425"/>
          <w:jc w:val="center"/>
        </w:trPr>
        <w:tc>
          <w:tcPr>
            <w:tcW w:w="966" w:type="dxa"/>
            <w:vMerge/>
            <w:vAlign w:val="center"/>
          </w:tcPr>
          <w:p>
            <w:pPr>
              <w:snapToGrid w:val="0"/>
              <w:jc w:val="center"/>
              <w:rPr>
                <w:rFonts w:hAnsi="宋体" w:hint="eastAsia"/>
                <w:szCs w:val="21"/>
              </w:rPr>
            </w:pPr>
          </w:p>
        </w:tc>
        <w:tc>
          <w:tcPr>
            <w:tcW w:w="2704" w:type="dxa"/>
            <w:vAlign w:val="center"/>
          </w:tcPr>
          <w:p>
            <w:pPr>
              <w:snapToGrid w:val="0"/>
              <w:jc w:val="center"/>
              <w:rPr>
                <w:rFonts w:hAnsi="宋体" w:hint="eastAsia"/>
                <w:szCs w:val="21"/>
              </w:rPr>
            </w:pPr>
            <w:r>
              <w:rPr>
                <w:rFonts w:hint="eastAsia"/>
                <w:color w:val="000000"/>
              </w:rPr>
              <w:t>废过滤棉、</w:t>
            </w:r>
            <w:r>
              <w:rPr>
                <w:rFonts w:hAnsi="宋体" w:hint="eastAsia"/>
                <w:szCs w:val="21"/>
              </w:rPr>
              <w:t>生活垃圾</w:t>
            </w:r>
          </w:p>
        </w:tc>
        <w:tc>
          <w:tcPr>
            <w:tcW w:w="4970" w:type="dxa"/>
            <w:vAlign w:val="center"/>
          </w:tcPr>
          <w:p>
            <w:pPr>
              <w:spacing w:line="240" w:lineRule="exact"/>
              <w:jc w:val="center"/>
              <w:rPr>
                <w:rFonts w:ascii="宋体" w:hAnsi="宋体" w:hint="eastAsia"/>
                <w:szCs w:val="21"/>
              </w:rPr>
            </w:pPr>
            <w:r>
              <w:rPr>
                <w:rFonts w:hint="eastAsia"/>
                <w:color w:val="000000"/>
                <w:szCs w:val="21"/>
              </w:rPr>
              <w:t>定点收集并委托环卫部门定期清理</w:t>
            </w:r>
          </w:p>
        </w:tc>
      </w:tr>
    </w:tbl>
    <w:p>
      <w:pPr>
        <w:spacing w:before="192" w:beforeLines="80" w:line="360" w:lineRule="auto"/>
        <w:ind w:firstLine="560" w:firstLineChars="200"/>
        <w:rPr>
          <w:rFonts w:ascii="宋体" w:hAnsi="宋体" w:cs="宋体" w:hint="eastAsia"/>
          <w:sz w:val="28"/>
          <w:szCs w:val="28"/>
        </w:rPr>
      </w:pPr>
      <w:r>
        <w:rPr>
          <w:sz w:val="28"/>
          <w:szCs w:val="28"/>
        </w:rPr>
        <w:t>2</w:t>
      </w:r>
      <w:r>
        <w:rPr>
          <w:rFonts w:ascii="宋体" w:hAnsi="宋体" w:cs="宋体" w:hint="eastAsia"/>
          <w:sz w:val="28"/>
          <w:szCs w:val="28"/>
        </w:rPr>
        <w:t>、建议</w:t>
      </w:r>
    </w:p>
    <w:p>
      <w:pPr>
        <w:spacing w:line="360" w:lineRule="auto"/>
        <w:ind w:firstLine="560" w:firstLineChars="200"/>
        <w:rPr>
          <w:rFonts w:hint="eastAsia"/>
          <w:color w:val="000000"/>
          <w:sz w:val="28"/>
          <w:szCs w:val="28"/>
        </w:rPr>
      </w:pPr>
      <w:r>
        <w:rPr>
          <w:rFonts w:ascii="宋体" w:hAnsi="宋体" w:cs="宋体" w:hint="eastAsia"/>
          <w:color w:val="000000"/>
          <w:sz w:val="28"/>
          <w:szCs w:val="28"/>
        </w:rPr>
        <w:t>(</w:t>
      </w:r>
      <w:r>
        <w:rPr>
          <w:color w:val="000000"/>
          <w:sz w:val="28"/>
          <w:szCs w:val="28"/>
        </w:rPr>
        <w:t>1</w:t>
      </w:r>
      <w:r>
        <w:rPr>
          <w:rFonts w:ascii="宋体" w:hAnsi="宋体" w:cs="宋体" w:hint="eastAsia"/>
          <w:color w:val="000000"/>
          <w:sz w:val="28"/>
          <w:szCs w:val="28"/>
        </w:rPr>
        <w:t>)</w:t>
      </w:r>
      <w:r>
        <w:rPr>
          <w:rFonts w:hint="eastAsia"/>
          <w:color w:val="000000"/>
          <w:sz w:val="28"/>
          <w:szCs w:val="28"/>
        </w:rPr>
        <w:t>重视专门环境管理机构的建设，配足专职环保人员，加强厂内环境保护工作，以确保各项污染物达标排放，使项目的污染物排放量达到总量控制指标的要求，同时应积极引进和建立先进的环保管理模式，完善管理机制，强化企业职工自身的环保意识。</w:t>
      </w:r>
    </w:p>
    <w:p>
      <w:pPr>
        <w:spacing w:line="360" w:lineRule="auto"/>
        <w:ind w:firstLine="560" w:firstLineChars="200"/>
        <w:rPr>
          <w:rFonts w:hint="eastAsia"/>
          <w:color w:val="000000"/>
          <w:sz w:val="28"/>
          <w:szCs w:val="28"/>
        </w:rPr>
      </w:pPr>
      <w:r>
        <w:rPr>
          <w:rFonts w:hint="eastAsia"/>
          <w:color w:val="000000"/>
          <w:sz w:val="28"/>
          <w:szCs w:val="28"/>
        </w:rPr>
        <w:t>（2）企业应积极引进ISO9000质量管理体系和ISO14000环境管理体系，开展清洁生产审核，建立一套完善的环境管理体系，进一步提高企业清洁生产水平。</w:t>
      </w:r>
    </w:p>
    <w:p>
      <w:pPr>
        <w:spacing w:line="360" w:lineRule="auto"/>
        <w:ind w:firstLine="560" w:firstLineChars="200"/>
        <w:rPr>
          <w:rFonts w:hint="eastAsia"/>
          <w:color w:val="000000"/>
          <w:sz w:val="28"/>
          <w:szCs w:val="28"/>
        </w:rPr>
      </w:pPr>
      <w:r>
        <w:rPr>
          <w:rFonts w:hint="eastAsia"/>
          <w:color w:val="000000"/>
          <w:sz w:val="28"/>
          <w:szCs w:val="28"/>
        </w:rPr>
        <w:t>（3）加强污染治理设施的运行管理，建立技术档案，定期检查、维修，使其长期处于最佳运行状态。</w:t>
      </w:r>
    </w:p>
    <w:p>
      <w:pPr>
        <w:spacing w:line="360" w:lineRule="auto"/>
        <w:ind w:firstLine="560" w:firstLineChars="200"/>
        <w:rPr>
          <w:rFonts w:hint="eastAsia"/>
          <w:color w:val="000000"/>
          <w:sz w:val="28"/>
          <w:szCs w:val="28"/>
        </w:rPr>
      </w:pPr>
      <w:r>
        <w:rPr>
          <w:rFonts w:hint="eastAsia"/>
          <w:color w:val="000000"/>
          <w:sz w:val="28"/>
          <w:szCs w:val="28"/>
        </w:rPr>
        <w:t>（4）根据监测结果，纳污水体鳌江水质指标DO、COD、BOD5、氨氮均超出GB3838-2002中III类标准要求，属V类水质，定类指标为BOD5、氨氮。因此建议政府部门抓紧实施鳌江钱仓片区截污纳管，减轻鳌江的污染负荷。</w:t>
      </w:r>
    </w:p>
    <w:p>
      <w:pPr>
        <w:spacing w:line="360" w:lineRule="auto"/>
        <w:ind w:firstLine="560" w:firstLineChars="200"/>
        <w:rPr>
          <w:rFonts w:ascii="宋体" w:hAnsi="宋体" w:cs="宋体" w:hint="eastAsia"/>
          <w:sz w:val="28"/>
          <w:szCs w:val="28"/>
        </w:rPr>
      </w:pPr>
      <w:r>
        <w:rPr>
          <w:sz w:val="28"/>
          <w:szCs w:val="28"/>
        </w:rPr>
        <w:t>3</w:t>
      </w:r>
      <w:r>
        <w:rPr>
          <w:rFonts w:ascii="宋体" w:hAnsi="宋体" w:cs="宋体" w:hint="eastAsia"/>
          <w:sz w:val="28"/>
          <w:szCs w:val="28"/>
        </w:rPr>
        <w:t>、环境影响评价总结论</w:t>
      </w:r>
    </w:p>
    <w:p>
      <w:pPr>
        <w:pStyle w:val="01"/>
        <w:rPr>
          <w:rFonts w:hint="eastAsia"/>
          <w:color w:val="000000"/>
          <w:kern w:val="2"/>
          <w:sz w:val="28"/>
          <w:szCs w:val="28"/>
          <w:lang w:val="en-US" w:eastAsia="zh-CN" w:bidi="ar-SA"/>
        </w:rPr>
        <w:sectPr>
          <w:headerReference w:type="even" r:id="rId31"/>
          <w:headerReference w:type="default" r:id="rId32"/>
          <w:footerReference w:type="even" r:id="rId33"/>
          <w:footerReference w:type="default" r:id="rId34"/>
          <w:type w:val="nextPage"/>
          <w:pgSz w:w="11907" w:h="16840"/>
          <w:pgMar w:top="1418" w:right="1418" w:bottom="1021" w:left="1418" w:header="851" w:footer="851" w:gutter="284"/>
          <w:pgNumType w:start="6"/>
          <w:cols w:space="708"/>
          <w:titlePg w:val="0"/>
          <w:docGrid w:linePitch="289"/>
        </w:sectPr>
      </w:pPr>
      <w:r>
        <w:rPr>
          <w:rFonts w:hint="eastAsia"/>
          <w:color w:val="000000"/>
          <w:kern w:val="2"/>
          <w:sz w:val="28"/>
          <w:szCs w:val="28"/>
          <w:lang w:val="en-US" w:eastAsia="zh-CN" w:bidi="ar-SA"/>
        </w:rPr>
        <w:t>嘉利达（平阳）明胶有限公司老厂房改造项目位于平阳县鳌江镇钱仓办事处东江村104国道旁，经平阳县发展和改革局批复立项，选址符合规划要求，项目符合国家和地方产业政策。老厂房改造项目有利于环境改善，落实好周边居民担忧问题的解释工作，有利于化解厂群矛盾。项目在生产过程中会产生一定的</w:t>
      </w:r>
      <w:r>
        <w:rPr>
          <w:rFonts w:hint="eastAsia"/>
          <w:color w:val="000000"/>
          <w:kern w:val="2"/>
          <w:sz w:val="28"/>
          <w:szCs w:val="28"/>
          <w:lang w:val="en-US" w:eastAsia="zh-CN" w:bidi="ar-SA"/>
        </w:rPr>
        <w:t>“</w:t>
      </w:r>
      <w:r>
        <w:rPr>
          <w:rFonts w:hint="eastAsia"/>
          <w:color w:val="000000"/>
          <w:kern w:val="2"/>
          <w:sz w:val="28"/>
          <w:szCs w:val="28"/>
          <w:lang w:val="en-US" w:eastAsia="zh-CN" w:bidi="ar-SA"/>
        </w:rPr>
        <w:t>三废</w:t>
      </w:r>
      <w:r>
        <w:rPr>
          <w:rFonts w:hint="eastAsia"/>
          <w:color w:val="000000"/>
          <w:kern w:val="2"/>
          <w:sz w:val="28"/>
          <w:szCs w:val="28"/>
          <w:lang w:val="en-US" w:eastAsia="zh-CN" w:bidi="ar-SA"/>
        </w:rPr>
        <w:t>”</w:t>
      </w:r>
      <w:r>
        <w:rPr>
          <w:rFonts w:hint="eastAsia"/>
          <w:color w:val="000000"/>
          <w:kern w:val="2"/>
          <w:sz w:val="28"/>
          <w:szCs w:val="28"/>
          <w:lang w:val="en-US" w:eastAsia="zh-CN" w:bidi="ar-SA"/>
        </w:rPr>
        <w:t>污染物，经分析论证，在采用科学管理与切实可行的环保治理手段，对周围环境影响基本是可以控制的，因此从环保角度讲，项目建设是可行的。</w:t>
      </w:r>
    </w:p>
    <w:p>
      <w:pPr>
        <w:tabs>
          <w:tab w:val="left" w:pos="750"/>
        </w:tabs>
        <w:spacing w:line="360" w:lineRule="auto"/>
        <w:ind w:firstLine="560" w:firstLineChars="200"/>
        <w:rPr>
          <w:rFonts w:hint="eastAsia"/>
          <w:b/>
          <w:sz w:val="28"/>
        </w:rPr>
      </w:pPr>
      <w:r>
        <w:rPr>
          <w:rFonts w:ascii="宋体" w:hAnsi="宋体" w:hint="eastAsia"/>
          <w:b/>
          <w:sz w:val="28"/>
        </w:rPr>
        <w:t>(二)</w:t>
      </w:r>
      <w:r>
        <w:rPr>
          <w:b/>
          <w:sz w:val="28"/>
        </w:rPr>
        <w:t>环评</w:t>
      </w:r>
      <w:r>
        <w:rPr>
          <w:rFonts w:hint="eastAsia"/>
          <w:b/>
          <w:sz w:val="28"/>
        </w:rPr>
        <w:t>批复主要意见</w:t>
      </w:r>
    </w:p>
    <w:p>
      <w:pPr>
        <w:pStyle w:val="zzzzzzz"/>
        <w:spacing w:after="0"/>
        <w:ind w:firstLine="560"/>
        <w:rPr>
          <w:rFonts w:hint="eastAsia"/>
        </w:rPr>
      </w:pPr>
      <w:r>
        <w:rPr>
          <w:rFonts w:hint="eastAsia"/>
          <w:sz w:val="28"/>
          <w:szCs w:val="28"/>
        </w:rPr>
        <w:t>《</w:t>
      </w:r>
      <w:r>
        <w:rPr>
          <w:rFonts w:hint="eastAsia"/>
          <w:sz w:val="28"/>
          <w:szCs w:val="28"/>
          <w:lang w:eastAsia="zh-CN"/>
        </w:rPr>
        <w:t>嘉利达（平阳）明胶有限公司</w:t>
      </w:r>
      <w:r>
        <w:rPr>
          <w:rFonts w:ascii="宋体" w:hAnsi="宋体" w:hint="eastAsia"/>
          <w:sz w:val="28"/>
          <w:szCs w:val="28"/>
          <w:lang w:val="en-US" w:eastAsia="zh-CN"/>
        </w:rPr>
        <w:t>老厂房改造</w:t>
      </w:r>
      <w:r>
        <w:rPr>
          <w:color w:val="000000"/>
          <w:sz w:val="28"/>
          <w:szCs w:val="28"/>
        </w:rPr>
        <w:t>项目环境影响报告书</w:t>
      </w:r>
      <w:r>
        <w:rPr>
          <w:rFonts w:hint="eastAsia"/>
          <w:sz w:val="28"/>
          <w:szCs w:val="28"/>
        </w:rPr>
        <w:t>》</w:t>
      </w:r>
      <w:r>
        <w:rPr>
          <w:rFonts w:hint="eastAsia"/>
          <w:color w:val="000000"/>
          <w:sz w:val="28"/>
          <w:szCs w:val="28"/>
        </w:rPr>
        <w:t>由温州市环境保护局于201</w:t>
      </w:r>
      <w:r>
        <w:rPr>
          <w:rFonts w:hint="eastAsia"/>
          <w:color w:val="000000"/>
          <w:sz w:val="28"/>
          <w:szCs w:val="28"/>
          <w:lang w:val="en-US" w:eastAsia="zh-CN"/>
        </w:rPr>
        <w:t>5</w:t>
      </w:r>
      <w:r>
        <w:rPr>
          <w:rFonts w:hint="eastAsia"/>
          <w:color w:val="000000"/>
          <w:sz w:val="28"/>
          <w:szCs w:val="28"/>
        </w:rPr>
        <w:t>年</w:t>
      </w:r>
      <w:r>
        <w:rPr>
          <w:rFonts w:hint="eastAsia"/>
          <w:color w:val="000000"/>
          <w:sz w:val="28"/>
          <w:szCs w:val="28"/>
          <w:lang w:val="en-US" w:eastAsia="zh-CN"/>
        </w:rPr>
        <w:t>10</w:t>
      </w:r>
      <w:r>
        <w:rPr>
          <w:rFonts w:hint="eastAsia"/>
          <w:color w:val="000000"/>
          <w:sz w:val="28"/>
          <w:szCs w:val="28"/>
        </w:rPr>
        <w:t>月</w:t>
      </w:r>
      <w:r>
        <w:rPr>
          <w:rFonts w:hint="eastAsia"/>
          <w:color w:val="000000"/>
          <w:sz w:val="28"/>
          <w:szCs w:val="28"/>
          <w:lang w:val="en-US" w:eastAsia="zh-CN"/>
        </w:rPr>
        <w:t>2</w:t>
      </w:r>
      <w:r>
        <w:rPr>
          <w:rFonts w:hint="eastAsia"/>
          <w:color w:val="000000"/>
          <w:sz w:val="28"/>
          <w:szCs w:val="28"/>
        </w:rPr>
        <w:t>6日审批通过</w:t>
      </w:r>
      <w:r>
        <w:rPr>
          <w:rFonts w:ascii="宋体" w:hAnsi="宋体" w:hint="eastAsia"/>
          <w:color w:val="000000"/>
          <w:sz w:val="28"/>
          <w:szCs w:val="28"/>
        </w:rPr>
        <w:t>(</w:t>
      </w:r>
      <w:r>
        <w:rPr>
          <w:rFonts w:hint="eastAsia"/>
          <w:color w:val="000000"/>
          <w:sz w:val="28"/>
          <w:szCs w:val="28"/>
        </w:rPr>
        <w:t>温环建[201</w:t>
      </w:r>
      <w:r>
        <w:rPr>
          <w:rFonts w:hint="eastAsia"/>
          <w:color w:val="000000"/>
          <w:sz w:val="28"/>
          <w:szCs w:val="28"/>
          <w:lang w:val="en-US" w:eastAsia="zh-CN"/>
        </w:rPr>
        <w:t>5</w:t>
      </w:r>
      <w:r>
        <w:rPr>
          <w:rFonts w:hint="eastAsia"/>
          <w:color w:val="000000"/>
          <w:sz w:val="28"/>
          <w:szCs w:val="28"/>
        </w:rPr>
        <w:t>]0</w:t>
      </w:r>
      <w:r>
        <w:rPr>
          <w:rFonts w:hint="eastAsia"/>
          <w:color w:val="000000"/>
          <w:sz w:val="28"/>
          <w:szCs w:val="28"/>
          <w:lang w:val="en-US" w:eastAsia="zh-CN"/>
        </w:rPr>
        <w:t>6</w:t>
      </w:r>
      <w:r>
        <w:rPr>
          <w:rFonts w:hint="eastAsia"/>
          <w:color w:val="000000"/>
          <w:sz w:val="28"/>
          <w:szCs w:val="28"/>
        </w:rPr>
        <w:t>5</w:t>
      </w:r>
      <w:r>
        <w:rPr>
          <w:rFonts w:ascii="宋体" w:hAnsi="宋体" w:hint="eastAsia"/>
          <w:color w:val="000000"/>
          <w:sz w:val="28"/>
          <w:szCs w:val="28"/>
        </w:rPr>
        <w:t>号)</w:t>
      </w:r>
      <w:r>
        <w:rPr>
          <w:rFonts w:hint="eastAsia"/>
          <w:color w:val="000000"/>
          <w:sz w:val="28"/>
          <w:szCs w:val="28"/>
        </w:rPr>
        <w:t>，项目环评审批意见详见附件1。</w:t>
      </w:r>
    </w:p>
    <w:p>
      <w:pPr>
        <w:pStyle w:val="-4"/>
        <w:numPr>
          <w:ilvl w:val="0"/>
          <w:numId w:val="0"/>
        </w:numPr>
        <w:snapToGrid/>
        <w:spacing w:before="480" w:beforeLines="200" w:after="120" w:afterLines="50" w:line="360" w:lineRule="auto"/>
        <w:rPr>
          <w:rFonts w:hint="eastAsia"/>
          <w:sz w:val="36"/>
          <w:szCs w:val="36"/>
        </w:rPr>
      </w:pPr>
      <w:bookmarkStart w:id="47" w:name="_Toc457318258"/>
      <w:r>
        <w:rPr>
          <w:rFonts w:hint="eastAsia"/>
          <w:sz w:val="36"/>
          <w:szCs w:val="36"/>
        </w:rPr>
        <w:t xml:space="preserve">第二章  </w:t>
      </w:r>
      <w:bookmarkStart w:id="48" w:name="_Toc273447939"/>
      <w:bookmarkStart w:id="49" w:name="_Toc273447644"/>
      <w:r>
        <w:rPr>
          <w:rFonts w:hint="eastAsia"/>
          <w:sz w:val="36"/>
          <w:szCs w:val="36"/>
        </w:rPr>
        <w:t>企业概况及污染分析</w:t>
      </w:r>
      <w:bookmarkEnd w:id="11"/>
      <w:bookmarkEnd w:id="12"/>
      <w:bookmarkEnd w:id="47"/>
      <w:bookmarkEnd w:id="48"/>
      <w:bookmarkEnd w:id="49"/>
    </w:p>
    <w:p>
      <w:pPr>
        <w:pStyle w:val="-3"/>
        <w:numPr>
          <w:ilvl w:val="1"/>
          <w:numId w:val="0"/>
        </w:numPr>
        <w:tabs>
          <w:tab w:val="left" w:pos="1035"/>
        </w:tabs>
        <w:snapToGrid/>
        <w:spacing w:before="120" w:beforeLines="50" w:after="0" w:afterLines="0" w:line="360" w:lineRule="auto"/>
        <w:ind w:firstLine="588" w:firstLineChars="196"/>
        <w:rPr>
          <w:sz w:val="30"/>
          <w:szCs w:val="30"/>
        </w:rPr>
      </w:pPr>
      <w:bookmarkStart w:id="50" w:name="_Toc457318259"/>
      <w:bookmarkStart w:id="51" w:name="_Toc436059303"/>
      <w:r>
        <w:rPr>
          <w:rFonts w:hint="eastAsia"/>
          <w:sz w:val="30"/>
          <w:szCs w:val="30"/>
        </w:rPr>
        <w:t>一、企业概况</w:t>
      </w:r>
      <w:bookmarkEnd w:id="50"/>
      <w:bookmarkEnd w:id="51"/>
    </w:p>
    <w:p>
      <w:pPr>
        <w:pStyle w:val="1"/>
        <w:spacing w:line="360" w:lineRule="auto"/>
        <w:ind w:firstLine="560" w:firstLineChars="200"/>
        <w:rPr>
          <w:rFonts w:hint="eastAsia"/>
          <w:sz w:val="28"/>
        </w:rPr>
      </w:pPr>
      <w:r>
        <w:rPr>
          <w:rFonts w:hint="eastAsia"/>
          <w:color w:val="000000"/>
          <w:sz w:val="28"/>
          <w:szCs w:val="28"/>
          <w:lang w:eastAsia="zh-CN"/>
        </w:rPr>
        <w:t>嘉利达（平阳）明胶有限公司属外商独资，坐落在平阳县鳌江镇钱仓办事处东江村104国道旁。</w:t>
      </w:r>
      <w:r>
        <w:rPr>
          <w:rFonts w:hint="eastAsia"/>
          <w:color w:val="000000"/>
          <w:sz w:val="28"/>
          <w:szCs w:val="28"/>
        </w:rPr>
        <w:t>企业设计年产1100吨明胶产品，其中药用明胶200吨、食用明胶900吨；副产品工业油脂400吨。实际总投资</w:t>
      </w:r>
      <w:r>
        <w:rPr>
          <w:rFonts w:hint="eastAsia"/>
          <w:color w:val="000000"/>
          <w:sz w:val="28"/>
          <w:szCs w:val="28"/>
          <w:lang w:val="en-US" w:eastAsia="zh-CN"/>
        </w:rPr>
        <w:t>16000</w:t>
      </w:r>
      <w:r>
        <w:rPr>
          <w:rFonts w:hint="eastAsia"/>
          <w:color w:val="000000"/>
          <w:sz w:val="28"/>
          <w:szCs w:val="28"/>
        </w:rPr>
        <w:t>万元。厂区北侧为东江村民房与104国道，东侧为平阳县鑫特气体有限公司与梅溪，南侧为鳌江，西侧为规划建设用地。企业办公楼位于项目</w:t>
      </w:r>
      <w:r>
        <w:rPr>
          <w:rFonts w:hint="eastAsia"/>
          <w:color w:val="000000"/>
          <w:sz w:val="28"/>
          <w:szCs w:val="28"/>
          <w:lang w:eastAsia="zh-CN"/>
        </w:rPr>
        <w:t>北</w:t>
      </w:r>
      <w:r>
        <w:rPr>
          <w:rFonts w:hint="eastAsia"/>
          <w:color w:val="000000"/>
          <w:sz w:val="28"/>
          <w:szCs w:val="28"/>
        </w:rPr>
        <w:t>侧入口附近，厂房四周设有围墙。</w:t>
      </w:r>
      <w:r>
        <w:rPr>
          <w:rFonts w:hAnsi="宋体"/>
          <w:color w:val="000000"/>
          <w:sz w:val="28"/>
          <w:szCs w:val="28"/>
        </w:rPr>
        <w:t>企业现有职工</w:t>
      </w:r>
      <w:r>
        <w:rPr>
          <w:rFonts w:hint="eastAsia"/>
          <w:color w:val="000000"/>
          <w:sz w:val="28"/>
          <w:szCs w:val="28"/>
          <w:lang w:val="en-US" w:eastAsia="zh-CN"/>
        </w:rPr>
        <w:t>130</w:t>
      </w:r>
      <w:r>
        <w:rPr>
          <w:rFonts w:hAnsi="宋体"/>
          <w:color w:val="000000"/>
          <w:sz w:val="28"/>
          <w:szCs w:val="28"/>
        </w:rPr>
        <w:t>人，</w:t>
      </w:r>
      <w:r>
        <w:rPr>
          <w:rFonts w:hAnsi="宋体" w:hint="eastAsia"/>
          <w:color w:val="000000"/>
          <w:sz w:val="28"/>
          <w:szCs w:val="28"/>
        </w:rPr>
        <w:t>厂内</w:t>
      </w:r>
      <w:r>
        <w:rPr>
          <w:rFonts w:hint="eastAsia"/>
          <w:color w:val="000000"/>
          <w:sz w:val="28"/>
          <w:szCs w:val="28"/>
        </w:rPr>
        <w:t>设置食堂，不设</w:t>
      </w:r>
      <w:r>
        <w:rPr>
          <w:rFonts w:hAnsi="宋体" w:hint="eastAsia"/>
          <w:color w:val="000000"/>
          <w:sz w:val="28"/>
          <w:szCs w:val="28"/>
        </w:rPr>
        <w:t>住宿</w:t>
      </w:r>
      <w:r>
        <w:rPr>
          <w:rFonts w:hAnsi="宋体"/>
          <w:color w:val="000000"/>
          <w:sz w:val="28"/>
          <w:szCs w:val="28"/>
        </w:rPr>
        <w:t>，</w:t>
      </w:r>
      <w:r>
        <w:rPr>
          <w:color w:val="000000"/>
          <w:sz w:val="28"/>
          <w:szCs w:val="28"/>
        </w:rPr>
        <w:t>年工作天数约3</w:t>
      </w:r>
      <w:r>
        <w:rPr>
          <w:rFonts w:hint="eastAsia"/>
          <w:color w:val="000000"/>
          <w:sz w:val="28"/>
          <w:szCs w:val="28"/>
          <w:lang w:val="en-US" w:eastAsia="zh-CN"/>
        </w:rPr>
        <w:t>50</w:t>
      </w:r>
      <w:r>
        <w:rPr>
          <w:color w:val="000000"/>
          <w:sz w:val="28"/>
          <w:szCs w:val="28"/>
        </w:rPr>
        <w:t>天</w:t>
      </w:r>
      <w:r>
        <w:rPr>
          <w:rFonts w:hint="eastAsia"/>
          <w:color w:val="000000"/>
          <w:sz w:val="28"/>
          <w:szCs w:val="28"/>
        </w:rPr>
        <w:t>，采用8小时</w:t>
      </w:r>
      <w:r>
        <w:rPr>
          <w:rFonts w:hint="eastAsia"/>
          <w:color w:val="000000"/>
          <w:sz w:val="28"/>
          <w:szCs w:val="28"/>
          <w:lang w:eastAsia="zh-CN"/>
        </w:rPr>
        <w:t>三</w:t>
      </w:r>
      <w:r>
        <w:rPr>
          <w:rFonts w:hint="eastAsia"/>
          <w:color w:val="000000"/>
          <w:sz w:val="28"/>
          <w:szCs w:val="28"/>
        </w:rPr>
        <w:t>班制</w:t>
      </w:r>
      <w:r>
        <w:rPr>
          <w:rFonts w:ascii="宋体" w:hAnsi="宋体" w:hint="eastAsia"/>
          <w:color w:val="000000"/>
          <w:sz w:val="28"/>
          <w:szCs w:val="28"/>
        </w:rPr>
        <w:t>(</w:t>
      </w:r>
      <w:r>
        <w:rPr>
          <w:rFonts w:hint="eastAsia"/>
          <w:color w:val="000000"/>
          <w:sz w:val="28"/>
          <w:szCs w:val="28"/>
        </w:rPr>
        <w:t>24小时连续生产</w:t>
      </w:r>
      <w:r>
        <w:rPr>
          <w:rFonts w:ascii="宋体" w:hAnsi="宋体" w:hint="eastAsia"/>
          <w:color w:val="000000"/>
          <w:sz w:val="28"/>
          <w:szCs w:val="28"/>
        </w:rPr>
        <w:t>)</w:t>
      </w:r>
      <w:r>
        <w:rPr>
          <w:color w:val="000000"/>
          <w:sz w:val="28"/>
          <w:szCs w:val="28"/>
        </w:rPr>
        <w:t>。</w:t>
      </w:r>
      <w:r>
        <w:rPr>
          <w:rFonts w:hint="eastAsia"/>
          <w:color w:val="000000"/>
          <w:sz w:val="28"/>
        </w:rPr>
        <w:t>企业</w:t>
      </w:r>
      <w:r>
        <w:rPr>
          <w:color w:val="000000"/>
          <w:sz w:val="28"/>
        </w:rPr>
        <w:t>项目</w:t>
      </w:r>
      <w:r>
        <w:rPr>
          <w:rFonts w:hint="eastAsia"/>
          <w:color w:val="000000"/>
          <w:sz w:val="28"/>
        </w:rPr>
        <w:t>主要</w:t>
      </w:r>
      <w:r>
        <w:rPr>
          <w:color w:val="000000"/>
          <w:sz w:val="28"/>
        </w:rPr>
        <w:t>原辅材料</w:t>
      </w:r>
      <w:r>
        <w:rPr>
          <w:rFonts w:hint="eastAsia"/>
          <w:color w:val="000000"/>
          <w:sz w:val="28"/>
        </w:rPr>
        <w:t>消耗情况</w:t>
      </w:r>
      <w:r>
        <w:rPr>
          <w:color w:val="000000"/>
          <w:sz w:val="28"/>
        </w:rPr>
        <w:t>见表</w:t>
      </w:r>
      <w:r>
        <w:rPr>
          <w:rFonts w:hint="eastAsia"/>
          <w:color w:val="000000"/>
          <w:sz w:val="28"/>
        </w:rPr>
        <w:t>3</w:t>
      </w:r>
      <w:r>
        <w:rPr>
          <w:rFonts w:hint="eastAsia"/>
          <w:color w:val="000000"/>
          <w:spacing w:val="-40"/>
          <w:sz w:val="28"/>
        </w:rPr>
        <w:t>，</w:t>
      </w:r>
      <w:r>
        <w:rPr>
          <w:color w:val="000000"/>
          <w:sz w:val="28"/>
        </w:rPr>
        <w:t>主要生产设备见表</w:t>
      </w:r>
      <w:r>
        <w:rPr>
          <w:rFonts w:hint="eastAsia"/>
          <w:color w:val="000000"/>
          <w:sz w:val="28"/>
        </w:rPr>
        <w:t>4</w:t>
      </w:r>
      <w:r>
        <w:rPr>
          <w:color w:val="000000"/>
          <w:spacing w:val="-40"/>
          <w:sz w:val="28"/>
        </w:rPr>
        <w:t>。</w:t>
      </w:r>
    </w:p>
    <w:p>
      <w:pPr>
        <w:spacing w:after="24" w:afterLines="10"/>
        <w:jc w:val="center"/>
        <w:rPr>
          <w:rFonts w:ascii="仿宋_GB2312" w:eastAsia="仿宋_GB2312" w:hint="eastAsia"/>
          <w:sz w:val="28"/>
        </w:rPr>
      </w:pPr>
      <w:r>
        <w:rPr>
          <w:rFonts w:ascii="仿宋_GB2312" w:eastAsia="仿宋_GB2312" w:hint="eastAsia"/>
          <w:bCs/>
          <w:sz w:val="28"/>
          <w:szCs w:val="28"/>
        </w:rPr>
        <w:t xml:space="preserve">表3  </w:t>
      </w:r>
      <w:r>
        <w:rPr>
          <w:rFonts w:ascii="仿宋_GB2312" w:eastAsia="仿宋_GB2312" w:hint="eastAsia"/>
          <w:sz w:val="28"/>
        </w:rPr>
        <w:t>主要原辅材料消耗情况表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47"/>
        <w:gridCol w:w="1299"/>
        <w:gridCol w:w="1367"/>
        <w:gridCol w:w="1203"/>
        <w:gridCol w:w="1084"/>
        <w:gridCol w:w="236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97"/>
          <w:jc w:val="center"/>
        </w:trPr>
        <w:tc>
          <w:tcPr>
            <w:tcW w:w="747" w:type="dxa"/>
            <w:vAlign w:val="center"/>
          </w:tcPr>
          <w:p>
            <w:pPr>
              <w:jc w:val="center"/>
              <w:rPr>
                <w:color w:val="auto"/>
                <w:szCs w:val="21"/>
              </w:rPr>
            </w:pPr>
            <w:r>
              <w:rPr>
                <w:rFonts w:hAnsi="Arial"/>
                <w:color w:val="auto"/>
                <w:szCs w:val="21"/>
              </w:rPr>
              <w:t>类别</w:t>
            </w:r>
          </w:p>
        </w:tc>
        <w:tc>
          <w:tcPr>
            <w:tcW w:w="1299" w:type="dxa"/>
            <w:vAlign w:val="center"/>
          </w:tcPr>
          <w:p>
            <w:pPr>
              <w:jc w:val="center"/>
              <w:rPr>
                <w:color w:val="auto"/>
                <w:szCs w:val="21"/>
              </w:rPr>
            </w:pPr>
            <w:r>
              <w:rPr>
                <w:rFonts w:hAnsi="Arial"/>
                <w:color w:val="auto"/>
                <w:szCs w:val="21"/>
              </w:rPr>
              <w:t>名称</w:t>
            </w:r>
          </w:p>
        </w:tc>
        <w:tc>
          <w:tcPr>
            <w:tcW w:w="1367" w:type="dxa"/>
            <w:vAlign w:val="center"/>
          </w:tcPr>
          <w:p>
            <w:pPr>
              <w:jc w:val="center"/>
              <w:rPr>
                <w:color w:val="auto"/>
                <w:szCs w:val="21"/>
              </w:rPr>
            </w:pPr>
            <w:r>
              <w:rPr>
                <w:rFonts w:hAnsi="Arial"/>
                <w:color w:val="auto"/>
                <w:szCs w:val="21"/>
              </w:rPr>
              <w:t>规格组成</w:t>
            </w:r>
          </w:p>
        </w:tc>
        <w:tc>
          <w:tcPr>
            <w:tcW w:w="1203" w:type="dxa"/>
            <w:vAlign w:val="center"/>
          </w:tcPr>
          <w:p>
            <w:pPr>
              <w:jc w:val="center"/>
              <w:rPr>
                <w:color w:val="auto"/>
                <w:szCs w:val="21"/>
              </w:rPr>
            </w:pPr>
            <w:r>
              <w:rPr>
                <w:rFonts w:hAnsi="Arial" w:hint="eastAsia"/>
                <w:color w:val="auto"/>
                <w:szCs w:val="21"/>
                <w:lang w:val="en-US" w:eastAsia="zh-CN"/>
              </w:rPr>
              <w:t>环评用量</w:t>
            </w:r>
          </w:p>
        </w:tc>
        <w:tc>
          <w:tcPr>
            <w:tcW w:w="1084" w:type="dxa"/>
            <w:vAlign w:val="center"/>
          </w:tcPr>
          <w:p>
            <w:pPr>
              <w:jc w:val="center"/>
              <w:rPr>
                <w:rFonts w:eastAsia="宋体" w:hint="eastAsia"/>
                <w:color w:val="auto"/>
                <w:szCs w:val="21"/>
              </w:rPr>
            </w:pPr>
            <w:r>
              <w:rPr>
                <w:rFonts w:hint="eastAsia"/>
                <w:color w:val="auto"/>
                <w:szCs w:val="21"/>
                <w:lang w:val="en-US" w:eastAsia="zh-CN"/>
              </w:rPr>
              <w:t>实际用量</w:t>
            </w:r>
          </w:p>
        </w:tc>
        <w:tc>
          <w:tcPr>
            <w:tcW w:w="2369" w:type="dxa"/>
            <w:vAlign w:val="center"/>
          </w:tcPr>
          <w:p>
            <w:pPr>
              <w:jc w:val="center"/>
              <w:rPr>
                <w:color w:val="auto"/>
                <w:szCs w:val="21"/>
              </w:rPr>
            </w:pPr>
            <w:r>
              <w:rPr>
                <w:rFonts w:hAnsi="Arial"/>
                <w:color w:val="auto"/>
                <w:szCs w:val="21"/>
              </w:rPr>
              <w:t>备注</w:t>
            </w:r>
          </w:p>
        </w:tc>
      </w:tr>
      <w:tr>
        <w:tblPrEx>
          <w:tblW w:w="0" w:type="auto"/>
          <w:jc w:val="center"/>
          <w:tblLayout w:type="fixed"/>
          <w:tblCellMar>
            <w:top w:w="0" w:type="dxa"/>
            <w:left w:w="108" w:type="dxa"/>
            <w:bottom w:w="0" w:type="dxa"/>
            <w:right w:w="108" w:type="dxa"/>
          </w:tblCellMar>
          <w:tblLook w:val="0000"/>
        </w:tblPrEx>
        <w:trPr>
          <w:trHeight w:val="397"/>
          <w:jc w:val="center"/>
        </w:trPr>
        <w:tc>
          <w:tcPr>
            <w:tcW w:w="747" w:type="dxa"/>
            <w:vMerge w:val="restart"/>
            <w:vAlign w:val="center"/>
          </w:tcPr>
          <w:p>
            <w:pPr>
              <w:jc w:val="center"/>
              <w:rPr>
                <w:color w:val="auto"/>
                <w:szCs w:val="21"/>
              </w:rPr>
            </w:pPr>
            <w:r>
              <w:rPr>
                <w:rFonts w:hAnsi="Arial"/>
                <w:color w:val="auto"/>
                <w:szCs w:val="21"/>
              </w:rPr>
              <w:t>原辅</w:t>
            </w:r>
          </w:p>
          <w:p>
            <w:pPr>
              <w:jc w:val="center"/>
              <w:rPr>
                <w:color w:val="auto"/>
                <w:szCs w:val="21"/>
              </w:rPr>
            </w:pPr>
            <w:r>
              <w:rPr>
                <w:rFonts w:hAnsi="Arial"/>
                <w:color w:val="auto"/>
                <w:szCs w:val="21"/>
              </w:rPr>
              <w:t>材料</w:t>
            </w:r>
          </w:p>
        </w:tc>
        <w:tc>
          <w:tcPr>
            <w:tcW w:w="1299" w:type="dxa"/>
            <w:vAlign w:val="center"/>
          </w:tcPr>
          <w:p>
            <w:pPr>
              <w:jc w:val="center"/>
              <w:rPr>
                <w:color w:val="auto"/>
                <w:szCs w:val="21"/>
              </w:rPr>
            </w:pPr>
            <w:r>
              <w:rPr>
                <w:rFonts w:hAnsi="Arial"/>
                <w:color w:val="auto"/>
                <w:szCs w:val="21"/>
              </w:rPr>
              <w:t>原材料</w:t>
            </w:r>
            <w:r>
              <w:rPr>
                <w:color w:val="auto"/>
                <w:szCs w:val="21"/>
              </w:rPr>
              <w:t>(</w:t>
            </w:r>
            <w:r>
              <w:rPr>
                <w:rFonts w:hAnsi="Arial"/>
                <w:color w:val="auto"/>
                <w:szCs w:val="21"/>
              </w:rPr>
              <w:t>皮</w:t>
            </w:r>
            <w:r>
              <w:rPr>
                <w:color w:val="auto"/>
                <w:szCs w:val="21"/>
              </w:rPr>
              <w:t>)</w:t>
            </w:r>
          </w:p>
        </w:tc>
        <w:tc>
          <w:tcPr>
            <w:tcW w:w="1367" w:type="dxa"/>
            <w:vAlign w:val="center"/>
          </w:tcPr>
          <w:p>
            <w:pPr>
              <w:jc w:val="center"/>
              <w:rPr>
                <w:rFonts w:hint="eastAsia"/>
                <w:color w:val="auto"/>
                <w:szCs w:val="21"/>
              </w:rPr>
            </w:pPr>
            <w:r>
              <w:rPr>
                <w:rFonts w:hAnsi="Arial" w:hint="eastAsia"/>
                <w:color w:val="auto"/>
                <w:szCs w:val="21"/>
              </w:rPr>
              <w:t>新鲜</w:t>
            </w:r>
            <w:r>
              <w:rPr>
                <w:rFonts w:hAnsi="Arial"/>
                <w:color w:val="auto"/>
                <w:szCs w:val="21"/>
              </w:rPr>
              <w:t>猪皮</w:t>
            </w:r>
            <w:r>
              <w:rPr>
                <w:rFonts w:hAnsi="Arial" w:hint="eastAsia"/>
                <w:color w:val="auto"/>
                <w:szCs w:val="21"/>
              </w:rPr>
              <w:t>、牛皮</w:t>
            </w:r>
          </w:p>
        </w:tc>
        <w:tc>
          <w:tcPr>
            <w:tcW w:w="1203" w:type="dxa"/>
            <w:vAlign w:val="center"/>
          </w:tcPr>
          <w:p>
            <w:pPr>
              <w:jc w:val="center"/>
              <w:rPr>
                <w:color w:val="auto"/>
                <w:szCs w:val="21"/>
              </w:rPr>
            </w:pPr>
            <w:r>
              <w:rPr>
                <w:rFonts w:hint="eastAsia"/>
                <w:color w:val="auto"/>
                <w:szCs w:val="21"/>
              </w:rPr>
              <w:t>40000</w:t>
            </w:r>
            <w:r>
              <w:rPr>
                <w:color w:val="auto"/>
                <w:szCs w:val="21"/>
              </w:rPr>
              <w:t>t</w:t>
            </w:r>
          </w:p>
        </w:tc>
        <w:tc>
          <w:tcPr>
            <w:tcW w:w="1084" w:type="dxa"/>
            <w:vAlign w:val="center"/>
          </w:tcPr>
          <w:p>
            <w:pPr>
              <w:jc w:val="center"/>
              <w:rPr>
                <w:rFonts w:eastAsia="宋体" w:hint="eastAsia"/>
                <w:color w:val="auto"/>
                <w:szCs w:val="21"/>
              </w:rPr>
            </w:pPr>
            <w:r>
              <w:rPr>
                <w:rFonts w:hint="eastAsia"/>
                <w:color w:val="auto"/>
                <w:szCs w:val="21"/>
                <w:lang w:val="en-US" w:eastAsia="zh-CN"/>
              </w:rPr>
              <w:t>30222</w:t>
            </w:r>
            <w:r>
              <w:rPr>
                <w:rFonts w:hint="eastAsia"/>
                <w:color w:val="auto"/>
                <w:szCs w:val="21"/>
              </w:rPr>
              <w:t>t</w:t>
            </w:r>
          </w:p>
        </w:tc>
        <w:tc>
          <w:tcPr>
            <w:tcW w:w="2369" w:type="dxa"/>
            <w:vAlign w:val="center"/>
          </w:tcPr>
          <w:p>
            <w:pPr>
              <w:jc w:val="center"/>
              <w:rPr>
                <w:color w:val="auto"/>
                <w:szCs w:val="21"/>
              </w:rPr>
            </w:pPr>
            <w:r>
              <w:rPr>
                <w:rFonts w:hAnsi="Arial"/>
                <w:color w:val="auto"/>
                <w:szCs w:val="21"/>
              </w:rPr>
              <w:t>冷库储存，汽运</w:t>
            </w:r>
          </w:p>
        </w:tc>
      </w:tr>
      <w:tr>
        <w:tblPrEx>
          <w:tblW w:w="0" w:type="auto"/>
          <w:jc w:val="center"/>
          <w:tblLayout w:type="fixed"/>
          <w:tblCellMar>
            <w:top w:w="0" w:type="dxa"/>
            <w:left w:w="108" w:type="dxa"/>
            <w:bottom w:w="0" w:type="dxa"/>
            <w:right w:w="108" w:type="dxa"/>
          </w:tblCellMar>
          <w:tblLook w:val="0000"/>
        </w:tblPrEx>
        <w:trPr>
          <w:trHeight w:val="397"/>
          <w:jc w:val="center"/>
        </w:trPr>
        <w:tc>
          <w:tcPr>
            <w:tcW w:w="747" w:type="dxa"/>
            <w:vMerge/>
            <w:vAlign w:val="center"/>
          </w:tcPr>
          <w:p>
            <w:pPr>
              <w:jc w:val="center"/>
              <w:rPr>
                <w:color w:val="auto"/>
                <w:szCs w:val="21"/>
              </w:rPr>
            </w:pPr>
          </w:p>
        </w:tc>
        <w:tc>
          <w:tcPr>
            <w:tcW w:w="1299" w:type="dxa"/>
            <w:vAlign w:val="center"/>
          </w:tcPr>
          <w:p>
            <w:pPr>
              <w:jc w:val="center"/>
              <w:rPr>
                <w:color w:val="auto"/>
                <w:szCs w:val="21"/>
              </w:rPr>
            </w:pPr>
            <w:r>
              <w:rPr>
                <w:rFonts w:hAnsi="Arial"/>
                <w:color w:val="auto"/>
                <w:szCs w:val="21"/>
              </w:rPr>
              <w:t>硫酸</w:t>
            </w:r>
          </w:p>
        </w:tc>
        <w:tc>
          <w:tcPr>
            <w:tcW w:w="1367" w:type="dxa"/>
            <w:vAlign w:val="center"/>
          </w:tcPr>
          <w:p>
            <w:pPr>
              <w:jc w:val="center"/>
              <w:rPr>
                <w:color w:val="auto"/>
                <w:szCs w:val="21"/>
              </w:rPr>
            </w:pPr>
            <w:r>
              <w:rPr>
                <w:color w:val="auto"/>
                <w:szCs w:val="21"/>
              </w:rPr>
              <w:t>98%</w:t>
            </w:r>
          </w:p>
        </w:tc>
        <w:tc>
          <w:tcPr>
            <w:tcW w:w="1203" w:type="dxa"/>
            <w:vAlign w:val="center"/>
          </w:tcPr>
          <w:p>
            <w:pPr>
              <w:jc w:val="center"/>
              <w:rPr>
                <w:color w:val="auto"/>
                <w:szCs w:val="21"/>
              </w:rPr>
            </w:pPr>
            <w:r>
              <w:rPr>
                <w:rFonts w:hint="eastAsia"/>
                <w:color w:val="auto"/>
                <w:szCs w:val="21"/>
              </w:rPr>
              <w:t>2500</w:t>
            </w:r>
            <w:r>
              <w:rPr>
                <w:color w:val="auto"/>
                <w:szCs w:val="21"/>
              </w:rPr>
              <w:t>t</w:t>
            </w:r>
          </w:p>
        </w:tc>
        <w:tc>
          <w:tcPr>
            <w:tcW w:w="1084" w:type="dxa"/>
            <w:vAlign w:val="center"/>
          </w:tcPr>
          <w:p>
            <w:pPr>
              <w:jc w:val="center"/>
              <w:rPr>
                <w:rFonts w:eastAsia="宋体" w:hint="eastAsia"/>
                <w:color w:val="auto"/>
                <w:szCs w:val="21"/>
              </w:rPr>
            </w:pPr>
            <w:r>
              <w:rPr>
                <w:rFonts w:hint="eastAsia"/>
                <w:color w:val="auto"/>
                <w:szCs w:val="21"/>
                <w:lang w:val="en-US" w:eastAsia="zh-CN"/>
              </w:rPr>
              <w:t>1888</w:t>
            </w:r>
            <w:r>
              <w:rPr>
                <w:rFonts w:hint="eastAsia"/>
                <w:color w:val="auto"/>
                <w:szCs w:val="21"/>
              </w:rPr>
              <w:t>t</w:t>
            </w:r>
          </w:p>
        </w:tc>
        <w:tc>
          <w:tcPr>
            <w:tcW w:w="2369" w:type="dxa"/>
            <w:vAlign w:val="center"/>
          </w:tcPr>
          <w:p>
            <w:pPr>
              <w:jc w:val="center"/>
              <w:rPr>
                <w:color w:val="auto"/>
                <w:szCs w:val="21"/>
              </w:rPr>
            </w:pPr>
            <w:r>
              <w:rPr>
                <w:rFonts w:hint="eastAsia"/>
                <w:color w:val="auto"/>
                <w:szCs w:val="21"/>
              </w:rPr>
              <w:t>25</w:t>
            </w:r>
            <w:r>
              <w:rPr>
                <w:color w:val="auto"/>
                <w:szCs w:val="21"/>
              </w:rPr>
              <w:t>m</w:t>
            </w:r>
            <w:r>
              <w:rPr>
                <w:color w:val="auto"/>
                <w:szCs w:val="21"/>
                <w:vertAlign w:val="superscript"/>
              </w:rPr>
              <w:t>3</w:t>
            </w:r>
            <w:r>
              <w:rPr>
                <w:rFonts w:hAnsi="Arial"/>
                <w:color w:val="auto"/>
                <w:szCs w:val="21"/>
              </w:rPr>
              <w:t>储罐，汽运</w:t>
            </w:r>
          </w:p>
        </w:tc>
      </w:tr>
      <w:tr>
        <w:tblPrEx>
          <w:tblW w:w="0" w:type="auto"/>
          <w:jc w:val="center"/>
          <w:tblLayout w:type="fixed"/>
          <w:tblCellMar>
            <w:top w:w="0" w:type="dxa"/>
            <w:left w:w="108" w:type="dxa"/>
            <w:bottom w:w="0" w:type="dxa"/>
            <w:right w:w="108" w:type="dxa"/>
          </w:tblCellMar>
          <w:tblLook w:val="0000"/>
        </w:tblPrEx>
        <w:trPr>
          <w:trHeight w:val="397"/>
          <w:jc w:val="center"/>
        </w:trPr>
        <w:tc>
          <w:tcPr>
            <w:tcW w:w="747" w:type="dxa"/>
            <w:vMerge/>
            <w:vAlign w:val="center"/>
          </w:tcPr>
          <w:p>
            <w:pPr>
              <w:jc w:val="center"/>
              <w:rPr>
                <w:color w:val="auto"/>
                <w:szCs w:val="21"/>
              </w:rPr>
            </w:pPr>
          </w:p>
        </w:tc>
        <w:tc>
          <w:tcPr>
            <w:tcW w:w="1299" w:type="dxa"/>
            <w:vAlign w:val="center"/>
          </w:tcPr>
          <w:p>
            <w:pPr>
              <w:jc w:val="center"/>
              <w:rPr>
                <w:rFonts w:hAnsi="Arial"/>
                <w:color w:val="auto"/>
                <w:szCs w:val="21"/>
              </w:rPr>
            </w:pPr>
            <w:r>
              <w:rPr>
                <w:rFonts w:hAnsi="Arial" w:hint="eastAsia"/>
                <w:color w:val="auto"/>
                <w:szCs w:val="21"/>
              </w:rPr>
              <w:t>盐酸</w:t>
            </w:r>
          </w:p>
        </w:tc>
        <w:tc>
          <w:tcPr>
            <w:tcW w:w="1367" w:type="dxa"/>
            <w:vAlign w:val="center"/>
          </w:tcPr>
          <w:p>
            <w:pPr>
              <w:jc w:val="center"/>
              <w:rPr>
                <w:color w:val="auto"/>
                <w:szCs w:val="21"/>
              </w:rPr>
            </w:pPr>
            <w:r>
              <w:rPr>
                <w:rFonts w:hint="eastAsia"/>
                <w:color w:val="auto"/>
                <w:szCs w:val="21"/>
              </w:rPr>
              <w:t>31%</w:t>
            </w:r>
          </w:p>
        </w:tc>
        <w:tc>
          <w:tcPr>
            <w:tcW w:w="1203" w:type="dxa"/>
            <w:vAlign w:val="center"/>
          </w:tcPr>
          <w:p>
            <w:pPr>
              <w:jc w:val="center"/>
              <w:rPr>
                <w:rFonts w:hint="eastAsia"/>
                <w:color w:val="auto"/>
                <w:szCs w:val="21"/>
              </w:rPr>
            </w:pPr>
            <w:r>
              <w:rPr>
                <w:rFonts w:hint="eastAsia"/>
                <w:color w:val="auto"/>
                <w:szCs w:val="21"/>
              </w:rPr>
              <w:t>350t</w:t>
            </w:r>
          </w:p>
        </w:tc>
        <w:tc>
          <w:tcPr>
            <w:tcW w:w="1084" w:type="dxa"/>
            <w:vAlign w:val="center"/>
          </w:tcPr>
          <w:p>
            <w:pPr>
              <w:jc w:val="center"/>
              <w:rPr>
                <w:rFonts w:eastAsia="宋体" w:hint="eastAsia"/>
                <w:color w:val="auto"/>
                <w:szCs w:val="21"/>
              </w:rPr>
            </w:pPr>
            <w:r>
              <w:rPr>
                <w:rFonts w:hint="eastAsia"/>
                <w:color w:val="auto"/>
                <w:szCs w:val="21"/>
                <w:lang w:val="en-US" w:eastAsia="zh-CN"/>
              </w:rPr>
              <w:t>264</w:t>
            </w:r>
            <w:r>
              <w:rPr>
                <w:rFonts w:hint="eastAsia"/>
                <w:color w:val="auto"/>
                <w:szCs w:val="21"/>
              </w:rPr>
              <w:t>t</w:t>
            </w:r>
          </w:p>
        </w:tc>
        <w:tc>
          <w:tcPr>
            <w:tcW w:w="2369" w:type="dxa"/>
            <w:vAlign w:val="center"/>
          </w:tcPr>
          <w:p>
            <w:pPr>
              <w:jc w:val="center"/>
              <w:rPr>
                <w:rFonts w:hint="eastAsia"/>
                <w:color w:val="auto"/>
                <w:szCs w:val="21"/>
              </w:rPr>
            </w:pPr>
            <w:bookmarkStart w:id="52" w:name="OLE_LINK3"/>
            <w:r>
              <w:rPr>
                <w:rFonts w:hint="eastAsia"/>
                <w:color w:val="auto"/>
                <w:szCs w:val="21"/>
              </w:rPr>
              <w:t>15</w:t>
            </w:r>
            <w:r>
              <w:rPr>
                <w:color w:val="auto"/>
                <w:szCs w:val="21"/>
              </w:rPr>
              <w:t>m</w:t>
            </w:r>
            <w:r>
              <w:rPr>
                <w:color w:val="auto"/>
                <w:szCs w:val="21"/>
                <w:vertAlign w:val="superscript"/>
              </w:rPr>
              <w:t>3</w:t>
            </w:r>
            <w:r>
              <w:rPr>
                <w:rFonts w:hAnsi="Arial"/>
                <w:color w:val="auto"/>
                <w:szCs w:val="21"/>
              </w:rPr>
              <w:t>储罐，汽运</w:t>
            </w:r>
            <w:bookmarkEnd w:id="52"/>
          </w:p>
        </w:tc>
      </w:tr>
      <w:tr>
        <w:tblPrEx>
          <w:tblW w:w="0" w:type="auto"/>
          <w:jc w:val="center"/>
          <w:tblLayout w:type="fixed"/>
          <w:tblCellMar>
            <w:top w:w="0" w:type="dxa"/>
            <w:left w:w="108" w:type="dxa"/>
            <w:bottom w:w="0" w:type="dxa"/>
            <w:right w:w="108" w:type="dxa"/>
          </w:tblCellMar>
          <w:tblLook w:val="0000"/>
        </w:tblPrEx>
        <w:trPr>
          <w:trHeight w:val="397"/>
          <w:jc w:val="center"/>
        </w:trPr>
        <w:tc>
          <w:tcPr>
            <w:tcW w:w="747" w:type="dxa"/>
            <w:vMerge/>
            <w:vAlign w:val="center"/>
          </w:tcPr>
          <w:p>
            <w:pPr>
              <w:jc w:val="center"/>
              <w:rPr>
                <w:color w:val="auto"/>
                <w:szCs w:val="21"/>
              </w:rPr>
            </w:pPr>
          </w:p>
        </w:tc>
        <w:tc>
          <w:tcPr>
            <w:tcW w:w="1299" w:type="dxa"/>
            <w:vAlign w:val="center"/>
          </w:tcPr>
          <w:p>
            <w:pPr>
              <w:jc w:val="center"/>
              <w:rPr>
                <w:color w:val="auto"/>
                <w:szCs w:val="21"/>
              </w:rPr>
            </w:pPr>
            <w:r>
              <w:rPr>
                <w:rFonts w:hAnsi="Arial"/>
                <w:color w:val="auto"/>
                <w:szCs w:val="21"/>
              </w:rPr>
              <w:t>液碱</w:t>
            </w:r>
          </w:p>
        </w:tc>
        <w:tc>
          <w:tcPr>
            <w:tcW w:w="1367" w:type="dxa"/>
            <w:vAlign w:val="center"/>
          </w:tcPr>
          <w:p>
            <w:pPr>
              <w:jc w:val="center"/>
              <w:rPr>
                <w:color w:val="auto"/>
                <w:szCs w:val="21"/>
              </w:rPr>
            </w:pPr>
            <w:r>
              <w:rPr>
                <w:rFonts w:hint="eastAsia"/>
                <w:color w:val="auto"/>
                <w:szCs w:val="21"/>
              </w:rPr>
              <w:t>/</w:t>
            </w:r>
          </w:p>
        </w:tc>
        <w:tc>
          <w:tcPr>
            <w:tcW w:w="1203" w:type="dxa"/>
            <w:vAlign w:val="center"/>
          </w:tcPr>
          <w:p>
            <w:pPr>
              <w:jc w:val="center"/>
              <w:rPr>
                <w:color w:val="auto"/>
                <w:szCs w:val="21"/>
              </w:rPr>
            </w:pPr>
            <w:r>
              <w:rPr>
                <w:rFonts w:hint="eastAsia"/>
                <w:color w:val="auto"/>
                <w:szCs w:val="21"/>
              </w:rPr>
              <w:t>4000</w:t>
            </w:r>
            <w:r>
              <w:rPr>
                <w:color w:val="auto"/>
                <w:szCs w:val="21"/>
              </w:rPr>
              <w:t>t</w:t>
            </w:r>
          </w:p>
        </w:tc>
        <w:tc>
          <w:tcPr>
            <w:tcW w:w="1084" w:type="dxa"/>
            <w:vAlign w:val="center"/>
          </w:tcPr>
          <w:p>
            <w:pPr>
              <w:jc w:val="center"/>
              <w:rPr>
                <w:rFonts w:eastAsia="宋体" w:hint="eastAsia"/>
                <w:color w:val="auto"/>
                <w:szCs w:val="21"/>
              </w:rPr>
            </w:pPr>
            <w:r>
              <w:rPr>
                <w:rFonts w:hint="eastAsia"/>
                <w:color w:val="auto"/>
                <w:szCs w:val="21"/>
                <w:lang w:val="en-US" w:eastAsia="zh-CN"/>
              </w:rPr>
              <w:t>3022</w:t>
            </w:r>
            <w:r>
              <w:rPr>
                <w:rFonts w:hint="eastAsia"/>
                <w:color w:val="auto"/>
                <w:szCs w:val="21"/>
              </w:rPr>
              <w:t>t</w:t>
            </w:r>
          </w:p>
        </w:tc>
        <w:tc>
          <w:tcPr>
            <w:tcW w:w="2369" w:type="dxa"/>
            <w:vAlign w:val="center"/>
          </w:tcPr>
          <w:p>
            <w:pPr>
              <w:jc w:val="center"/>
              <w:rPr>
                <w:color w:val="auto"/>
                <w:szCs w:val="21"/>
              </w:rPr>
            </w:pPr>
            <w:r>
              <w:rPr>
                <w:color w:val="auto"/>
                <w:szCs w:val="21"/>
              </w:rPr>
              <w:t>25m</w:t>
            </w:r>
            <w:r>
              <w:rPr>
                <w:color w:val="auto"/>
                <w:szCs w:val="21"/>
                <w:vertAlign w:val="superscript"/>
              </w:rPr>
              <w:t>3</w:t>
            </w:r>
            <w:r>
              <w:rPr>
                <w:rFonts w:ascii="Arial" w:hAnsi="Arial"/>
                <w:color w:val="auto"/>
                <w:szCs w:val="21"/>
              </w:rPr>
              <w:t>储罐，</w:t>
            </w:r>
            <w:r>
              <w:rPr>
                <w:rFonts w:ascii="Arial" w:hAnsi="Arial" w:cs="Arial" w:hint="eastAsia"/>
                <w:color w:val="auto"/>
                <w:szCs w:val="21"/>
              </w:rPr>
              <w:t>汽运</w:t>
            </w:r>
          </w:p>
        </w:tc>
      </w:tr>
      <w:tr>
        <w:tblPrEx>
          <w:tblW w:w="0" w:type="auto"/>
          <w:jc w:val="center"/>
          <w:tblLayout w:type="fixed"/>
          <w:tblCellMar>
            <w:top w:w="0" w:type="dxa"/>
            <w:left w:w="108" w:type="dxa"/>
            <w:bottom w:w="0" w:type="dxa"/>
            <w:right w:w="108" w:type="dxa"/>
          </w:tblCellMar>
          <w:tblLook w:val="0000"/>
        </w:tblPrEx>
        <w:trPr>
          <w:trHeight w:val="397"/>
          <w:jc w:val="center"/>
        </w:trPr>
        <w:tc>
          <w:tcPr>
            <w:tcW w:w="747" w:type="dxa"/>
            <w:vMerge/>
            <w:vAlign w:val="center"/>
          </w:tcPr>
          <w:p>
            <w:pPr>
              <w:jc w:val="center"/>
              <w:rPr>
                <w:color w:val="auto"/>
                <w:szCs w:val="21"/>
              </w:rPr>
            </w:pPr>
          </w:p>
        </w:tc>
        <w:tc>
          <w:tcPr>
            <w:tcW w:w="1299" w:type="dxa"/>
            <w:vAlign w:val="center"/>
          </w:tcPr>
          <w:p>
            <w:pPr>
              <w:jc w:val="center"/>
              <w:rPr>
                <w:rFonts w:hAnsi="Arial" w:hint="eastAsia"/>
                <w:color w:val="auto"/>
                <w:szCs w:val="21"/>
              </w:rPr>
            </w:pPr>
            <w:r>
              <w:rPr>
                <w:rFonts w:hAnsi="Arial" w:hint="eastAsia"/>
                <w:color w:val="auto"/>
                <w:szCs w:val="21"/>
              </w:rPr>
              <w:t>双氧水</w:t>
            </w:r>
          </w:p>
        </w:tc>
        <w:tc>
          <w:tcPr>
            <w:tcW w:w="1367" w:type="dxa"/>
            <w:vAlign w:val="center"/>
          </w:tcPr>
          <w:p>
            <w:pPr>
              <w:jc w:val="center"/>
              <w:rPr>
                <w:rFonts w:hint="eastAsia"/>
                <w:color w:val="auto"/>
                <w:szCs w:val="21"/>
              </w:rPr>
            </w:pPr>
            <w:r>
              <w:rPr>
                <w:rFonts w:hAnsi="Arial" w:hint="eastAsia"/>
                <w:color w:val="auto"/>
                <w:szCs w:val="21"/>
              </w:rPr>
              <w:t>27.5%</w:t>
            </w:r>
          </w:p>
        </w:tc>
        <w:tc>
          <w:tcPr>
            <w:tcW w:w="1203" w:type="dxa"/>
            <w:vAlign w:val="center"/>
          </w:tcPr>
          <w:p>
            <w:pPr>
              <w:jc w:val="center"/>
              <w:rPr>
                <w:rFonts w:hint="eastAsia"/>
                <w:color w:val="auto"/>
                <w:szCs w:val="21"/>
              </w:rPr>
            </w:pPr>
            <w:r>
              <w:rPr>
                <w:rFonts w:hint="eastAsia"/>
                <w:color w:val="auto"/>
                <w:szCs w:val="21"/>
              </w:rPr>
              <w:t>800t</w:t>
            </w:r>
          </w:p>
        </w:tc>
        <w:tc>
          <w:tcPr>
            <w:tcW w:w="1084" w:type="dxa"/>
            <w:vAlign w:val="center"/>
          </w:tcPr>
          <w:p>
            <w:pPr>
              <w:jc w:val="center"/>
              <w:rPr>
                <w:rFonts w:eastAsia="宋体" w:hint="eastAsia"/>
                <w:color w:val="auto"/>
                <w:szCs w:val="21"/>
              </w:rPr>
            </w:pPr>
            <w:r>
              <w:rPr>
                <w:rFonts w:hint="eastAsia"/>
                <w:color w:val="auto"/>
                <w:szCs w:val="21"/>
                <w:lang w:val="en-US" w:eastAsia="zh-CN"/>
              </w:rPr>
              <w:t>600</w:t>
            </w:r>
            <w:r>
              <w:rPr>
                <w:rFonts w:hint="eastAsia"/>
                <w:color w:val="auto"/>
                <w:szCs w:val="21"/>
              </w:rPr>
              <w:t>t</w:t>
            </w:r>
          </w:p>
        </w:tc>
        <w:tc>
          <w:tcPr>
            <w:tcW w:w="2369" w:type="dxa"/>
            <w:vAlign w:val="center"/>
          </w:tcPr>
          <w:p>
            <w:pPr>
              <w:jc w:val="center"/>
              <w:rPr>
                <w:rFonts w:hAnsi="Arial"/>
                <w:color w:val="auto"/>
                <w:szCs w:val="21"/>
              </w:rPr>
            </w:pPr>
            <w:r>
              <w:rPr>
                <w:rFonts w:hint="eastAsia"/>
                <w:color w:val="auto"/>
                <w:szCs w:val="21"/>
              </w:rPr>
              <w:t>15</w:t>
            </w:r>
            <w:r>
              <w:rPr>
                <w:color w:val="auto"/>
                <w:szCs w:val="21"/>
              </w:rPr>
              <w:t>m</w:t>
            </w:r>
            <w:r>
              <w:rPr>
                <w:color w:val="auto"/>
                <w:szCs w:val="21"/>
                <w:vertAlign w:val="superscript"/>
              </w:rPr>
              <w:t>3</w:t>
            </w:r>
            <w:r>
              <w:rPr>
                <w:rFonts w:hAnsi="Arial"/>
                <w:color w:val="auto"/>
                <w:szCs w:val="21"/>
              </w:rPr>
              <w:t>储罐，汽运</w:t>
            </w:r>
          </w:p>
        </w:tc>
      </w:tr>
      <w:tr>
        <w:tblPrEx>
          <w:tblW w:w="0" w:type="auto"/>
          <w:jc w:val="center"/>
          <w:tblLayout w:type="fixed"/>
          <w:tblCellMar>
            <w:top w:w="0" w:type="dxa"/>
            <w:left w:w="108" w:type="dxa"/>
            <w:bottom w:w="0" w:type="dxa"/>
            <w:right w:w="108" w:type="dxa"/>
          </w:tblCellMar>
          <w:tblLook w:val="0000"/>
        </w:tblPrEx>
        <w:trPr>
          <w:trHeight w:val="397"/>
          <w:jc w:val="center"/>
        </w:trPr>
        <w:tc>
          <w:tcPr>
            <w:tcW w:w="747" w:type="dxa"/>
            <w:vMerge/>
            <w:vAlign w:val="center"/>
          </w:tcPr>
          <w:p>
            <w:pPr>
              <w:jc w:val="center"/>
              <w:rPr>
                <w:color w:val="auto"/>
                <w:szCs w:val="21"/>
              </w:rPr>
            </w:pPr>
          </w:p>
        </w:tc>
        <w:tc>
          <w:tcPr>
            <w:tcW w:w="1299" w:type="dxa"/>
            <w:vAlign w:val="center"/>
          </w:tcPr>
          <w:p>
            <w:pPr>
              <w:jc w:val="center"/>
              <w:rPr>
                <w:color w:val="auto"/>
                <w:szCs w:val="21"/>
              </w:rPr>
            </w:pPr>
            <w:r>
              <w:rPr>
                <w:rFonts w:hAnsi="Arial"/>
                <w:color w:val="auto"/>
                <w:szCs w:val="21"/>
              </w:rPr>
              <w:t>其他助剂</w:t>
            </w:r>
          </w:p>
        </w:tc>
        <w:tc>
          <w:tcPr>
            <w:tcW w:w="1367" w:type="dxa"/>
            <w:vAlign w:val="center"/>
          </w:tcPr>
          <w:p>
            <w:pPr>
              <w:jc w:val="center"/>
              <w:rPr>
                <w:color w:val="auto"/>
                <w:szCs w:val="21"/>
              </w:rPr>
            </w:pPr>
            <w:r>
              <w:rPr>
                <w:rFonts w:hAnsi="Arial" w:hint="eastAsia"/>
                <w:color w:val="auto"/>
                <w:szCs w:val="21"/>
              </w:rPr>
              <w:t>CaO</w:t>
            </w:r>
            <w:r>
              <w:rPr>
                <w:rFonts w:hAnsi="Arial"/>
                <w:color w:val="auto"/>
                <w:szCs w:val="21"/>
              </w:rPr>
              <w:t>、消毒剂等</w:t>
            </w:r>
          </w:p>
        </w:tc>
        <w:tc>
          <w:tcPr>
            <w:tcW w:w="1203" w:type="dxa"/>
            <w:vAlign w:val="center"/>
          </w:tcPr>
          <w:p>
            <w:pPr>
              <w:jc w:val="center"/>
              <w:rPr>
                <w:color w:val="auto"/>
                <w:szCs w:val="21"/>
              </w:rPr>
            </w:pPr>
            <w:r>
              <w:rPr>
                <w:rFonts w:hint="eastAsia"/>
                <w:color w:val="auto"/>
                <w:szCs w:val="21"/>
              </w:rPr>
              <w:t>200</w:t>
            </w:r>
            <w:r>
              <w:rPr>
                <w:color w:val="auto"/>
                <w:szCs w:val="21"/>
              </w:rPr>
              <w:t>t</w:t>
            </w:r>
          </w:p>
        </w:tc>
        <w:tc>
          <w:tcPr>
            <w:tcW w:w="1084" w:type="dxa"/>
            <w:vAlign w:val="center"/>
          </w:tcPr>
          <w:p>
            <w:pPr>
              <w:jc w:val="center"/>
              <w:rPr>
                <w:rFonts w:eastAsia="宋体" w:hint="eastAsia"/>
                <w:color w:val="auto"/>
                <w:szCs w:val="21"/>
              </w:rPr>
            </w:pPr>
            <w:r>
              <w:rPr>
                <w:rFonts w:hint="eastAsia"/>
                <w:color w:val="auto"/>
                <w:szCs w:val="21"/>
                <w:lang w:val="en-US" w:eastAsia="zh-CN"/>
              </w:rPr>
              <w:t>150</w:t>
            </w:r>
            <w:r>
              <w:rPr>
                <w:color w:val="auto"/>
                <w:szCs w:val="21"/>
              </w:rPr>
              <w:t>t</w:t>
            </w:r>
          </w:p>
        </w:tc>
        <w:tc>
          <w:tcPr>
            <w:tcW w:w="2369" w:type="dxa"/>
            <w:vAlign w:val="center"/>
          </w:tcPr>
          <w:p>
            <w:pPr>
              <w:jc w:val="center"/>
              <w:rPr>
                <w:rFonts w:hint="eastAsia"/>
                <w:color w:val="auto"/>
                <w:szCs w:val="21"/>
              </w:rPr>
            </w:pPr>
            <w:r>
              <w:rPr>
                <w:rFonts w:hAnsi="Arial" w:hint="eastAsia"/>
                <w:color w:val="auto"/>
                <w:szCs w:val="21"/>
              </w:rPr>
              <w:t>桶装、</w:t>
            </w:r>
            <w:r>
              <w:rPr>
                <w:rFonts w:hAnsi="Arial"/>
                <w:color w:val="auto"/>
                <w:szCs w:val="21"/>
              </w:rPr>
              <w:t>汽运</w:t>
            </w:r>
          </w:p>
        </w:tc>
      </w:tr>
      <w:tr>
        <w:tblPrEx>
          <w:tblW w:w="0" w:type="auto"/>
          <w:jc w:val="center"/>
          <w:tblLayout w:type="fixed"/>
          <w:tblCellMar>
            <w:top w:w="0" w:type="dxa"/>
            <w:left w:w="108" w:type="dxa"/>
            <w:bottom w:w="0" w:type="dxa"/>
            <w:right w:w="108" w:type="dxa"/>
          </w:tblCellMar>
          <w:tblLook w:val="0000"/>
        </w:tblPrEx>
        <w:trPr>
          <w:trHeight w:val="397"/>
          <w:jc w:val="center"/>
        </w:trPr>
        <w:tc>
          <w:tcPr>
            <w:tcW w:w="747" w:type="dxa"/>
            <w:vMerge/>
            <w:vAlign w:val="center"/>
          </w:tcPr>
          <w:p>
            <w:pPr>
              <w:jc w:val="center"/>
              <w:rPr>
                <w:color w:val="auto"/>
                <w:szCs w:val="21"/>
              </w:rPr>
            </w:pPr>
          </w:p>
        </w:tc>
        <w:tc>
          <w:tcPr>
            <w:tcW w:w="1299" w:type="dxa"/>
            <w:vAlign w:val="center"/>
          </w:tcPr>
          <w:p>
            <w:pPr>
              <w:jc w:val="center"/>
              <w:rPr>
                <w:color w:val="auto"/>
                <w:szCs w:val="21"/>
              </w:rPr>
            </w:pPr>
            <w:r>
              <w:rPr>
                <w:rFonts w:hAnsi="Arial"/>
                <w:color w:val="auto"/>
                <w:szCs w:val="21"/>
              </w:rPr>
              <w:t>纸塑复合包装袋</w:t>
            </w:r>
          </w:p>
        </w:tc>
        <w:tc>
          <w:tcPr>
            <w:tcW w:w="1367" w:type="dxa"/>
            <w:vAlign w:val="center"/>
          </w:tcPr>
          <w:p>
            <w:pPr>
              <w:jc w:val="center"/>
              <w:rPr>
                <w:color w:val="auto"/>
                <w:szCs w:val="21"/>
              </w:rPr>
            </w:pPr>
            <w:r>
              <w:rPr>
                <w:color w:val="auto"/>
                <w:szCs w:val="21"/>
              </w:rPr>
              <w:t>25kg/</w:t>
            </w:r>
            <w:r>
              <w:rPr>
                <w:rFonts w:hAnsi="Arial"/>
                <w:color w:val="auto"/>
                <w:szCs w:val="21"/>
              </w:rPr>
              <w:t>只</w:t>
            </w:r>
          </w:p>
        </w:tc>
        <w:tc>
          <w:tcPr>
            <w:tcW w:w="1203" w:type="dxa"/>
            <w:vAlign w:val="center"/>
          </w:tcPr>
          <w:p>
            <w:pPr>
              <w:jc w:val="center"/>
              <w:rPr>
                <w:color w:val="auto"/>
                <w:szCs w:val="21"/>
              </w:rPr>
            </w:pPr>
            <w:r>
              <w:rPr>
                <w:rFonts w:hint="eastAsia"/>
                <w:color w:val="auto"/>
                <w:szCs w:val="21"/>
              </w:rPr>
              <w:t>20</w:t>
            </w:r>
            <w:r>
              <w:rPr>
                <w:rFonts w:hAnsi="Arial"/>
                <w:color w:val="auto"/>
                <w:szCs w:val="21"/>
              </w:rPr>
              <w:t>万只</w:t>
            </w:r>
          </w:p>
        </w:tc>
        <w:tc>
          <w:tcPr>
            <w:tcW w:w="1084" w:type="dxa"/>
            <w:vAlign w:val="center"/>
          </w:tcPr>
          <w:p>
            <w:pPr>
              <w:jc w:val="center"/>
              <w:rPr>
                <w:rFonts w:eastAsia="宋体" w:hint="eastAsia"/>
                <w:color w:val="auto"/>
                <w:szCs w:val="21"/>
              </w:rPr>
            </w:pPr>
            <w:r>
              <w:rPr>
                <w:rFonts w:hint="eastAsia"/>
                <w:color w:val="auto"/>
                <w:szCs w:val="21"/>
                <w:lang w:val="en-US" w:eastAsia="zh-CN"/>
              </w:rPr>
              <w:t>15</w:t>
            </w:r>
            <w:r>
              <w:rPr>
                <w:rFonts w:hAnsi="Arial"/>
                <w:color w:val="auto"/>
                <w:szCs w:val="21"/>
              </w:rPr>
              <w:t>万只</w:t>
            </w:r>
          </w:p>
        </w:tc>
        <w:tc>
          <w:tcPr>
            <w:tcW w:w="2369" w:type="dxa"/>
            <w:vAlign w:val="center"/>
          </w:tcPr>
          <w:p>
            <w:pPr>
              <w:jc w:val="center"/>
              <w:rPr>
                <w:color w:val="auto"/>
                <w:szCs w:val="21"/>
              </w:rPr>
            </w:pPr>
            <w:r>
              <w:rPr>
                <w:rFonts w:hAnsi="Arial"/>
                <w:color w:val="auto"/>
                <w:szCs w:val="21"/>
              </w:rPr>
              <w:t>汽运</w:t>
            </w:r>
          </w:p>
        </w:tc>
      </w:tr>
    </w:tbl>
    <w:p>
      <w:pPr>
        <w:spacing w:before="192" w:beforeLines="80" w:after="24" w:afterLines="10"/>
        <w:jc w:val="center"/>
        <w:rPr>
          <w:rFonts w:ascii="仿宋_GB2312" w:eastAsia="仿宋_GB2312" w:hint="eastAsia"/>
          <w:color w:val="auto"/>
          <w:sz w:val="28"/>
        </w:rPr>
      </w:pPr>
      <w:r>
        <w:rPr>
          <w:rFonts w:ascii="仿宋_GB2312" w:eastAsia="仿宋_GB2312" w:hint="eastAsia"/>
          <w:bCs/>
          <w:color w:val="auto"/>
          <w:sz w:val="28"/>
          <w:szCs w:val="28"/>
        </w:rPr>
        <w:t xml:space="preserve">表4  </w:t>
      </w:r>
      <w:r>
        <w:rPr>
          <w:rFonts w:ascii="仿宋_GB2312" w:eastAsia="仿宋_GB2312" w:hint="eastAsia"/>
          <w:color w:val="auto"/>
          <w:sz w:val="28"/>
        </w:rPr>
        <w:t>主要生产设备清单</w:t>
      </w:r>
    </w:p>
    <w:tbl>
      <w:tblPr>
        <w:tblStyle w:val="TableNormal"/>
        <w:tblW w:w="0" w:type="auto"/>
        <w:jc w:val="center"/>
        <w:tblLayout w:type="fixed"/>
        <w:tblCellMar>
          <w:top w:w="0" w:type="dxa"/>
          <w:left w:w="108" w:type="dxa"/>
          <w:bottom w:w="0" w:type="dxa"/>
          <w:right w:w="108" w:type="dxa"/>
        </w:tblCellMar>
        <w:tblLook w:val="0000"/>
      </w:tblPr>
      <w:tblGrid>
        <w:gridCol w:w="816"/>
        <w:gridCol w:w="1651"/>
        <w:gridCol w:w="1124"/>
        <w:gridCol w:w="1124"/>
        <w:gridCol w:w="2283"/>
        <w:gridCol w:w="1256"/>
      </w:tblGrid>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single" w:sz="4" w:space="0" w:color="auto"/>
              <w:left w:val="single" w:sz="4" w:space="0" w:color="auto"/>
              <w:bottom w:val="single" w:sz="4" w:space="0" w:color="000000"/>
              <w:right w:val="single" w:sz="4" w:space="0" w:color="auto"/>
            </w:tcBorders>
            <w:vAlign w:val="center"/>
          </w:tcPr>
          <w:p>
            <w:pPr>
              <w:widowControl/>
              <w:jc w:val="center"/>
              <w:rPr>
                <w:bCs/>
                <w:color w:val="auto"/>
                <w:kern w:val="0"/>
                <w:szCs w:val="21"/>
              </w:rPr>
            </w:pPr>
            <w:r>
              <w:rPr>
                <w:rFonts w:hAnsi="宋体"/>
                <w:bCs/>
                <w:color w:val="auto"/>
                <w:kern w:val="0"/>
                <w:szCs w:val="21"/>
              </w:rPr>
              <w:t>序号</w:t>
            </w:r>
          </w:p>
        </w:tc>
        <w:tc>
          <w:tcPr>
            <w:tcW w:w="1651" w:type="dxa"/>
            <w:tcBorders>
              <w:top w:val="single" w:sz="4" w:space="0" w:color="auto"/>
              <w:left w:val="single" w:sz="4" w:space="0" w:color="auto"/>
              <w:bottom w:val="single" w:sz="4" w:space="0" w:color="000000"/>
              <w:right w:val="single" w:sz="4" w:space="0" w:color="auto"/>
            </w:tcBorders>
            <w:vAlign w:val="center"/>
          </w:tcPr>
          <w:p>
            <w:pPr>
              <w:widowControl/>
              <w:jc w:val="center"/>
              <w:rPr>
                <w:bCs/>
                <w:color w:val="auto"/>
                <w:kern w:val="0"/>
                <w:szCs w:val="21"/>
              </w:rPr>
            </w:pPr>
            <w:r>
              <w:rPr>
                <w:rFonts w:hAnsi="宋体"/>
                <w:bCs/>
                <w:color w:val="auto"/>
                <w:kern w:val="0"/>
                <w:szCs w:val="21"/>
              </w:rPr>
              <w:t>设备名称</w:t>
            </w:r>
          </w:p>
        </w:tc>
        <w:tc>
          <w:tcPr>
            <w:tcW w:w="1124" w:type="dxa"/>
            <w:tcBorders>
              <w:top w:val="single" w:sz="4" w:space="0" w:color="auto"/>
              <w:left w:val="single" w:sz="4" w:space="0" w:color="auto"/>
              <w:bottom w:val="single" w:sz="4" w:space="0" w:color="auto"/>
              <w:right w:val="single" w:sz="4" w:space="0" w:color="auto"/>
            </w:tcBorders>
            <w:vAlign w:val="center"/>
          </w:tcPr>
          <w:p>
            <w:pPr>
              <w:widowControl/>
              <w:jc w:val="center"/>
              <w:rPr>
                <w:bCs/>
                <w:color w:val="auto"/>
                <w:kern w:val="0"/>
                <w:szCs w:val="21"/>
              </w:rPr>
            </w:pPr>
            <w:r>
              <w:rPr>
                <w:rFonts w:hAnsi="宋体" w:hint="eastAsia"/>
                <w:bCs/>
                <w:color w:val="auto"/>
                <w:kern w:val="0"/>
                <w:szCs w:val="21"/>
                <w:lang w:val="en-US" w:eastAsia="zh-CN"/>
              </w:rPr>
              <w:t>环评</w:t>
            </w:r>
            <w:r>
              <w:rPr>
                <w:rFonts w:hAnsi="宋体"/>
                <w:bCs/>
                <w:color w:val="auto"/>
                <w:kern w:val="0"/>
                <w:szCs w:val="21"/>
              </w:rPr>
              <w:t>数量</w:t>
            </w:r>
          </w:p>
        </w:tc>
        <w:tc>
          <w:tcPr>
            <w:tcW w:w="1124" w:type="dxa"/>
            <w:tcBorders>
              <w:top w:val="single" w:sz="4" w:space="0" w:color="auto"/>
              <w:left w:val="single" w:sz="4" w:space="0" w:color="auto"/>
              <w:bottom w:val="single" w:sz="4" w:space="0" w:color="auto"/>
              <w:right w:val="single" w:sz="4" w:space="0" w:color="auto"/>
            </w:tcBorders>
            <w:vAlign w:val="center"/>
          </w:tcPr>
          <w:p>
            <w:pPr>
              <w:widowControl/>
              <w:jc w:val="center"/>
              <w:rPr>
                <w:color w:val="auto"/>
              </w:rPr>
            </w:pPr>
            <w:r>
              <w:rPr>
                <w:rFonts w:hAnsi="宋体" w:hint="eastAsia"/>
                <w:bCs/>
                <w:color w:val="auto"/>
                <w:kern w:val="0"/>
                <w:szCs w:val="21"/>
                <w:lang w:val="en-US" w:eastAsia="zh-CN"/>
              </w:rPr>
              <w:t>实际</w:t>
            </w:r>
            <w:r>
              <w:rPr>
                <w:rFonts w:hAnsi="宋体"/>
                <w:bCs/>
                <w:color w:val="auto"/>
                <w:kern w:val="0"/>
                <w:szCs w:val="21"/>
              </w:rPr>
              <w:t>数量</w:t>
            </w:r>
          </w:p>
        </w:tc>
        <w:tc>
          <w:tcPr>
            <w:tcW w:w="2283" w:type="dxa"/>
            <w:tcBorders>
              <w:top w:val="single" w:sz="4" w:space="0" w:color="auto"/>
              <w:left w:val="single" w:sz="4" w:space="0" w:color="auto"/>
              <w:bottom w:val="single" w:sz="4" w:space="0" w:color="000000"/>
              <w:right w:val="single" w:sz="4" w:space="0" w:color="auto"/>
            </w:tcBorders>
            <w:vAlign w:val="center"/>
          </w:tcPr>
          <w:p>
            <w:pPr>
              <w:widowControl/>
              <w:jc w:val="center"/>
              <w:rPr>
                <w:bCs/>
                <w:color w:val="auto"/>
                <w:kern w:val="0"/>
                <w:szCs w:val="21"/>
              </w:rPr>
            </w:pPr>
            <w:r>
              <w:rPr>
                <w:rFonts w:hAnsi="宋体"/>
                <w:bCs/>
                <w:color w:val="auto"/>
                <w:kern w:val="0"/>
                <w:szCs w:val="21"/>
              </w:rPr>
              <w:t>规格型号</w:t>
            </w:r>
          </w:p>
        </w:tc>
        <w:tc>
          <w:tcPr>
            <w:tcW w:w="1256" w:type="dxa"/>
            <w:tcBorders>
              <w:top w:val="single" w:sz="4" w:space="0" w:color="auto"/>
              <w:left w:val="single" w:sz="4" w:space="0" w:color="auto"/>
              <w:bottom w:val="single" w:sz="4" w:space="0" w:color="000000"/>
              <w:right w:val="single" w:sz="4" w:space="0" w:color="auto"/>
            </w:tcBorders>
            <w:vAlign w:val="center"/>
          </w:tcPr>
          <w:p>
            <w:pPr>
              <w:widowControl/>
              <w:jc w:val="center"/>
              <w:rPr>
                <w:bCs/>
                <w:color w:val="auto"/>
                <w:kern w:val="0"/>
                <w:szCs w:val="21"/>
              </w:rPr>
            </w:pPr>
            <w:r>
              <w:rPr>
                <w:rFonts w:hAnsi="宋体"/>
                <w:bCs/>
                <w:color w:val="auto"/>
                <w:kern w:val="0"/>
                <w:szCs w:val="21"/>
              </w:rPr>
              <w:t>使用工序</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皮料漏斗</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宁波乐惠</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color w:val="auto"/>
                <w:kern w:val="0"/>
                <w:szCs w:val="21"/>
              </w:rPr>
            </w:pPr>
            <w:r>
              <w:rPr>
                <w:rFonts w:hAnsi="宋体"/>
                <w:bCs/>
                <w:color w:val="auto"/>
                <w:kern w:val="0"/>
                <w:szCs w:val="21"/>
              </w:rPr>
              <w:t>切皮</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传送带</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Y2-80M2-4</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bl>
    <w:p>
      <w:pPr>
        <w:sectPr>
          <w:headerReference w:type="even" r:id="rId35"/>
          <w:headerReference w:type="default" r:id="rId36"/>
          <w:footerReference w:type="even" r:id="rId37"/>
          <w:footerReference w:type="default" r:id="rId38"/>
          <w:type w:val="nextPage"/>
          <w:pgSz w:w="11907" w:h="16840"/>
          <w:pgMar w:top="1418" w:right="1418" w:bottom="1021" w:left="1418" w:header="851" w:footer="851" w:gutter="284"/>
          <w:pgNumType w:start="7"/>
          <w:cols w:space="708"/>
          <w:titlePg w:val="0"/>
          <w:docGrid w:linePitch="289"/>
        </w:sectPr>
      </w:pPr>
    </w:p>
    <w:tbl>
      <w:tblPr>
        <w:tblStyle w:val="TableNormal"/>
        <w:tblW w:w="0" w:type="auto"/>
        <w:jc w:val="center"/>
        <w:tblLayout w:type="fixed"/>
        <w:tblCellMar>
          <w:top w:w="0" w:type="dxa"/>
          <w:left w:w="108" w:type="dxa"/>
          <w:bottom w:w="0" w:type="dxa"/>
          <w:right w:w="108" w:type="dxa"/>
        </w:tblCellMar>
        <w:tblLook w:val="0000"/>
      </w:tblPr>
      <w:tblGrid>
        <w:gridCol w:w="816"/>
        <w:gridCol w:w="1651"/>
        <w:gridCol w:w="1124"/>
        <w:gridCol w:w="1124"/>
        <w:gridCol w:w="2283"/>
        <w:gridCol w:w="1256"/>
      </w:tblGrid>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3</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切皮机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Rapid</w:t>
            </w:r>
          </w:p>
        </w:tc>
        <w:tc>
          <w:tcPr>
            <w:tcW w:w="1256" w:type="dxa"/>
            <w:vMerge w:val="restart"/>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4</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皮料加载泵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ILE15013AD234AB4-Z</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5</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hint="eastAsia"/>
                <w:color w:val="auto"/>
                <w:kern w:val="0"/>
                <w:szCs w:val="21"/>
              </w:rPr>
              <w:t>洗皮池</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int="eastAsia"/>
                <w:color w:val="auto"/>
                <w:kern w:val="0"/>
                <w:szCs w:val="21"/>
              </w:rPr>
              <w:t>6</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rFonts w:hint="eastAsia"/>
                <w:color w:val="auto"/>
                <w:kern w:val="0"/>
                <w:szCs w:val="21"/>
              </w:rPr>
              <w:t>6</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int="eastAsia"/>
                <w:color w:val="auto"/>
                <w:kern w:val="0"/>
                <w:szCs w:val="21"/>
              </w:rPr>
              <w:t>120m</w:t>
            </w:r>
            <w:r>
              <w:rPr>
                <w:rFonts w:hint="eastAsia"/>
                <w:color w:val="auto"/>
                <w:kern w:val="0"/>
                <w:szCs w:val="21"/>
                <w:vertAlign w:val="superscript"/>
              </w:rPr>
              <w:t>3</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color w:val="auto"/>
                <w:kern w:val="0"/>
                <w:szCs w:val="21"/>
              </w:rPr>
            </w:pPr>
            <w:r>
              <w:rPr>
                <w:rFonts w:hAnsi="宋体"/>
                <w:bCs/>
                <w:color w:val="auto"/>
                <w:kern w:val="0"/>
                <w:szCs w:val="21"/>
              </w:rPr>
              <w:t>洗皮</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6</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rFonts w:hAnsi="宋体"/>
                <w:color w:val="auto"/>
                <w:kern w:val="0"/>
                <w:szCs w:val="21"/>
              </w:rPr>
            </w:pPr>
            <w:r>
              <w:rPr>
                <w:rFonts w:hAnsi="宋体"/>
                <w:color w:val="auto"/>
                <w:kern w:val="0"/>
                <w:szCs w:val="21"/>
              </w:rPr>
              <w:t>洗皮循环泵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M2QA 200L 4A</w:t>
            </w:r>
          </w:p>
        </w:tc>
        <w:tc>
          <w:tcPr>
            <w:tcW w:w="1256" w:type="dxa"/>
            <w:vMerge/>
            <w:tcBorders>
              <w:top w:val="nil"/>
              <w:left w:val="single" w:sz="4" w:space="0" w:color="auto"/>
              <w:bottom w:val="single" w:sz="4" w:space="0" w:color="000000"/>
              <w:right w:val="single" w:sz="4" w:space="0" w:color="auto"/>
            </w:tcBorders>
            <w:shd w:val="clear" w:color="000000" w:fill="FFFFFF"/>
            <w:vAlign w:val="center"/>
          </w:tcPr>
          <w:p>
            <w:pPr>
              <w:widowControl/>
              <w:jc w:val="center"/>
              <w:rPr>
                <w:rFonts w:hAnsi="宋体"/>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7</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回收清洗泵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HK160L-4</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8</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熬胶锅加载泵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F06K-H05+FFM1W</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9</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酸清洗泵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M2BA160MA2B35</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10</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洗皮池搅拌电机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6</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6</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200LH/4 TF</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11</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rFonts w:hAnsi="宋体"/>
                <w:color w:val="auto"/>
                <w:kern w:val="0"/>
                <w:szCs w:val="21"/>
              </w:rPr>
            </w:pPr>
            <w:r>
              <w:rPr>
                <w:rFonts w:hAnsi="宋体" w:hint="eastAsia"/>
                <w:color w:val="auto"/>
                <w:kern w:val="0"/>
                <w:szCs w:val="21"/>
              </w:rPr>
              <w:t>熬胶锅</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int="eastAsia"/>
                <w:color w:val="auto"/>
                <w:kern w:val="0"/>
                <w:szCs w:val="21"/>
              </w:rPr>
              <w:t>4</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rFonts w:hint="eastAsia"/>
                <w:color w:val="auto"/>
                <w:kern w:val="0"/>
                <w:szCs w:val="21"/>
              </w:rPr>
              <w:t>4</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int="eastAsia"/>
                <w:color w:val="auto"/>
                <w:kern w:val="0"/>
                <w:szCs w:val="21"/>
              </w:rPr>
              <w:t>120m</w:t>
            </w:r>
            <w:r>
              <w:rPr>
                <w:rFonts w:hint="eastAsia"/>
                <w:color w:val="auto"/>
                <w:kern w:val="0"/>
                <w:szCs w:val="21"/>
                <w:vertAlign w:val="superscript"/>
              </w:rPr>
              <w:t>3</w:t>
            </w:r>
          </w:p>
        </w:tc>
        <w:tc>
          <w:tcPr>
            <w:tcW w:w="1256" w:type="dxa"/>
            <w:vMerge w:val="restart"/>
            <w:tcBorders>
              <w:top w:val="nil"/>
              <w:left w:val="single" w:sz="4" w:space="0" w:color="auto"/>
              <w:right w:val="single" w:sz="4" w:space="0" w:color="auto"/>
            </w:tcBorders>
            <w:vAlign w:val="center"/>
          </w:tcPr>
          <w:p>
            <w:pPr>
              <w:jc w:val="center"/>
              <w:rPr>
                <w:bCs/>
                <w:color w:val="auto"/>
                <w:kern w:val="0"/>
                <w:szCs w:val="21"/>
              </w:rPr>
            </w:pPr>
            <w:r>
              <w:rPr>
                <w:rFonts w:hAnsi="宋体"/>
                <w:bCs/>
                <w:color w:val="auto"/>
                <w:kern w:val="0"/>
                <w:szCs w:val="21"/>
              </w:rPr>
              <w:t>熬胶</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12</w:t>
            </w:r>
          </w:p>
        </w:tc>
        <w:tc>
          <w:tcPr>
            <w:tcW w:w="1651" w:type="dxa"/>
            <w:tcBorders>
              <w:top w:val="nil"/>
              <w:left w:val="nil"/>
              <w:bottom w:val="single" w:sz="4" w:space="0" w:color="auto"/>
              <w:right w:val="single" w:sz="4" w:space="0" w:color="auto"/>
            </w:tcBorders>
            <w:shd w:val="clear" w:color="auto" w:fill="auto"/>
            <w:vAlign w:val="center"/>
          </w:tcPr>
          <w:p>
            <w:pPr>
              <w:widowControl/>
              <w:jc w:val="center"/>
              <w:rPr>
                <w:color w:val="auto"/>
                <w:kern w:val="0"/>
                <w:szCs w:val="21"/>
              </w:rPr>
            </w:pPr>
            <w:r>
              <w:rPr>
                <w:rFonts w:hAnsi="宋体"/>
                <w:color w:val="auto"/>
                <w:kern w:val="0"/>
                <w:szCs w:val="21"/>
              </w:rPr>
              <w:t>皮料循环泵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M2QA160L4A</w:t>
            </w:r>
          </w:p>
        </w:tc>
        <w:tc>
          <w:tcPr>
            <w:tcW w:w="1256" w:type="dxa"/>
            <w:vMerge/>
            <w:tcBorders>
              <w:left w:val="single" w:sz="4" w:space="0" w:color="auto"/>
              <w:right w:val="single" w:sz="4" w:space="0" w:color="auto"/>
            </w:tcBorders>
            <w:shd w:val="clear" w:color="000000" w:fill="FFFFFF"/>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13</w:t>
            </w:r>
          </w:p>
        </w:tc>
        <w:tc>
          <w:tcPr>
            <w:tcW w:w="1651" w:type="dxa"/>
            <w:tcBorders>
              <w:top w:val="nil"/>
              <w:left w:val="nil"/>
              <w:bottom w:val="single" w:sz="4" w:space="0" w:color="auto"/>
              <w:right w:val="single" w:sz="4" w:space="0" w:color="auto"/>
            </w:tcBorders>
            <w:shd w:val="clear" w:color="auto" w:fill="auto"/>
            <w:vAlign w:val="center"/>
          </w:tcPr>
          <w:p>
            <w:pPr>
              <w:widowControl/>
              <w:jc w:val="center"/>
              <w:rPr>
                <w:color w:val="auto"/>
                <w:kern w:val="0"/>
                <w:szCs w:val="21"/>
              </w:rPr>
            </w:pPr>
            <w:r>
              <w:rPr>
                <w:rFonts w:hAnsi="宋体"/>
                <w:color w:val="auto"/>
                <w:kern w:val="0"/>
                <w:szCs w:val="21"/>
              </w:rPr>
              <w:t>皮渣泵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DRE-180LC4</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14</w:t>
            </w:r>
          </w:p>
        </w:tc>
        <w:tc>
          <w:tcPr>
            <w:tcW w:w="1651" w:type="dxa"/>
            <w:tcBorders>
              <w:top w:val="nil"/>
              <w:left w:val="nil"/>
              <w:bottom w:val="single" w:sz="4" w:space="0" w:color="auto"/>
              <w:right w:val="single" w:sz="4" w:space="0" w:color="auto"/>
            </w:tcBorders>
            <w:shd w:val="clear" w:color="auto" w:fill="auto"/>
            <w:vAlign w:val="center"/>
          </w:tcPr>
          <w:p>
            <w:pPr>
              <w:widowControl/>
              <w:jc w:val="center"/>
              <w:rPr>
                <w:color w:val="auto"/>
                <w:kern w:val="0"/>
                <w:szCs w:val="21"/>
              </w:rPr>
            </w:pPr>
            <w:r>
              <w:rPr>
                <w:rFonts w:hAnsi="宋体"/>
                <w:color w:val="auto"/>
                <w:kern w:val="0"/>
                <w:szCs w:val="21"/>
              </w:rPr>
              <w:t>耐驰切皮渣的泵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100L/4 TF</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15</w:t>
            </w:r>
          </w:p>
        </w:tc>
        <w:tc>
          <w:tcPr>
            <w:tcW w:w="1651" w:type="dxa"/>
            <w:tcBorders>
              <w:top w:val="nil"/>
              <w:left w:val="nil"/>
              <w:bottom w:val="single" w:sz="4" w:space="0" w:color="auto"/>
              <w:right w:val="single" w:sz="4" w:space="0" w:color="auto"/>
            </w:tcBorders>
            <w:shd w:val="clear" w:color="auto" w:fill="auto"/>
            <w:vAlign w:val="center"/>
          </w:tcPr>
          <w:p>
            <w:pPr>
              <w:widowControl/>
              <w:jc w:val="center"/>
              <w:rPr>
                <w:color w:val="auto"/>
                <w:kern w:val="0"/>
                <w:szCs w:val="21"/>
              </w:rPr>
            </w:pPr>
            <w:r>
              <w:rPr>
                <w:rFonts w:hAnsi="宋体"/>
                <w:color w:val="auto"/>
                <w:kern w:val="0"/>
                <w:szCs w:val="21"/>
              </w:rPr>
              <w:t>水加载泵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M2BA160MLC2 B35</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16</w:t>
            </w:r>
          </w:p>
        </w:tc>
        <w:tc>
          <w:tcPr>
            <w:tcW w:w="1651" w:type="dxa"/>
            <w:tcBorders>
              <w:top w:val="nil"/>
              <w:left w:val="nil"/>
              <w:bottom w:val="single" w:sz="4" w:space="0" w:color="auto"/>
              <w:right w:val="single" w:sz="4" w:space="0" w:color="auto"/>
            </w:tcBorders>
            <w:shd w:val="clear" w:color="auto" w:fill="auto"/>
            <w:vAlign w:val="center"/>
          </w:tcPr>
          <w:p>
            <w:pPr>
              <w:widowControl/>
              <w:jc w:val="center"/>
              <w:rPr>
                <w:color w:val="auto"/>
                <w:kern w:val="0"/>
                <w:szCs w:val="21"/>
              </w:rPr>
            </w:pPr>
            <w:r>
              <w:rPr>
                <w:rFonts w:hAnsi="宋体"/>
                <w:color w:val="auto"/>
                <w:kern w:val="0"/>
                <w:szCs w:val="21"/>
              </w:rPr>
              <w:t>皮渣转移泵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3~132S</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17</w:t>
            </w:r>
          </w:p>
        </w:tc>
        <w:tc>
          <w:tcPr>
            <w:tcW w:w="1651" w:type="dxa"/>
            <w:tcBorders>
              <w:top w:val="nil"/>
              <w:left w:val="nil"/>
              <w:bottom w:val="single" w:sz="4" w:space="0" w:color="auto"/>
              <w:right w:val="single" w:sz="4" w:space="0" w:color="auto"/>
            </w:tcBorders>
            <w:shd w:val="clear" w:color="auto" w:fill="auto"/>
            <w:vAlign w:val="center"/>
          </w:tcPr>
          <w:p>
            <w:pPr>
              <w:widowControl/>
              <w:jc w:val="center"/>
              <w:rPr>
                <w:color w:val="auto"/>
                <w:kern w:val="0"/>
                <w:szCs w:val="21"/>
              </w:rPr>
            </w:pPr>
            <w:r>
              <w:rPr>
                <w:rFonts w:hAnsi="宋体"/>
                <w:color w:val="auto"/>
                <w:kern w:val="0"/>
                <w:szCs w:val="21"/>
              </w:rPr>
              <w:t>胶液加载泵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3~132S</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18</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熬胶锅搅拌电机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8</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8</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180MH/4 TF</w:t>
            </w:r>
          </w:p>
        </w:tc>
        <w:tc>
          <w:tcPr>
            <w:tcW w:w="1256" w:type="dxa"/>
            <w:vMerge/>
            <w:tcBorders>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19</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rFonts w:hAnsi="宋体"/>
                <w:color w:val="auto"/>
                <w:kern w:val="0"/>
                <w:szCs w:val="21"/>
              </w:rPr>
            </w:pPr>
            <w:r>
              <w:rPr>
                <w:rFonts w:hAnsi="宋体" w:hint="eastAsia"/>
                <w:color w:val="auto"/>
                <w:kern w:val="0"/>
                <w:szCs w:val="21"/>
              </w:rPr>
              <w:t>棉饼过滤机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int="eastAsia"/>
                <w:color w:val="auto"/>
                <w:kern w:val="0"/>
                <w:szCs w:val="21"/>
              </w:rPr>
              <w:t>11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rFonts w:hint="eastAsia"/>
                <w:color w:val="auto"/>
                <w:kern w:val="0"/>
                <w:szCs w:val="21"/>
              </w:rPr>
              <w:t>11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int="eastAsia"/>
                <w:color w:val="auto"/>
                <w:kern w:val="0"/>
                <w:szCs w:val="21"/>
              </w:rPr>
              <w:t>宁波乐惠</w:t>
            </w:r>
          </w:p>
        </w:tc>
        <w:tc>
          <w:tcPr>
            <w:tcW w:w="1256" w:type="dxa"/>
            <w:vMerge w:val="restart"/>
            <w:tcBorders>
              <w:left w:val="single" w:sz="4" w:space="0" w:color="auto"/>
              <w:right w:val="single" w:sz="4" w:space="0" w:color="auto"/>
            </w:tcBorders>
            <w:vAlign w:val="center"/>
          </w:tcPr>
          <w:p>
            <w:pPr>
              <w:jc w:val="center"/>
              <w:rPr>
                <w:bCs/>
                <w:color w:val="auto"/>
                <w:kern w:val="0"/>
                <w:szCs w:val="21"/>
              </w:rPr>
            </w:pPr>
            <w:r>
              <w:rPr>
                <w:rFonts w:hAnsi="宋体"/>
                <w:bCs/>
                <w:color w:val="auto"/>
                <w:kern w:val="0"/>
                <w:szCs w:val="21"/>
              </w:rPr>
              <w:t>棉饼过滤</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20</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明胶加载泵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3~132S</w:t>
            </w:r>
          </w:p>
        </w:tc>
        <w:tc>
          <w:tcPr>
            <w:tcW w:w="1256" w:type="dxa"/>
            <w:vMerge/>
            <w:tcBorders>
              <w:left w:val="single" w:sz="4" w:space="0" w:color="auto"/>
              <w:right w:val="single" w:sz="4" w:space="0" w:color="auto"/>
            </w:tcBorders>
            <w:shd w:val="clear" w:color="000000" w:fill="FFFFFF"/>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21</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明胶缓冲罐（带搅拌电机）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90LH/4</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22</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洗棉罐</w:t>
            </w:r>
            <w:r>
              <w:rPr>
                <w:rFonts w:hAnsi="宋体" w:hint="eastAsia"/>
                <w:color w:val="auto"/>
                <w:kern w:val="0"/>
                <w:szCs w:val="21"/>
              </w:rPr>
              <w:t>A</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宁波乐惠</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23</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洗棉罐</w:t>
            </w:r>
            <w:r>
              <w:rPr>
                <w:rFonts w:hAnsi="宋体" w:hint="eastAsia"/>
                <w:color w:val="auto"/>
                <w:kern w:val="0"/>
                <w:szCs w:val="21"/>
              </w:rPr>
              <w:t>B</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宁波乐惠</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24</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传送带</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M2BA90SLC2</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25</w:t>
            </w:r>
          </w:p>
        </w:tc>
        <w:tc>
          <w:tcPr>
            <w:tcW w:w="1651" w:type="dxa"/>
            <w:tcBorders>
              <w:top w:val="nil"/>
              <w:left w:val="nil"/>
              <w:bottom w:val="single" w:sz="4" w:space="0" w:color="auto"/>
              <w:right w:val="single" w:sz="4" w:space="0" w:color="auto"/>
            </w:tcBorders>
            <w:shd w:val="clear" w:color="auto" w:fill="auto"/>
            <w:vAlign w:val="center"/>
          </w:tcPr>
          <w:p>
            <w:pPr>
              <w:widowControl/>
              <w:jc w:val="center"/>
              <w:rPr>
                <w:color w:val="auto"/>
                <w:kern w:val="0"/>
                <w:szCs w:val="21"/>
              </w:rPr>
            </w:pPr>
            <w:r>
              <w:rPr>
                <w:rFonts w:hAnsi="宋体"/>
                <w:color w:val="auto"/>
                <w:kern w:val="0"/>
                <w:szCs w:val="21"/>
              </w:rPr>
              <w:t>棉饼泵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M2QA132S4A</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26</w:t>
            </w:r>
          </w:p>
        </w:tc>
        <w:tc>
          <w:tcPr>
            <w:tcW w:w="1651" w:type="dxa"/>
            <w:tcBorders>
              <w:top w:val="nil"/>
              <w:left w:val="nil"/>
              <w:bottom w:val="single" w:sz="4" w:space="0" w:color="auto"/>
              <w:right w:val="single" w:sz="4" w:space="0" w:color="auto"/>
            </w:tcBorders>
            <w:shd w:val="clear" w:color="auto" w:fill="auto"/>
            <w:vAlign w:val="center"/>
          </w:tcPr>
          <w:p>
            <w:pPr>
              <w:widowControl/>
              <w:jc w:val="center"/>
              <w:rPr>
                <w:color w:val="auto"/>
                <w:kern w:val="0"/>
                <w:szCs w:val="21"/>
              </w:rPr>
            </w:pPr>
            <w:r>
              <w:rPr>
                <w:rFonts w:hAnsi="宋体"/>
                <w:color w:val="auto"/>
                <w:kern w:val="0"/>
                <w:szCs w:val="21"/>
              </w:rPr>
              <w:t>棉饼排放泵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M2QA132S4A</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27</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化学品添加泵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Y2-71M3-4</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28</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化学添加泵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Y2-71M3-4</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29</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液压系统</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乐惠</w:t>
            </w:r>
          </w:p>
        </w:tc>
        <w:tc>
          <w:tcPr>
            <w:tcW w:w="1256" w:type="dxa"/>
            <w:vMerge/>
            <w:tcBorders>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30</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rFonts w:hAnsi="宋体"/>
                <w:color w:val="auto"/>
                <w:kern w:val="0"/>
                <w:szCs w:val="21"/>
              </w:rPr>
            </w:pPr>
            <w:r>
              <w:rPr>
                <w:rFonts w:hAnsi="宋体" w:hint="eastAsia"/>
                <w:color w:val="auto"/>
                <w:kern w:val="0"/>
                <w:szCs w:val="21"/>
              </w:rPr>
              <w:t>离子交换系统</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int="eastAsia"/>
                <w:color w:val="auto"/>
                <w:kern w:val="0"/>
                <w:szCs w:val="21"/>
              </w:rPr>
              <w:t>3</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rFonts w:hint="eastAsia"/>
                <w:color w:val="auto"/>
                <w:kern w:val="0"/>
                <w:szCs w:val="21"/>
              </w:rPr>
              <w:t>3</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rFonts w:hAnsi="宋体"/>
                <w:color w:val="auto"/>
                <w:kern w:val="0"/>
                <w:szCs w:val="21"/>
              </w:rPr>
            </w:pPr>
            <w:r>
              <w:rPr>
                <w:rFonts w:hAnsi="宋体" w:hint="eastAsia"/>
                <w:color w:val="auto"/>
                <w:kern w:val="0"/>
                <w:szCs w:val="21"/>
              </w:rPr>
              <w:t>百盛阴阳离子柱</w:t>
            </w:r>
          </w:p>
        </w:tc>
        <w:tc>
          <w:tcPr>
            <w:tcW w:w="1256" w:type="dxa"/>
            <w:vMerge w:val="restart"/>
            <w:tcBorders>
              <w:top w:val="nil"/>
              <w:left w:val="single" w:sz="4" w:space="0" w:color="auto"/>
              <w:right w:val="single" w:sz="4" w:space="0" w:color="auto"/>
            </w:tcBorders>
            <w:vAlign w:val="center"/>
          </w:tcPr>
          <w:p>
            <w:pPr>
              <w:jc w:val="center"/>
              <w:rPr>
                <w:bCs/>
                <w:color w:val="auto"/>
                <w:kern w:val="0"/>
                <w:szCs w:val="21"/>
              </w:rPr>
            </w:pPr>
            <w:r>
              <w:rPr>
                <w:rFonts w:hAnsi="宋体"/>
                <w:bCs/>
                <w:color w:val="auto"/>
                <w:kern w:val="0"/>
                <w:szCs w:val="21"/>
              </w:rPr>
              <w:t>离子交换</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31</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明胶缓冲罐（带搅拌电机）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M2BA90SLB2</w:t>
            </w:r>
          </w:p>
        </w:tc>
        <w:tc>
          <w:tcPr>
            <w:tcW w:w="1256" w:type="dxa"/>
            <w:vMerge/>
            <w:tcBorders>
              <w:left w:val="single" w:sz="4" w:space="0" w:color="auto"/>
              <w:right w:val="single" w:sz="4" w:space="0" w:color="auto"/>
            </w:tcBorders>
            <w:shd w:val="clear" w:color="000000" w:fill="FFFFFF"/>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32</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明胶加载泵去阳离子交换</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M2BA132SMB2</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33</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明胶加载泵去阴离子交换</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M2BA132SMB2</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34</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酸排放泵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M2BA90SLC2</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bl>
    <w:p>
      <w:pPr>
        <w:sectPr>
          <w:headerReference w:type="even" r:id="rId39"/>
          <w:headerReference w:type="default" r:id="rId40"/>
          <w:footerReference w:type="even" r:id="rId41"/>
          <w:footerReference w:type="default" r:id="rId42"/>
          <w:type w:val="nextPage"/>
          <w:pgSz w:w="11907" w:h="16840"/>
          <w:pgMar w:top="1418" w:right="1418" w:bottom="1021" w:left="1418" w:header="851" w:footer="851" w:gutter="284"/>
          <w:pgNumType w:start="8"/>
          <w:cols w:space="708"/>
          <w:titlePg w:val="0"/>
          <w:docGrid w:linePitch="289"/>
        </w:sectPr>
      </w:pPr>
    </w:p>
    <w:tbl>
      <w:tblPr>
        <w:tblStyle w:val="TableNormal"/>
        <w:tblW w:w="0" w:type="auto"/>
        <w:jc w:val="center"/>
        <w:tblLayout w:type="fixed"/>
        <w:tblCellMar>
          <w:top w:w="0" w:type="dxa"/>
          <w:left w:w="108" w:type="dxa"/>
          <w:bottom w:w="0" w:type="dxa"/>
          <w:right w:w="108" w:type="dxa"/>
        </w:tblCellMar>
        <w:tblLook w:val="0000"/>
      </w:tblPr>
      <w:tblGrid>
        <w:gridCol w:w="816"/>
        <w:gridCol w:w="1651"/>
        <w:gridCol w:w="1124"/>
        <w:gridCol w:w="1124"/>
        <w:gridCol w:w="2283"/>
        <w:gridCol w:w="1256"/>
      </w:tblGrid>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35</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碱排放泵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M2BA100LB2</w:t>
            </w:r>
          </w:p>
        </w:tc>
        <w:tc>
          <w:tcPr>
            <w:tcW w:w="1256" w:type="dxa"/>
            <w:vMerge w:val="restart"/>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36</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再生泵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杭州百盛</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37</w:t>
            </w:r>
          </w:p>
        </w:tc>
        <w:tc>
          <w:tcPr>
            <w:tcW w:w="1651" w:type="dxa"/>
            <w:tcBorders>
              <w:top w:val="nil"/>
              <w:left w:val="nil"/>
              <w:bottom w:val="nil"/>
              <w:right w:val="nil"/>
            </w:tcBorders>
            <w:shd w:val="clear" w:color="000000" w:fill="FFFFFF"/>
            <w:vAlign w:val="center"/>
          </w:tcPr>
          <w:p>
            <w:pPr>
              <w:widowControl/>
              <w:jc w:val="center"/>
              <w:rPr>
                <w:color w:val="auto"/>
                <w:kern w:val="0"/>
                <w:szCs w:val="21"/>
              </w:rPr>
            </w:pPr>
            <w:r>
              <w:rPr>
                <w:rFonts w:hAnsi="宋体"/>
                <w:color w:val="auto"/>
                <w:kern w:val="0"/>
                <w:szCs w:val="21"/>
              </w:rPr>
              <w:t>反洗泵</w:t>
            </w:r>
          </w:p>
        </w:tc>
        <w:tc>
          <w:tcPr>
            <w:tcW w:w="1124"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Y2-132S1-2</w:t>
            </w:r>
          </w:p>
        </w:tc>
        <w:tc>
          <w:tcPr>
            <w:tcW w:w="1256" w:type="dxa"/>
            <w:vMerge/>
            <w:tcBorders>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38</w:t>
            </w:r>
          </w:p>
        </w:tc>
        <w:tc>
          <w:tcPr>
            <w:tcW w:w="1651" w:type="dxa"/>
            <w:tcBorders>
              <w:top w:val="nil"/>
              <w:left w:val="nil"/>
              <w:bottom w:val="nil"/>
              <w:right w:val="nil"/>
            </w:tcBorders>
            <w:shd w:val="clear" w:color="000000" w:fill="FFFFFF"/>
            <w:vAlign w:val="center"/>
          </w:tcPr>
          <w:p>
            <w:pPr>
              <w:widowControl/>
              <w:jc w:val="center"/>
              <w:rPr>
                <w:rFonts w:hAnsi="宋体"/>
                <w:color w:val="auto"/>
                <w:kern w:val="0"/>
                <w:szCs w:val="21"/>
              </w:rPr>
            </w:pPr>
            <w:r>
              <w:rPr>
                <w:rFonts w:hAnsi="宋体" w:hint="eastAsia"/>
                <w:color w:val="auto"/>
                <w:kern w:val="0"/>
                <w:szCs w:val="21"/>
              </w:rPr>
              <w:t>超滤系统</w:t>
            </w:r>
          </w:p>
        </w:tc>
        <w:tc>
          <w:tcPr>
            <w:tcW w:w="1124"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rFonts w:hint="eastAsia"/>
                <w:color w:val="auto"/>
                <w:kern w:val="0"/>
                <w:szCs w:val="21"/>
              </w:rPr>
              <w:t>2</w:t>
            </w:r>
          </w:p>
        </w:tc>
        <w:tc>
          <w:tcPr>
            <w:tcW w:w="1124"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rPr>
            </w:pPr>
            <w:r>
              <w:rPr>
                <w:rFonts w:hint="eastAsia"/>
                <w:color w:val="auto"/>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int="eastAsia"/>
                <w:color w:val="auto"/>
                <w:kern w:val="0"/>
                <w:szCs w:val="21"/>
              </w:rPr>
              <w:t>GEA</w:t>
            </w:r>
          </w:p>
        </w:tc>
        <w:tc>
          <w:tcPr>
            <w:tcW w:w="1256" w:type="dxa"/>
            <w:vMerge w:val="restart"/>
            <w:tcBorders>
              <w:left w:val="single" w:sz="4" w:space="0" w:color="auto"/>
              <w:right w:val="single" w:sz="4" w:space="0" w:color="auto"/>
            </w:tcBorders>
            <w:vAlign w:val="center"/>
          </w:tcPr>
          <w:p>
            <w:pPr>
              <w:jc w:val="center"/>
              <w:rPr>
                <w:bCs/>
                <w:color w:val="auto"/>
                <w:kern w:val="0"/>
                <w:szCs w:val="21"/>
              </w:rPr>
            </w:pPr>
            <w:r>
              <w:rPr>
                <w:rFonts w:hAnsi="宋体"/>
                <w:bCs/>
                <w:color w:val="auto"/>
                <w:kern w:val="0"/>
                <w:szCs w:val="21"/>
              </w:rPr>
              <w:t>超滤</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rFonts w:hint="eastAsia"/>
                <w:color w:val="auto"/>
                <w:kern w:val="0"/>
                <w:szCs w:val="21"/>
              </w:rPr>
              <w:t>39</w:t>
            </w:r>
          </w:p>
        </w:tc>
        <w:tc>
          <w:tcPr>
            <w:tcW w:w="1651" w:type="dxa"/>
            <w:tcBorders>
              <w:top w:val="single" w:sz="4" w:space="0" w:color="auto"/>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明胶缓冲罐（带搅拌电机）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90LH/4</w:t>
            </w:r>
          </w:p>
        </w:tc>
        <w:tc>
          <w:tcPr>
            <w:tcW w:w="1256" w:type="dxa"/>
            <w:vMerge/>
            <w:tcBorders>
              <w:left w:val="single" w:sz="4" w:space="0" w:color="auto"/>
              <w:right w:val="single" w:sz="4" w:space="0" w:color="auto"/>
            </w:tcBorders>
            <w:shd w:val="clear" w:color="000000" w:fill="FFFFFF"/>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rFonts w:hint="eastAsia"/>
                <w:color w:val="auto"/>
                <w:kern w:val="0"/>
                <w:szCs w:val="21"/>
              </w:rPr>
              <w:t>40</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冷凝水排放</w:t>
            </w:r>
            <w:r>
              <w:rPr>
                <w:rFonts w:hAnsi="宋体" w:hint="eastAsia"/>
                <w:color w:val="auto"/>
                <w:kern w:val="0"/>
                <w:szCs w:val="21"/>
              </w:rPr>
              <w:t>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GEA</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41</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UF</w:t>
            </w:r>
            <w:r>
              <w:rPr>
                <w:rFonts w:hAnsi="宋体"/>
                <w:color w:val="auto"/>
                <w:kern w:val="0"/>
                <w:szCs w:val="21"/>
              </w:rPr>
              <w:t>系统加载泵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M2BA100LB2</w:t>
            </w:r>
          </w:p>
        </w:tc>
        <w:tc>
          <w:tcPr>
            <w:tcW w:w="1256" w:type="dxa"/>
            <w:vMerge/>
            <w:tcBorders>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42</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明胶缓冲罐（带搅拌电机）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90LH/4</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color w:val="auto"/>
                <w:kern w:val="0"/>
                <w:szCs w:val="21"/>
              </w:rPr>
            </w:pPr>
            <w:r>
              <w:rPr>
                <w:rFonts w:hAnsi="宋体"/>
                <w:bCs/>
                <w:color w:val="auto"/>
                <w:kern w:val="0"/>
                <w:szCs w:val="21"/>
              </w:rPr>
              <w:t>二次过滤</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43</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明胶加载泵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M2BA132SMC2</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44</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明胶缓冲罐（带搅拌电机）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90LH/4</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color w:val="auto"/>
                <w:kern w:val="0"/>
                <w:szCs w:val="21"/>
              </w:rPr>
            </w:pPr>
            <w:r>
              <w:rPr>
                <w:rFonts w:hAnsi="宋体"/>
                <w:bCs/>
                <w:color w:val="auto"/>
                <w:kern w:val="0"/>
                <w:szCs w:val="21"/>
              </w:rPr>
              <w:t>三效蒸发系统</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45</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明胶加载泵去三效</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M2BA100LB2</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46</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三效蒸发系统</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API</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47</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rFonts w:hAnsi="宋体"/>
                <w:color w:val="auto"/>
                <w:kern w:val="0"/>
                <w:szCs w:val="21"/>
              </w:rPr>
            </w:pPr>
            <w:r>
              <w:rPr>
                <w:rFonts w:hAnsi="宋体" w:hint="eastAsia"/>
                <w:color w:val="auto"/>
                <w:kern w:val="0"/>
                <w:szCs w:val="21"/>
              </w:rPr>
              <w:t>纸板过滤机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int="eastAsia"/>
                <w:color w:val="auto"/>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rFonts w:hint="eastAsia"/>
                <w:color w:val="auto"/>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int="eastAsia"/>
                <w:color w:val="auto"/>
                <w:kern w:val="0"/>
                <w:szCs w:val="21"/>
              </w:rPr>
              <w:t>宁波乐惠</w:t>
            </w:r>
          </w:p>
        </w:tc>
        <w:tc>
          <w:tcPr>
            <w:tcW w:w="1256" w:type="dxa"/>
            <w:vMerge w:val="restart"/>
            <w:tcBorders>
              <w:top w:val="nil"/>
              <w:left w:val="single" w:sz="4" w:space="0" w:color="auto"/>
              <w:right w:val="single" w:sz="4" w:space="0" w:color="auto"/>
            </w:tcBorders>
            <w:vAlign w:val="center"/>
          </w:tcPr>
          <w:p>
            <w:pPr>
              <w:jc w:val="center"/>
              <w:rPr>
                <w:bCs/>
                <w:color w:val="auto"/>
                <w:kern w:val="0"/>
                <w:szCs w:val="21"/>
              </w:rPr>
            </w:pPr>
            <w:r>
              <w:rPr>
                <w:rFonts w:hAnsi="宋体"/>
                <w:bCs/>
                <w:color w:val="auto"/>
                <w:kern w:val="0"/>
                <w:szCs w:val="21"/>
              </w:rPr>
              <w:t>纸板过滤</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48</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明胶缓冲罐（带搅拌电机）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90LH/4</w:t>
            </w:r>
          </w:p>
        </w:tc>
        <w:tc>
          <w:tcPr>
            <w:tcW w:w="1256" w:type="dxa"/>
            <w:vMerge/>
            <w:tcBorders>
              <w:left w:val="single" w:sz="4" w:space="0" w:color="auto"/>
              <w:right w:val="single" w:sz="4" w:space="0" w:color="auto"/>
            </w:tcBorders>
            <w:shd w:val="clear" w:color="000000" w:fill="FFFFFF"/>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49</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明胶加载泵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M2BA90SLC2</w:t>
            </w:r>
          </w:p>
        </w:tc>
        <w:tc>
          <w:tcPr>
            <w:tcW w:w="1256" w:type="dxa"/>
            <w:vMerge/>
            <w:tcBorders>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50</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rFonts w:hAnsi="宋体"/>
                <w:color w:val="auto"/>
                <w:kern w:val="0"/>
                <w:szCs w:val="21"/>
              </w:rPr>
            </w:pPr>
            <w:r>
              <w:rPr>
                <w:rFonts w:hAnsi="宋体" w:hint="eastAsia"/>
                <w:color w:val="auto"/>
                <w:kern w:val="0"/>
                <w:szCs w:val="21"/>
              </w:rPr>
              <w:t>闪蒸罐</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int="eastAsia"/>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rFonts w:hint="eastAsia"/>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int="eastAsia"/>
                <w:color w:val="auto"/>
                <w:kern w:val="0"/>
                <w:szCs w:val="21"/>
              </w:rPr>
              <w:t>宁波乐惠</w:t>
            </w:r>
          </w:p>
        </w:tc>
        <w:tc>
          <w:tcPr>
            <w:tcW w:w="1256" w:type="dxa"/>
            <w:vMerge w:val="restart"/>
            <w:tcBorders>
              <w:left w:val="single" w:sz="4" w:space="0" w:color="auto"/>
              <w:right w:val="single" w:sz="4" w:space="0" w:color="auto"/>
            </w:tcBorders>
            <w:vAlign w:val="center"/>
          </w:tcPr>
          <w:p>
            <w:pPr>
              <w:jc w:val="center"/>
              <w:rPr>
                <w:bCs/>
                <w:color w:val="auto"/>
                <w:kern w:val="0"/>
                <w:szCs w:val="21"/>
              </w:rPr>
            </w:pPr>
            <w:r>
              <w:rPr>
                <w:rFonts w:hAnsi="宋体"/>
                <w:bCs/>
                <w:color w:val="auto"/>
                <w:kern w:val="0"/>
                <w:szCs w:val="21"/>
              </w:rPr>
              <w:t>闪蒸</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51</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明胶缓冲罐（带搅拌电机）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100LH/4</w:t>
            </w:r>
          </w:p>
        </w:tc>
        <w:tc>
          <w:tcPr>
            <w:tcW w:w="1256" w:type="dxa"/>
            <w:vMerge/>
            <w:tcBorders>
              <w:left w:val="single" w:sz="4" w:space="0" w:color="auto"/>
              <w:right w:val="single" w:sz="4" w:space="0" w:color="auto"/>
            </w:tcBorders>
            <w:shd w:val="clear" w:color="000000" w:fill="FFFFFF"/>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52</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明胶加载泵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M2BA90SLC2</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53</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明胶加载泵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M2BA112MB2</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54</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明胶排放泵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M2BA90SLC2</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55</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 xml:space="preserve">CIP </w:t>
            </w:r>
            <w:r>
              <w:rPr>
                <w:rFonts w:hAnsi="宋体"/>
                <w:color w:val="auto"/>
                <w:kern w:val="0"/>
                <w:szCs w:val="21"/>
              </w:rPr>
              <w:t>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M2BA112MB2</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56</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冷凝泵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M2BA90SLB2</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57</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真空泵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LEMB126AZ AA14B01A</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58</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明胶循环泵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M2BA132SMB2</w:t>
            </w:r>
          </w:p>
        </w:tc>
        <w:tc>
          <w:tcPr>
            <w:tcW w:w="1256" w:type="dxa"/>
            <w:vMerge/>
            <w:tcBorders>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59</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再生系统罐（带搅拌电机）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int="eastAsia"/>
                <w:color w:val="auto"/>
                <w:kern w:val="0"/>
                <w:szCs w:val="21"/>
              </w:rPr>
              <w:t>3</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rFonts w:hint="eastAsia"/>
                <w:color w:val="auto"/>
                <w:kern w:val="0"/>
                <w:szCs w:val="21"/>
              </w:rPr>
              <w:t>3</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132SH/6</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color w:val="auto"/>
                <w:kern w:val="0"/>
                <w:szCs w:val="21"/>
              </w:rPr>
            </w:pPr>
            <w:r>
              <w:rPr>
                <w:rFonts w:hAnsi="宋体"/>
                <w:bCs/>
                <w:color w:val="auto"/>
                <w:kern w:val="0"/>
                <w:szCs w:val="21"/>
              </w:rPr>
              <w:t>浓胶罐</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60</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明胶加载泵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M2BA132SMB2</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61</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明胶循环泵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GX1328-4P110</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62</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浓胶罐（带搅拌电机）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int="eastAsia"/>
                <w:color w:val="auto"/>
                <w:kern w:val="0"/>
                <w:szCs w:val="21"/>
              </w:rPr>
              <w:t>3</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rFonts w:hint="eastAsia"/>
                <w:color w:val="auto"/>
                <w:kern w:val="0"/>
                <w:szCs w:val="21"/>
              </w:rPr>
              <w:t>3</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100LH/4 TF</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63</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明胶加载泵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90LH/4 TF</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64</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rFonts w:hAnsi="宋体"/>
                <w:color w:val="auto"/>
                <w:kern w:val="0"/>
                <w:szCs w:val="21"/>
              </w:rPr>
            </w:pPr>
            <w:r>
              <w:rPr>
                <w:rFonts w:hAnsi="宋体" w:hint="eastAsia"/>
                <w:color w:val="auto"/>
                <w:kern w:val="0"/>
                <w:szCs w:val="21"/>
              </w:rPr>
              <w:t>灭菌系统</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int="eastAsia"/>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rFonts w:hint="eastAsia"/>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int="eastAsia"/>
                <w:color w:val="auto"/>
                <w:kern w:val="0"/>
                <w:szCs w:val="21"/>
              </w:rPr>
              <w:t>宁波乐惠</w:t>
            </w:r>
          </w:p>
        </w:tc>
        <w:tc>
          <w:tcPr>
            <w:tcW w:w="1256" w:type="dxa"/>
            <w:vMerge w:val="restart"/>
            <w:tcBorders>
              <w:top w:val="nil"/>
              <w:left w:val="single" w:sz="4" w:space="0" w:color="auto"/>
              <w:right w:val="single" w:sz="4" w:space="0" w:color="auto"/>
            </w:tcBorders>
            <w:vAlign w:val="center"/>
          </w:tcPr>
          <w:p>
            <w:pPr>
              <w:jc w:val="center"/>
              <w:rPr>
                <w:bCs/>
                <w:color w:val="auto"/>
                <w:kern w:val="0"/>
                <w:szCs w:val="21"/>
              </w:rPr>
            </w:pPr>
            <w:r>
              <w:rPr>
                <w:rFonts w:hAnsi="宋体"/>
                <w:bCs/>
                <w:color w:val="auto"/>
                <w:kern w:val="0"/>
                <w:szCs w:val="21"/>
              </w:rPr>
              <w:t>灭菌</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65</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明胶排放泵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90LH/4 TF</w:t>
            </w:r>
          </w:p>
        </w:tc>
        <w:tc>
          <w:tcPr>
            <w:tcW w:w="1256" w:type="dxa"/>
            <w:vMerge/>
            <w:tcBorders>
              <w:left w:val="single" w:sz="4" w:space="0" w:color="auto"/>
              <w:right w:val="single" w:sz="4" w:space="0" w:color="auto"/>
            </w:tcBorders>
            <w:shd w:val="clear" w:color="000000" w:fill="FFFFFF"/>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66</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冷凝泵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M2BA90SLB2</w:t>
            </w:r>
          </w:p>
        </w:tc>
        <w:tc>
          <w:tcPr>
            <w:tcW w:w="1256" w:type="dxa"/>
            <w:vMerge/>
            <w:tcBorders>
              <w:left w:val="single" w:sz="4" w:space="0" w:color="auto"/>
              <w:right w:val="single" w:sz="4" w:space="0" w:color="auto"/>
            </w:tcBorders>
            <w:vAlign w:val="center"/>
          </w:tcPr>
          <w:p>
            <w:pPr>
              <w:widowControl/>
              <w:jc w:val="center"/>
              <w:rPr>
                <w:bCs/>
                <w:color w:val="auto"/>
                <w:kern w:val="0"/>
                <w:szCs w:val="21"/>
              </w:rPr>
            </w:pPr>
          </w:p>
        </w:tc>
      </w:tr>
    </w:tbl>
    <w:p>
      <w:pPr>
        <w:sectPr>
          <w:headerReference w:type="even" r:id="rId43"/>
          <w:headerReference w:type="default" r:id="rId44"/>
          <w:footerReference w:type="even" r:id="rId45"/>
          <w:footerReference w:type="default" r:id="rId46"/>
          <w:type w:val="nextPage"/>
          <w:pgSz w:w="11907" w:h="16840"/>
          <w:pgMar w:top="1418" w:right="1418" w:bottom="1021" w:left="1418" w:header="851" w:footer="851" w:gutter="284"/>
          <w:pgNumType w:start="9"/>
          <w:cols w:space="708"/>
          <w:titlePg w:val="0"/>
          <w:docGrid w:linePitch="289"/>
        </w:sectPr>
      </w:pPr>
    </w:p>
    <w:tbl>
      <w:tblPr>
        <w:tblStyle w:val="TableNormal"/>
        <w:tblW w:w="0" w:type="auto"/>
        <w:jc w:val="center"/>
        <w:tblLayout w:type="fixed"/>
        <w:tblCellMar>
          <w:top w:w="0" w:type="dxa"/>
          <w:left w:w="108" w:type="dxa"/>
          <w:bottom w:w="0" w:type="dxa"/>
          <w:right w:w="108" w:type="dxa"/>
        </w:tblCellMar>
        <w:tblLook w:val="0000"/>
      </w:tblPr>
      <w:tblGrid>
        <w:gridCol w:w="816"/>
        <w:gridCol w:w="1651"/>
        <w:gridCol w:w="1124"/>
        <w:gridCol w:w="1124"/>
        <w:gridCol w:w="2283"/>
        <w:gridCol w:w="1256"/>
      </w:tblGrid>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67</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真空泵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M2QA132M4A</w:t>
            </w:r>
          </w:p>
        </w:tc>
        <w:tc>
          <w:tcPr>
            <w:tcW w:w="1256" w:type="dxa"/>
            <w:vMerge w:val="restart"/>
            <w:tcBorders>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68</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搅拌电机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B201L-2-2</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color w:val="auto"/>
                <w:kern w:val="0"/>
                <w:szCs w:val="21"/>
              </w:rPr>
            </w:pPr>
            <w:r>
              <w:rPr>
                <w:rFonts w:hAnsi="宋体"/>
                <w:bCs/>
                <w:color w:val="auto"/>
                <w:kern w:val="0"/>
                <w:szCs w:val="21"/>
              </w:rPr>
              <w:t>挤胶机</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rFonts w:hint="eastAsia"/>
                <w:color w:val="auto"/>
                <w:kern w:val="0"/>
                <w:szCs w:val="21"/>
              </w:rPr>
              <w:t>69</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明胶加载泵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100AH/4 35711522</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rFonts w:hint="eastAsia"/>
                <w:color w:val="auto"/>
                <w:kern w:val="0"/>
                <w:szCs w:val="21"/>
              </w:rPr>
              <w:t>70</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明胶循环泵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100AH/4 35711522</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rFonts w:hint="eastAsia"/>
                <w:color w:val="auto"/>
                <w:kern w:val="0"/>
                <w:szCs w:val="21"/>
              </w:rPr>
              <w:t>71</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挤胶机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225S/4 TF</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rFonts w:hint="eastAsia"/>
                <w:color w:val="auto"/>
                <w:kern w:val="0"/>
                <w:szCs w:val="21"/>
              </w:rPr>
              <w:t>72</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液压系统</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Chemtech</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rFonts w:hint="eastAsia"/>
                <w:color w:val="auto"/>
                <w:kern w:val="0"/>
                <w:szCs w:val="21"/>
              </w:rPr>
              <w:t>73</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除湿机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Imtech</w:t>
            </w:r>
          </w:p>
        </w:tc>
        <w:tc>
          <w:tcPr>
            <w:tcW w:w="1256" w:type="dxa"/>
            <w:tcBorders>
              <w:top w:val="nil"/>
              <w:left w:val="nil"/>
              <w:bottom w:val="single" w:sz="4" w:space="0" w:color="auto"/>
              <w:right w:val="single" w:sz="4" w:space="0" w:color="auto"/>
            </w:tcBorders>
            <w:shd w:val="clear" w:color="000000" w:fill="FFFFFF"/>
            <w:vAlign w:val="center"/>
          </w:tcPr>
          <w:p>
            <w:pPr>
              <w:widowControl/>
              <w:jc w:val="center"/>
              <w:rPr>
                <w:bCs/>
                <w:color w:val="auto"/>
                <w:kern w:val="0"/>
                <w:szCs w:val="21"/>
              </w:rPr>
            </w:pPr>
            <w:r>
              <w:rPr>
                <w:rFonts w:hAnsi="宋体"/>
                <w:bCs/>
                <w:color w:val="auto"/>
                <w:kern w:val="0"/>
                <w:szCs w:val="21"/>
              </w:rPr>
              <w:t>除湿机</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rFonts w:hint="eastAsia"/>
                <w:color w:val="auto"/>
                <w:kern w:val="0"/>
                <w:szCs w:val="21"/>
              </w:rPr>
              <w:t>74</w:t>
            </w:r>
          </w:p>
        </w:tc>
        <w:tc>
          <w:tcPr>
            <w:tcW w:w="1651"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长网系统</w:t>
            </w:r>
          </w:p>
        </w:tc>
        <w:tc>
          <w:tcPr>
            <w:tcW w:w="1124"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single" w:sz="4" w:space="0" w:color="auto"/>
              <w:bottom w:val="single" w:sz="4" w:space="0" w:color="auto"/>
              <w:right w:val="single" w:sz="4" w:space="0" w:color="auto"/>
            </w:tcBorders>
            <w:shd w:val="clear" w:color="000000" w:fill="FFFFFF"/>
            <w:vAlign w:val="center"/>
          </w:tcPr>
          <w:p>
            <w:pPr>
              <w:widowControl/>
              <w:jc w:val="center"/>
              <w:rPr>
                <w:color w:val="auto"/>
                <w:kern w:val="0"/>
                <w:szCs w:val="21"/>
              </w:rPr>
            </w:pPr>
            <w:r>
              <w:rPr>
                <w:rFonts w:hAnsi="宋体"/>
                <w:color w:val="auto"/>
                <w:kern w:val="0"/>
                <w:szCs w:val="21"/>
              </w:rPr>
              <w:t>宁波乐惠</w:t>
            </w:r>
          </w:p>
        </w:tc>
        <w:tc>
          <w:tcPr>
            <w:tcW w:w="125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bCs/>
                <w:color w:val="auto"/>
                <w:kern w:val="0"/>
                <w:szCs w:val="21"/>
              </w:rPr>
            </w:pPr>
            <w:r>
              <w:rPr>
                <w:rFonts w:hAnsi="宋体"/>
                <w:bCs/>
                <w:color w:val="auto"/>
                <w:kern w:val="0"/>
                <w:szCs w:val="21"/>
              </w:rPr>
              <w:t>长网</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rFonts w:hint="eastAsia"/>
                <w:color w:val="auto"/>
                <w:kern w:val="0"/>
                <w:szCs w:val="21"/>
              </w:rPr>
              <w:t>75</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破碎机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Rapid</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color w:val="auto"/>
                <w:kern w:val="0"/>
                <w:szCs w:val="21"/>
              </w:rPr>
            </w:pPr>
            <w:r>
              <w:rPr>
                <w:bCs/>
                <w:color w:val="auto"/>
                <w:kern w:val="0"/>
                <w:szCs w:val="21"/>
              </w:rPr>
              <w:t>半成品包装</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rFonts w:hint="eastAsia"/>
                <w:color w:val="auto"/>
                <w:kern w:val="0"/>
                <w:szCs w:val="21"/>
              </w:rPr>
              <w:t>76</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拌胶罐（带搅拌电机）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17L0002-1EB2.3-3FA4 180M</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rFonts w:hint="eastAsia"/>
                <w:color w:val="auto"/>
                <w:kern w:val="0"/>
                <w:szCs w:val="21"/>
              </w:rPr>
              <w:t>77</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风机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宁波乐惠</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rFonts w:hint="eastAsia"/>
                <w:color w:val="auto"/>
                <w:kern w:val="0"/>
                <w:szCs w:val="21"/>
              </w:rPr>
              <w:t>78</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风机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宁波乐惠</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rFonts w:hint="eastAsia"/>
                <w:color w:val="auto"/>
                <w:kern w:val="0"/>
                <w:szCs w:val="21"/>
              </w:rPr>
              <w:t>79</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打包机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宁波乐惠</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rFonts w:hint="eastAsia"/>
                <w:color w:val="auto"/>
                <w:kern w:val="0"/>
                <w:szCs w:val="21"/>
              </w:rPr>
              <w:t>80</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成品拌胶罐（带搅拌电机）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宁波乐惠</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color w:val="auto"/>
                <w:kern w:val="0"/>
                <w:szCs w:val="21"/>
              </w:rPr>
            </w:pPr>
            <w:r>
              <w:rPr>
                <w:bCs/>
                <w:color w:val="auto"/>
                <w:kern w:val="0"/>
                <w:szCs w:val="21"/>
              </w:rPr>
              <w:t>成品包装</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rFonts w:hint="eastAsia"/>
                <w:color w:val="auto"/>
                <w:kern w:val="0"/>
                <w:szCs w:val="21"/>
              </w:rPr>
              <w:t>81</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风机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宁波乐惠</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rFonts w:hint="eastAsia"/>
                <w:color w:val="auto"/>
                <w:kern w:val="0"/>
                <w:szCs w:val="21"/>
              </w:rPr>
              <w:t>82</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风机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宁波乐惠</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rFonts w:hint="eastAsia"/>
                <w:color w:val="auto"/>
                <w:kern w:val="0"/>
                <w:szCs w:val="21"/>
              </w:rPr>
              <w:t>83</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打包机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宁波乐惠</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color w:val="auto"/>
                <w:kern w:val="0"/>
                <w:szCs w:val="21"/>
              </w:rPr>
              <w:t>8</w:t>
            </w:r>
            <w:r>
              <w:rPr>
                <w:rFonts w:hint="eastAsia"/>
                <w:color w:val="auto"/>
                <w:kern w:val="0"/>
                <w:szCs w:val="21"/>
              </w:rPr>
              <w:t>4</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小包装打包机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宁波乐惠</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color w:val="auto"/>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color w:val="auto"/>
                <w:kern w:val="0"/>
                <w:szCs w:val="21"/>
              </w:rPr>
            </w:pPr>
            <w:r>
              <w:rPr>
                <w:rFonts w:hint="eastAsia"/>
                <w:color w:val="auto"/>
                <w:kern w:val="0"/>
                <w:szCs w:val="21"/>
              </w:rPr>
              <w:t>85</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浮选缓冲罐（带搅拌电机）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color w:val="auto"/>
              </w:rPr>
            </w:pPr>
            <w:r>
              <w:rPr>
                <w:color w:val="auto"/>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color w:val="auto"/>
                <w:kern w:val="0"/>
                <w:szCs w:val="21"/>
              </w:rPr>
            </w:pPr>
            <w:r>
              <w:rPr>
                <w:color w:val="auto"/>
                <w:kern w:val="0"/>
                <w:szCs w:val="21"/>
              </w:rPr>
              <w:t>160MH/4 TF</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color w:val="auto"/>
                <w:kern w:val="0"/>
                <w:szCs w:val="21"/>
              </w:rPr>
            </w:pPr>
            <w:r>
              <w:rPr>
                <w:bCs/>
                <w:color w:val="auto"/>
                <w:kern w:val="0"/>
                <w:szCs w:val="21"/>
              </w:rPr>
              <w:t>浮选</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rFonts w:hint="eastAsia"/>
                <w:kern w:val="0"/>
                <w:szCs w:val="21"/>
              </w:rPr>
              <w:t>86</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中和罐（带搅拌电机）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杭州中意</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rFonts w:hint="eastAsia"/>
                <w:kern w:val="0"/>
                <w:szCs w:val="21"/>
              </w:rPr>
              <w:t>87</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浮选罐（带搅拌电机）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杭州中意</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rFonts w:hint="eastAsia"/>
                <w:kern w:val="0"/>
                <w:szCs w:val="21"/>
              </w:rPr>
              <w:t>88</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添加泵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71L/4 TFF</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rFonts w:hint="eastAsia"/>
                <w:kern w:val="0"/>
                <w:szCs w:val="21"/>
              </w:rPr>
              <w:t>89</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前浮选加载泵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1TL0002-1BB2 3-3FA4-Z 112M</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9</w:t>
            </w:r>
            <w:r>
              <w:rPr>
                <w:rFonts w:hint="eastAsia"/>
                <w:kern w:val="0"/>
                <w:szCs w:val="21"/>
              </w:rPr>
              <w:t>0</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脂肪排放泵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R57 DRE132S4</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9</w:t>
            </w:r>
            <w:r>
              <w:rPr>
                <w:rFonts w:hint="eastAsia"/>
                <w:kern w:val="0"/>
                <w:szCs w:val="21"/>
              </w:rPr>
              <w:t>1</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气体排放泵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M2BA180MLB4 B5</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9</w:t>
            </w:r>
            <w:r>
              <w:rPr>
                <w:rFonts w:hint="eastAsia"/>
                <w:kern w:val="0"/>
                <w:szCs w:val="21"/>
              </w:rPr>
              <w:t>2</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中和罐加载泵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M2BA180MLB4 B5</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9</w:t>
            </w:r>
            <w:r>
              <w:rPr>
                <w:rFonts w:hint="eastAsia"/>
                <w:kern w:val="0"/>
                <w:szCs w:val="21"/>
              </w:rPr>
              <w:t>3</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熬油罐</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宁波乐惠</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kern w:val="0"/>
                <w:szCs w:val="21"/>
              </w:rPr>
            </w:pPr>
            <w:r>
              <w:rPr>
                <w:bCs/>
                <w:kern w:val="0"/>
                <w:szCs w:val="21"/>
              </w:rPr>
              <w:t>熬油</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9</w:t>
            </w:r>
            <w:r>
              <w:rPr>
                <w:rFonts w:hint="eastAsia"/>
                <w:kern w:val="0"/>
                <w:szCs w:val="21"/>
              </w:rPr>
              <w:t>4</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进换热器加载泵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宁波乐惠</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9</w:t>
            </w:r>
            <w:r>
              <w:rPr>
                <w:rFonts w:hint="eastAsia"/>
                <w:kern w:val="0"/>
                <w:szCs w:val="21"/>
              </w:rPr>
              <w:t>5</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三相分离器</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华鼎</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9</w:t>
            </w:r>
            <w:r>
              <w:rPr>
                <w:rFonts w:hint="eastAsia"/>
                <w:kern w:val="0"/>
                <w:szCs w:val="21"/>
              </w:rPr>
              <w:t>6</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明胶加载泵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宁波乐惠</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9</w:t>
            </w:r>
            <w:r>
              <w:rPr>
                <w:rFonts w:hint="eastAsia"/>
                <w:kern w:val="0"/>
                <w:szCs w:val="21"/>
              </w:rPr>
              <w:t>7</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明胶排放泵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宁波乐惠</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9</w:t>
            </w:r>
            <w:r>
              <w:rPr>
                <w:rFonts w:hint="eastAsia"/>
                <w:kern w:val="0"/>
                <w:szCs w:val="21"/>
              </w:rPr>
              <w:t>8</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脂肪排放泵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宁波乐惠</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bl>
    <w:p>
      <w:pPr>
        <w:sectPr>
          <w:headerReference w:type="even" r:id="rId47"/>
          <w:headerReference w:type="default" r:id="rId48"/>
          <w:footerReference w:type="even" r:id="rId49"/>
          <w:footerReference w:type="default" r:id="rId50"/>
          <w:type w:val="nextPage"/>
          <w:pgSz w:w="11907" w:h="16840"/>
          <w:pgMar w:top="1418" w:right="1418" w:bottom="1021" w:left="1418" w:header="851" w:footer="851" w:gutter="284"/>
          <w:pgNumType w:start="10"/>
          <w:cols w:space="708"/>
          <w:titlePg w:val="0"/>
          <w:docGrid w:linePitch="289"/>
        </w:sectPr>
      </w:pPr>
    </w:p>
    <w:tbl>
      <w:tblPr>
        <w:tblStyle w:val="TableNormal"/>
        <w:tblW w:w="0" w:type="auto"/>
        <w:jc w:val="center"/>
        <w:tblLayout w:type="fixed"/>
        <w:tblCellMar>
          <w:top w:w="0" w:type="dxa"/>
          <w:left w:w="108" w:type="dxa"/>
          <w:bottom w:w="0" w:type="dxa"/>
          <w:right w:w="108" w:type="dxa"/>
        </w:tblCellMar>
        <w:tblLook w:val="0000"/>
      </w:tblPr>
      <w:tblGrid>
        <w:gridCol w:w="816"/>
        <w:gridCol w:w="1651"/>
        <w:gridCol w:w="1124"/>
        <w:gridCol w:w="1124"/>
        <w:gridCol w:w="2283"/>
        <w:gridCol w:w="1256"/>
      </w:tblGrid>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rFonts w:hint="eastAsia"/>
                <w:kern w:val="0"/>
                <w:szCs w:val="21"/>
              </w:rPr>
              <w:t>99</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空压系统</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宁波乐惠</w:t>
            </w:r>
          </w:p>
        </w:tc>
        <w:tc>
          <w:tcPr>
            <w:tcW w:w="1256" w:type="dxa"/>
            <w:vMerge w:val="restart"/>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10</w:t>
            </w:r>
            <w:r>
              <w:rPr>
                <w:rFonts w:hint="eastAsia"/>
                <w:kern w:val="0"/>
                <w:szCs w:val="21"/>
              </w:rPr>
              <w:t>0</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化学添加泵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南京麦文</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kern w:val="0"/>
                <w:szCs w:val="21"/>
              </w:rPr>
            </w:pPr>
            <w:r>
              <w:rPr>
                <w:bCs/>
                <w:kern w:val="0"/>
                <w:szCs w:val="21"/>
              </w:rPr>
              <w:t>净水处理</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w:t>
            </w:r>
            <w:r>
              <w:rPr>
                <w:rFonts w:hint="eastAsia"/>
                <w:kern w:val="0"/>
                <w:szCs w:val="21"/>
              </w:rPr>
              <w:t>01</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源水泵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南京麦文</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10</w:t>
            </w:r>
            <w:r>
              <w:rPr>
                <w:rFonts w:hint="eastAsia"/>
                <w:kern w:val="0"/>
                <w:szCs w:val="21"/>
              </w:rPr>
              <w:t>2</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源水泵（一体机后去缓冲水池）</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南京麦文</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10</w:t>
            </w:r>
            <w:r>
              <w:rPr>
                <w:rFonts w:hint="eastAsia"/>
                <w:kern w:val="0"/>
                <w:szCs w:val="21"/>
              </w:rPr>
              <w:t>3</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进砂</w:t>
            </w:r>
            <w:r>
              <w:rPr>
                <w:rFonts w:hint="eastAsia"/>
                <w:kern w:val="0"/>
                <w:szCs w:val="21"/>
              </w:rPr>
              <w:t>滤</w:t>
            </w:r>
            <w:r>
              <w:rPr>
                <w:kern w:val="0"/>
                <w:szCs w:val="21"/>
              </w:rPr>
              <w:t>的泵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南京麦文</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10</w:t>
            </w:r>
            <w:r>
              <w:rPr>
                <w:rFonts w:hint="eastAsia"/>
                <w:kern w:val="0"/>
                <w:szCs w:val="21"/>
              </w:rPr>
              <w:t>4</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砂</w:t>
            </w:r>
            <w:r>
              <w:rPr>
                <w:rFonts w:hint="eastAsia"/>
                <w:kern w:val="0"/>
                <w:szCs w:val="21"/>
              </w:rPr>
              <w:t>滤</w:t>
            </w:r>
            <w:r>
              <w:rPr>
                <w:kern w:val="0"/>
                <w:szCs w:val="21"/>
              </w:rPr>
              <w:t>后的泵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南京麦文</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10</w:t>
            </w:r>
            <w:r>
              <w:rPr>
                <w:rFonts w:hint="eastAsia"/>
                <w:kern w:val="0"/>
                <w:szCs w:val="21"/>
              </w:rPr>
              <w:t>5</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清洗水泵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南京麦文</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10</w:t>
            </w:r>
            <w:r>
              <w:rPr>
                <w:rFonts w:hint="eastAsia"/>
                <w:kern w:val="0"/>
                <w:szCs w:val="21"/>
              </w:rPr>
              <w:t>6</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双氧水缓冲罐</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南京麦文</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kern w:val="0"/>
                <w:szCs w:val="21"/>
              </w:rPr>
            </w:pPr>
            <w:r>
              <w:rPr>
                <w:bCs/>
                <w:kern w:val="0"/>
                <w:szCs w:val="21"/>
              </w:rPr>
              <w:t>化学品添加</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10</w:t>
            </w:r>
            <w:r>
              <w:rPr>
                <w:rFonts w:hint="eastAsia"/>
                <w:kern w:val="0"/>
                <w:szCs w:val="21"/>
              </w:rPr>
              <w:t>7</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化学品添加泵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rFonts w:hint="eastAsia"/>
                <w:kern w:val="0"/>
                <w:szCs w:val="21"/>
              </w:rPr>
            </w:pPr>
            <w:r>
              <w:rPr>
                <w:rFonts w:hint="eastAsia"/>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rFonts w:hint="eastAsia"/>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南京麦文</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10</w:t>
            </w:r>
            <w:r>
              <w:rPr>
                <w:rFonts w:hint="eastAsia"/>
                <w:kern w:val="0"/>
                <w:szCs w:val="21"/>
              </w:rPr>
              <w:t>8</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酸缓冲罐</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南京麦文</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kern w:val="0"/>
                <w:szCs w:val="21"/>
              </w:rPr>
            </w:pPr>
            <w:r>
              <w:rPr>
                <w:bCs/>
                <w:kern w:val="0"/>
                <w:szCs w:val="21"/>
              </w:rPr>
              <w:t>化学品添加</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w:t>
            </w:r>
            <w:r>
              <w:rPr>
                <w:rFonts w:hint="eastAsia"/>
                <w:kern w:val="0"/>
                <w:szCs w:val="21"/>
              </w:rPr>
              <w:t>09</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化学品添加泵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rFonts w:hint="eastAsia"/>
                <w:kern w:val="0"/>
                <w:szCs w:val="21"/>
              </w:rPr>
            </w:pPr>
            <w:r>
              <w:rPr>
                <w:rFonts w:hint="eastAsia"/>
                <w:kern w:val="0"/>
                <w:szCs w:val="21"/>
              </w:rPr>
              <w:t>3</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rFonts w:hint="eastAsia"/>
                <w:kern w:val="0"/>
                <w:szCs w:val="21"/>
              </w:rPr>
              <w:t>3</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南京麦文</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11</w:t>
            </w:r>
            <w:r>
              <w:rPr>
                <w:rFonts w:hint="eastAsia"/>
                <w:kern w:val="0"/>
                <w:szCs w:val="21"/>
              </w:rPr>
              <w:t>0</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添加泵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南京麦文</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11</w:t>
            </w:r>
            <w:r>
              <w:rPr>
                <w:rFonts w:hint="eastAsia"/>
                <w:kern w:val="0"/>
                <w:szCs w:val="21"/>
              </w:rPr>
              <w:t>1</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氢氧化钠缓冲罐</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南京麦文</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kern w:val="0"/>
                <w:szCs w:val="21"/>
              </w:rPr>
            </w:pPr>
            <w:r>
              <w:rPr>
                <w:bCs/>
                <w:kern w:val="0"/>
                <w:szCs w:val="21"/>
              </w:rPr>
              <w:t>化学品添加</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11</w:t>
            </w:r>
            <w:r>
              <w:rPr>
                <w:rFonts w:hint="eastAsia"/>
                <w:kern w:val="0"/>
                <w:szCs w:val="21"/>
              </w:rPr>
              <w:t>2</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化学品添加泵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rFonts w:hint="eastAsia"/>
                <w:kern w:val="0"/>
                <w:szCs w:val="21"/>
              </w:rPr>
            </w:pPr>
            <w:r>
              <w:rPr>
                <w:rFonts w:hint="eastAsia"/>
                <w:kern w:val="0"/>
                <w:szCs w:val="21"/>
              </w:rPr>
              <w:t>4</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rFonts w:hint="eastAsia"/>
                <w:kern w:val="0"/>
                <w:szCs w:val="21"/>
              </w:rPr>
              <w:t>4</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南京麦文</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11</w:t>
            </w:r>
            <w:r>
              <w:rPr>
                <w:rFonts w:hint="eastAsia"/>
                <w:kern w:val="0"/>
                <w:szCs w:val="21"/>
              </w:rPr>
              <w:t>3</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化学品添加泵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南京麦文</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11</w:t>
            </w:r>
            <w:r>
              <w:rPr>
                <w:rFonts w:hint="eastAsia"/>
                <w:kern w:val="0"/>
                <w:szCs w:val="21"/>
              </w:rPr>
              <w:t>4</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酸加载添加泵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南京麦文</w:t>
            </w:r>
          </w:p>
        </w:tc>
        <w:tc>
          <w:tcPr>
            <w:tcW w:w="1256" w:type="dxa"/>
            <w:tcBorders>
              <w:top w:val="nil"/>
              <w:left w:val="nil"/>
              <w:bottom w:val="single" w:sz="4" w:space="0" w:color="auto"/>
              <w:right w:val="single" w:sz="4" w:space="0" w:color="auto"/>
            </w:tcBorders>
            <w:shd w:val="clear" w:color="000000" w:fill="FFFFFF"/>
            <w:vAlign w:val="center"/>
          </w:tcPr>
          <w:p>
            <w:pPr>
              <w:widowControl/>
              <w:jc w:val="center"/>
              <w:rPr>
                <w:bCs/>
                <w:kern w:val="0"/>
                <w:szCs w:val="21"/>
              </w:rPr>
            </w:pPr>
            <w:r>
              <w:rPr>
                <w:bCs/>
                <w:kern w:val="0"/>
                <w:szCs w:val="21"/>
              </w:rPr>
              <w:t>化学品添加</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11</w:t>
            </w:r>
            <w:r>
              <w:rPr>
                <w:rFonts w:hint="eastAsia"/>
                <w:kern w:val="0"/>
                <w:szCs w:val="21"/>
              </w:rPr>
              <w:t>5</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去离子水系统</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杭州百盛</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kern w:val="0"/>
                <w:szCs w:val="21"/>
              </w:rPr>
            </w:pPr>
            <w:r>
              <w:rPr>
                <w:bCs/>
                <w:kern w:val="0"/>
                <w:szCs w:val="21"/>
              </w:rPr>
              <w:t>去离子水系统</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11</w:t>
            </w:r>
            <w:r>
              <w:rPr>
                <w:rFonts w:hint="eastAsia"/>
                <w:kern w:val="0"/>
                <w:szCs w:val="21"/>
              </w:rPr>
              <w:t>6</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去离子水加载泵(供应去离子水）</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HK20L1-2</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w:t>
            </w:r>
            <w:r>
              <w:rPr>
                <w:rFonts w:hint="eastAsia"/>
                <w:kern w:val="0"/>
                <w:szCs w:val="21"/>
              </w:rPr>
              <w:t>17</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rFonts w:hint="eastAsia"/>
                <w:kern w:val="0"/>
                <w:szCs w:val="21"/>
              </w:rPr>
            </w:pPr>
            <w:r>
              <w:rPr>
                <w:rFonts w:hint="eastAsia"/>
                <w:kern w:val="0"/>
                <w:szCs w:val="21"/>
              </w:rPr>
              <w:t>燃气</w:t>
            </w:r>
            <w:r>
              <w:rPr>
                <w:kern w:val="0"/>
                <w:szCs w:val="21"/>
              </w:rPr>
              <w:t>锅炉系统10t/h</w:t>
            </w:r>
            <w:r>
              <w:rPr>
                <w:rFonts w:hint="eastAsia"/>
                <w:kern w:val="0"/>
                <w:szCs w:val="21"/>
              </w:rPr>
              <w:t>（备用）</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rFonts w:hint="eastAsia"/>
                <w:kern w:val="0"/>
                <w:szCs w:val="21"/>
              </w:rPr>
            </w:pPr>
            <w:r>
              <w:rPr>
                <w:rFonts w:hint="eastAsia"/>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rFonts w:hint="eastAsia"/>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克雷顿</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kern w:val="0"/>
                <w:szCs w:val="21"/>
              </w:rPr>
            </w:pPr>
            <w:r>
              <w:rPr>
                <w:bCs/>
                <w:kern w:val="0"/>
                <w:szCs w:val="21"/>
              </w:rPr>
              <w:t>锅炉</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w:t>
            </w:r>
            <w:r>
              <w:rPr>
                <w:rFonts w:hint="eastAsia"/>
                <w:kern w:val="0"/>
                <w:szCs w:val="21"/>
              </w:rPr>
              <w:t>18</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rFonts w:hint="eastAsia"/>
                <w:kern w:val="0"/>
                <w:szCs w:val="21"/>
              </w:rPr>
              <w:t>燃煤</w:t>
            </w:r>
            <w:r>
              <w:rPr>
                <w:kern w:val="0"/>
                <w:szCs w:val="21"/>
              </w:rPr>
              <w:t>锅炉系统</w:t>
            </w:r>
            <w:r>
              <w:rPr>
                <w:rFonts w:hint="eastAsia"/>
                <w:kern w:val="0"/>
                <w:szCs w:val="21"/>
              </w:rPr>
              <w:t>2</w:t>
            </w:r>
            <w:r>
              <w:rPr>
                <w:kern w:val="0"/>
                <w:szCs w:val="21"/>
              </w:rPr>
              <w:t>0t/h</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w:t>
            </w:r>
            <w:r>
              <w:rPr>
                <w:rFonts w:hint="eastAsia"/>
                <w:kern w:val="0"/>
                <w:szCs w:val="21"/>
              </w:rPr>
              <w:t>19</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冷凝水泵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AF100L/2C-11S+E2/0807</w:t>
            </w:r>
          </w:p>
        </w:tc>
        <w:tc>
          <w:tcPr>
            <w:tcW w:w="1256" w:type="dxa"/>
            <w:tcBorders>
              <w:top w:val="nil"/>
              <w:left w:val="nil"/>
              <w:bottom w:val="single" w:sz="4" w:space="0" w:color="auto"/>
              <w:right w:val="single" w:sz="4" w:space="0" w:color="auto"/>
            </w:tcBorders>
            <w:shd w:val="clear" w:color="000000" w:fill="FFFFFF"/>
            <w:vAlign w:val="center"/>
          </w:tcPr>
          <w:p>
            <w:pPr>
              <w:widowControl/>
              <w:jc w:val="center"/>
              <w:rPr>
                <w:bCs/>
                <w:kern w:val="0"/>
                <w:szCs w:val="21"/>
              </w:rPr>
            </w:pPr>
            <w:r>
              <w:rPr>
                <w:bCs/>
                <w:kern w:val="0"/>
                <w:szCs w:val="21"/>
              </w:rPr>
              <w:t>蒸汽系统</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12</w:t>
            </w:r>
            <w:r>
              <w:rPr>
                <w:rFonts w:hint="eastAsia"/>
                <w:kern w:val="0"/>
                <w:szCs w:val="21"/>
              </w:rPr>
              <w:t>0</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-18℃冷冻机系统</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rFonts w:hint="eastAsia"/>
                <w:kern w:val="0"/>
                <w:szCs w:val="21"/>
              </w:rPr>
            </w:pPr>
            <w:r>
              <w:rPr>
                <w:rFonts w:hint="eastAsia"/>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rFonts w:hint="eastAsia"/>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广州恒星</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kern w:val="0"/>
                <w:szCs w:val="21"/>
              </w:rPr>
            </w:pPr>
            <w:r>
              <w:rPr>
                <w:bCs/>
                <w:kern w:val="0"/>
                <w:szCs w:val="21"/>
              </w:rPr>
              <w:t>负18度冷冻机系统</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12</w:t>
            </w:r>
            <w:r>
              <w:rPr>
                <w:rFonts w:hint="eastAsia"/>
                <w:kern w:val="0"/>
                <w:szCs w:val="21"/>
              </w:rPr>
              <w:t>1</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甘油泵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rFonts w:hint="eastAsia"/>
                <w:kern w:val="0"/>
                <w:szCs w:val="21"/>
              </w:rPr>
            </w:pPr>
            <w:r>
              <w:rPr>
                <w:rFonts w:hint="eastAsia"/>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rFonts w:hint="eastAsia"/>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Y2A132S2-2</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12</w:t>
            </w:r>
            <w:r>
              <w:rPr>
                <w:rFonts w:hint="eastAsia"/>
                <w:kern w:val="0"/>
                <w:szCs w:val="21"/>
              </w:rPr>
              <w:t>2</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甘油泵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广州恒星</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12</w:t>
            </w:r>
            <w:r>
              <w:rPr>
                <w:rFonts w:hint="eastAsia"/>
                <w:kern w:val="0"/>
                <w:szCs w:val="21"/>
              </w:rPr>
              <w:t>3</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甘油泵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HK 90L-2</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12</w:t>
            </w:r>
            <w:r>
              <w:rPr>
                <w:rFonts w:hint="eastAsia"/>
                <w:kern w:val="0"/>
                <w:szCs w:val="21"/>
              </w:rPr>
              <w:t>4</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5℃冷冻机系统</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广州恒星</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kern w:val="0"/>
                <w:szCs w:val="21"/>
              </w:rPr>
            </w:pPr>
            <w:r>
              <w:rPr>
                <w:bCs/>
                <w:kern w:val="0"/>
                <w:szCs w:val="21"/>
              </w:rPr>
              <w:t>洗皮冷冻水系统</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w:t>
            </w:r>
            <w:r>
              <w:rPr>
                <w:rFonts w:hint="eastAsia"/>
                <w:kern w:val="0"/>
                <w:szCs w:val="21"/>
              </w:rPr>
              <w:t>25</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冷却水的泵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广州恒星</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w:t>
            </w:r>
            <w:r>
              <w:rPr>
                <w:rFonts w:hint="eastAsia"/>
                <w:kern w:val="0"/>
                <w:szCs w:val="21"/>
              </w:rPr>
              <w:t>26</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冷却水循环泵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广州恒星</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w:t>
            </w:r>
            <w:r>
              <w:rPr>
                <w:rFonts w:hint="eastAsia"/>
                <w:kern w:val="0"/>
                <w:szCs w:val="21"/>
              </w:rPr>
              <w:t>27</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冷却塔系统</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3</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3</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SPX</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kern w:val="0"/>
                <w:szCs w:val="21"/>
              </w:rPr>
            </w:pPr>
            <w:r>
              <w:rPr>
                <w:bCs/>
                <w:kern w:val="0"/>
                <w:szCs w:val="21"/>
              </w:rPr>
              <w:t>冷却塔系统</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w:t>
            </w:r>
            <w:r>
              <w:rPr>
                <w:rFonts w:hint="eastAsia"/>
                <w:kern w:val="0"/>
                <w:szCs w:val="21"/>
              </w:rPr>
              <w:t>28</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进 冷却塔的泵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4</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4</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XY2VP-180L-4A</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w:t>
            </w:r>
            <w:r>
              <w:rPr>
                <w:rFonts w:hint="eastAsia"/>
                <w:kern w:val="0"/>
                <w:szCs w:val="21"/>
              </w:rPr>
              <w:t>29</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去长网的泵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XY2VP-180L-4</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bl>
    <w:p>
      <w:pPr>
        <w:sectPr>
          <w:headerReference w:type="even" r:id="rId51"/>
          <w:headerReference w:type="default" r:id="rId52"/>
          <w:footerReference w:type="even" r:id="rId53"/>
          <w:footerReference w:type="default" r:id="rId54"/>
          <w:type w:val="nextPage"/>
          <w:pgSz w:w="11907" w:h="16840"/>
          <w:pgMar w:top="1418" w:right="1418" w:bottom="1021" w:left="1418" w:header="851" w:footer="851" w:gutter="284"/>
          <w:pgNumType w:start="11"/>
          <w:cols w:space="708"/>
          <w:titlePg w:val="0"/>
          <w:docGrid w:linePitch="289"/>
        </w:sectPr>
      </w:pPr>
    </w:p>
    <w:tbl>
      <w:tblPr>
        <w:tblStyle w:val="TableNormal"/>
        <w:tblW w:w="0" w:type="auto"/>
        <w:jc w:val="center"/>
        <w:tblLayout w:type="fixed"/>
        <w:tblCellMar>
          <w:top w:w="0" w:type="dxa"/>
          <w:left w:w="108" w:type="dxa"/>
          <w:bottom w:w="0" w:type="dxa"/>
          <w:right w:w="108" w:type="dxa"/>
        </w:tblCellMar>
        <w:tblLook w:val="0000"/>
      </w:tblPr>
      <w:tblGrid>
        <w:gridCol w:w="816"/>
        <w:gridCol w:w="1651"/>
        <w:gridCol w:w="1124"/>
        <w:gridCol w:w="1124"/>
        <w:gridCol w:w="2283"/>
        <w:gridCol w:w="1256"/>
      </w:tblGrid>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13</w:t>
            </w:r>
            <w:r>
              <w:rPr>
                <w:rFonts w:hint="eastAsia"/>
                <w:kern w:val="0"/>
                <w:szCs w:val="21"/>
              </w:rPr>
              <w:t>0</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去超滤，闪蒸等冷凝用的泵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XY2VP-160M2-2</w:t>
            </w:r>
          </w:p>
        </w:tc>
        <w:tc>
          <w:tcPr>
            <w:tcW w:w="1256" w:type="dxa"/>
            <w:vMerge w:val="restart"/>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13</w:t>
            </w:r>
            <w:r>
              <w:rPr>
                <w:rFonts w:hint="eastAsia"/>
                <w:kern w:val="0"/>
                <w:szCs w:val="21"/>
              </w:rPr>
              <w:t>1</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去-18度冷冻机冷却的泵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XY2VP-132S1-2</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13</w:t>
            </w:r>
            <w:r>
              <w:rPr>
                <w:rFonts w:hint="eastAsia"/>
                <w:kern w:val="0"/>
                <w:szCs w:val="21"/>
              </w:rPr>
              <w:t>2</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去5度冷冻机冷却的泵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XY2VP-200L-4</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13</w:t>
            </w:r>
            <w:r>
              <w:rPr>
                <w:rFonts w:hint="eastAsia"/>
                <w:kern w:val="0"/>
                <w:szCs w:val="21"/>
              </w:rPr>
              <w:t>3</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去除湿机的泵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YP225S-4</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13</w:t>
            </w:r>
            <w:r>
              <w:rPr>
                <w:rFonts w:hint="eastAsia"/>
                <w:kern w:val="0"/>
                <w:szCs w:val="21"/>
              </w:rPr>
              <w:t>4</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化学品添加泵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71L/4 TF F</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w:t>
            </w:r>
            <w:r>
              <w:rPr>
                <w:rFonts w:hint="eastAsia"/>
                <w:kern w:val="0"/>
                <w:szCs w:val="21"/>
              </w:rPr>
              <w:t>35</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空压系统</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F225L-20010</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kern w:val="0"/>
                <w:szCs w:val="21"/>
              </w:rPr>
            </w:pPr>
            <w:r>
              <w:rPr>
                <w:bCs/>
                <w:kern w:val="0"/>
                <w:szCs w:val="21"/>
              </w:rPr>
              <w:t>空压机系统</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w:t>
            </w:r>
            <w:r>
              <w:rPr>
                <w:rFonts w:hint="eastAsia"/>
                <w:kern w:val="0"/>
                <w:szCs w:val="21"/>
              </w:rPr>
              <w:t>36</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空气冷冻干燥机</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D540INR-A</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w:t>
            </w:r>
            <w:r>
              <w:rPr>
                <w:rFonts w:hint="eastAsia"/>
                <w:kern w:val="0"/>
                <w:szCs w:val="21"/>
              </w:rPr>
              <w:t>37</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热水泵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160M2-2</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kern w:val="0"/>
                <w:szCs w:val="21"/>
              </w:rPr>
            </w:pPr>
            <w:r>
              <w:rPr>
                <w:bCs/>
                <w:kern w:val="0"/>
                <w:szCs w:val="21"/>
              </w:rPr>
              <w:t>热水系统</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w:t>
            </w:r>
            <w:r>
              <w:rPr>
                <w:rFonts w:hint="eastAsia"/>
                <w:kern w:val="0"/>
                <w:szCs w:val="21"/>
              </w:rPr>
              <w:t>38</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rFonts w:hint="eastAsia"/>
                <w:kern w:val="0"/>
                <w:szCs w:val="21"/>
              </w:rPr>
              <w:t>水</w:t>
            </w:r>
            <w:r>
              <w:rPr>
                <w:kern w:val="0"/>
                <w:szCs w:val="21"/>
              </w:rPr>
              <w:t>洗水泵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M2BA160MLB2 B35</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w:t>
            </w:r>
            <w:r>
              <w:rPr>
                <w:rFonts w:hint="eastAsia"/>
                <w:kern w:val="0"/>
                <w:szCs w:val="21"/>
              </w:rPr>
              <w:t>39</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熬胶水泵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160M1-2</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14</w:t>
            </w:r>
            <w:r>
              <w:rPr>
                <w:rFonts w:hint="eastAsia"/>
                <w:kern w:val="0"/>
                <w:szCs w:val="21"/>
              </w:rPr>
              <w:t>0</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过热水泵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160M1-2</w:t>
            </w:r>
          </w:p>
        </w:tc>
        <w:tc>
          <w:tcPr>
            <w:tcW w:w="1256" w:type="dxa"/>
            <w:tcBorders>
              <w:top w:val="nil"/>
              <w:left w:val="nil"/>
              <w:bottom w:val="single" w:sz="4" w:space="0" w:color="auto"/>
              <w:right w:val="single" w:sz="4" w:space="0" w:color="auto"/>
            </w:tcBorders>
            <w:shd w:val="clear" w:color="000000" w:fill="FFFFFF"/>
            <w:vAlign w:val="center"/>
          </w:tcPr>
          <w:p>
            <w:pPr>
              <w:widowControl/>
              <w:jc w:val="center"/>
              <w:rPr>
                <w:bCs/>
                <w:kern w:val="0"/>
                <w:szCs w:val="21"/>
              </w:rPr>
            </w:pPr>
            <w:r>
              <w:rPr>
                <w:bCs/>
                <w:kern w:val="0"/>
                <w:szCs w:val="21"/>
              </w:rPr>
              <w:t>压力水系统</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14</w:t>
            </w:r>
            <w:r>
              <w:rPr>
                <w:rFonts w:hint="eastAsia"/>
                <w:kern w:val="0"/>
                <w:szCs w:val="21"/>
              </w:rPr>
              <w:t>1</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CIP 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1</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1</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宁波乐惠</w:t>
            </w:r>
          </w:p>
        </w:tc>
        <w:tc>
          <w:tcPr>
            <w:tcW w:w="1256" w:type="dxa"/>
            <w:vMerge w:val="restart"/>
            <w:tcBorders>
              <w:top w:val="nil"/>
              <w:left w:val="single" w:sz="4" w:space="0" w:color="auto"/>
              <w:bottom w:val="single" w:sz="4" w:space="0" w:color="000000"/>
              <w:right w:val="single" w:sz="4" w:space="0" w:color="auto"/>
            </w:tcBorders>
            <w:shd w:val="clear" w:color="000000" w:fill="FFFFFF"/>
            <w:vAlign w:val="center"/>
          </w:tcPr>
          <w:p>
            <w:pPr>
              <w:widowControl/>
              <w:jc w:val="center"/>
              <w:rPr>
                <w:bCs/>
                <w:kern w:val="0"/>
                <w:szCs w:val="21"/>
              </w:rPr>
            </w:pPr>
            <w:r>
              <w:rPr>
                <w:bCs/>
                <w:kern w:val="0"/>
                <w:szCs w:val="21"/>
              </w:rPr>
              <w:t>CIP系统</w:t>
            </w:r>
          </w:p>
        </w:tc>
      </w:tr>
      <w:tr>
        <w:tblPrEx>
          <w:tblW w:w="0" w:type="auto"/>
          <w:jc w:val="center"/>
          <w:tblLayout w:type="fixed"/>
          <w:tblCellMar>
            <w:top w:w="0" w:type="dxa"/>
            <w:left w:w="108" w:type="dxa"/>
            <w:bottom w:w="0" w:type="dxa"/>
            <w:right w:w="108" w:type="dxa"/>
          </w:tblCellMar>
          <w:tblLook w:val="0000"/>
        </w:tblPrEx>
        <w:trPr>
          <w:trHeight w:val="397"/>
          <w:tblHeader/>
          <w:jc w:val="center"/>
        </w:trPr>
        <w:tc>
          <w:tcPr>
            <w:tcW w:w="816" w:type="dxa"/>
            <w:tcBorders>
              <w:top w:val="nil"/>
              <w:left w:val="single" w:sz="4" w:space="0" w:color="auto"/>
              <w:bottom w:val="single" w:sz="4" w:space="0" w:color="auto"/>
              <w:right w:val="single" w:sz="4" w:space="0" w:color="auto"/>
            </w:tcBorders>
            <w:shd w:val="clear" w:color="000000" w:fill="FFFFFF"/>
            <w:vAlign w:val="center"/>
          </w:tcPr>
          <w:p>
            <w:pPr>
              <w:widowControl/>
              <w:jc w:val="center"/>
              <w:rPr>
                <w:rFonts w:hint="eastAsia"/>
                <w:kern w:val="0"/>
                <w:szCs w:val="21"/>
              </w:rPr>
            </w:pPr>
            <w:r>
              <w:rPr>
                <w:kern w:val="0"/>
                <w:szCs w:val="21"/>
              </w:rPr>
              <w:t>14</w:t>
            </w:r>
            <w:r>
              <w:rPr>
                <w:rFonts w:hint="eastAsia"/>
                <w:kern w:val="0"/>
                <w:szCs w:val="21"/>
              </w:rPr>
              <w:t>2</w:t>
            </w:r>
          </w:p>
        </w:tc>
        <w:tc>
          <w:tcPr>
            <w:tcW w:w="1651"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CIP 回罐的泵</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2</w:t>
            </w:r>
          </w:p>
        </w:tc>
        <w:tc>
          <w:tcPr>
            <w:tcW w:w="1124" w:type="dxa"/>
            <w:tcBorders>
              <w:top w:val="nil"/>
              <w:left w:val="nil"/>
              <w:bottom w:val="single" w:sz="4" w:space="0" w:color="auto"/>
              <w:right w:val="single" w:sz="4" w:space="0" w:color="auto"/>
            </w:tcBorders>
            <w:shd w:val="clear" w:color="000000" w:fill="FFFFFF"/>
            <w:vAlign w:val="center"/>
          </w:tcPr>
          <w:p>
            <w:pPr>
              <w:widowControl/>
              <w:jc w:val="center"/>
            </w:pPr>
            <w:r>
              <w:rPr>
                <w:kern w:val="0"/>
                <w:szCs w:val="21"/>
              </w:rPr>
              <w:t>2</w:t>
            </w:r>
          </w:p>
        </w:tc>
        <w:tc>
          <w:tcPr>
            <w:tcW w:w="2283" w:type="dxa"/>
            <w:tcBorders>
              <w:top w:val="nil"/>
              <w:left w:val="nil"/>
              <w:bottom w:val="single" w:sz="4" w:space="0" w:color="auto"/>
              <w:right w:val="single" w:sz="4" w:space="0" w:color="auto"/>
            </w:tcBorders>
            <w:shd w:val="clear" w:color="000000" w:fill="FFFFFF"/>
            <w:vAlign w:val="center"/>
          </w:tcPr>
          <w:p>
            <w:pPr>
              <w:widowControl/>
              <w:jc w:val="center"/>
              <w:rPr>
                <w:kern w:val="0"/>
                <w:szCs w:val="21"/>
              </w:rPr>
            </w:pPr>
            <w:r>
              <w:rPr>
                <w:kern w:val="0"/>
                <w:szCs w:val="21"/>
              </w:rPr>
              <w:t>宁波乐惠</w:t>
            </w:r>
          </w:p>
        </w:tc>
        <w:tc>
          <w:tcPr>
            <w:tcW w:w="1256" w:type="dxa"/>
            <w:vMerge/>
            <w:tcBorders>
              <w:top w:val="nil"/>
              <w:left w:val="single" w:sz="4" w:space="0" w:color="auto"/>
              <w:bottom w:val="single" w:sz="4" w:space="0" w:color="000000"/>
              <w:right w:val="single" w:sz="4" w:space="0" w:color="auto"/>
            </w:tcBorders>
            <w:vAlign w:val="center"/>
          </w:tcPr>
          <w:p>
            <w:pPr>
              <w:widowControl/>
              <w:jc w:val="center"/>
              <w:rPr>
                <w:bCs/>
                <w:kern w:val="0"/>
                <w:szCs w:val="21"/>
              </w:rPr>
            </w:pPr>
          </w:p>
        </w:tc>
      </w:tr>
    </w:tbl>
    <w:p>
      <w:pPr>
        <w:pStyle w:val="-3"/>
        <w:numPr>
          <w:ilvl w:val="0"/>
          <w:numId w:val="0"/>
        </w:numPr>
        <w:tabs>
          <w:tab w:val="left" w:pos="1035"/>
        </w:tabs>
        <w:snapToGrid/>
        <w:spacing w:before="240" w:beforeLines="100" w:after="0" w:afterLines="0" w:line="360" w:lineRule="auto"/>
        <w:ind w:firstLine="588" w:firstLineChars="196"/>
        <w:rPr>
          <w:rFonts w:hint="eastAsia"/>
          <w:sz w:val="30"/>
          <w:szCs w:val="30"/>
        </w:rPr>
      </w:pPr>
      <w:bookmarkStart w:id="53" w:name="_Toc453828924"/>
      <w:bookmarkStart w:id="54" w:name="_Toc436059304"/>
      <w:bookmarkStart w:id="55" w:name="_Toc457318260"/>
      <w:r>
        <w:rPr>
          <w:rFonts w:hint="eastAsia"/>
          <w:sz w:val="30"/>
          <w:szCs w:val="30"/>
        </w:rPr>
        <w:t>二、生产工艺</w:t>
      </w:r>
      <w:bookmarkEnd w:id="53"/>
      <w:bookmarkEnd w:id="54"/>
      <w:bookmarkEnd w:id="55"/>
    </w:p>
    <w:p>
      <w:pPr>
        <w:spacing w:line="360" w:lineRule="auto"/>
        <w:ind w:firstLine="560" w:firstLineChars="200"/>
        <w:jc w:val="left"/>
        <w:rPr>
          <w:rFonts w:hint="eastAsia"/>
          <w:sz w:val="28"/>
        </w:rPr>
      </w:pPr>
      <w:r>
        <w:rPr>
          <w:rFonts w:hint="eastAsia"/>
          <w:sz w:val="28"/>
        </w:rPr>
        <w:t>皮料验收合格后由自动机械切割，计量后由管道输入不锈钢洗皮池进行浸灰、水洗，加酸，加碱中和，然后再水洗，达到工艺要求后送入熬胶锅内按相应温度进行熬胶。经提胶后，将皮渣和油脂在水平离心倾析器里进行分离，通过提纯后的油脂回收外售。经过滤后的胶液通过离子交换器进行离子交换，再经三效蒸发浓缩器进行浓缩和高温灭菌。</w:t>
      </w:r>
    </w:p>
    <w:p>
      <w:pPr>
        <w:spacing w:line="360" w:lineRule="auto"/>
        <w:ind w:firstLine="560" w:firstLineChars="200"/>
        <w:jc w:val="left"/>
        <w:rPr>
          <w:rFonts w:hint="eastAsia"/>
          <w:spacing w:val="-40"/>
          <w:sz w:val="28"/>
        </w:rPr>
      </w:pPr>
      <w:r>
        <w:rPr>
          <w:rFonts w:hint="eastAsia"/>
          <w:sz w:val="28"/>
        </w:rPr>
        <w:t>经高温灭菌后的胶液直接泵送到挤胶机，挤出的胶条通过封闭式网带烘干机进行除湿加热和干燥，将达到要求的干胶进行粉碎再通过气流输送系统送入混合器混配，1000Kg大包装，即成为半成品入库。然后根据客户要求对半成品进行混胶，25Kg小包装，并经检测后出厂，主要工艺流程及产污环节见图1</w:t>
      </w:r>
      <w:r>
        <w:rPr>
          <w:rFonts w:hint="eastAsia"/>
          <w:spacing w:val="-40"/>
          <w:sz w:val="28"/>
        </w:rPr>
        <w:t>，</w:t>
      </w:r>
      <w:r>
        <w:rPr>
          <w:rFonts w:hint="eastAsia"/>
          <w:sz w:val="28"/>
        </w:rPr>
        <w:t>各工艺流程说明如下</w:t>
      </w:r>
      <w:r>
        <w:rPr>
          <w:rFonts w:hint="eastAsia"/>
          <w:spacing w:val="-40"/>
          <w:sz w:val="28"/>
        </w:rPr>
        <w:t>：</w:t>
      </w:r>
    </w:p>
    <w:p>
      <w:pPr>
        <w:spacing w:line="360" w:lineRule="auto"/>
        <w:ind w:firstLine="560" w:firstLineChars="200"/>
        <w:jc w:val="left"/>
        <w:rPr>
          <w:rFonts w:hint="eastAsia"/>
          <w:sz w:val="28"/>
        </w:rPr>
      </w:pPr>
      <w:r>
        <w:rPr>
          <w:rFonts w:hint="eastAsia"/>
          <w:sz w:val="28"/>
        </w:rPr>
        <w:t>(1) 皮料接收、切料、投料至浸灰池：</w:t>
      </w:r>
    </w:p>
    <w:p>
      <w:pPr>
        <w:spacing w:line="360" w:lineRule="auto"/>
        <w:ind w:firstLine="560" w:firstLineChars="200"/>
        <w:jc w:val="left"/>
        <w:rPr>
          <w:rFonts w:hint="eastAsia"/>
          <w:sz w:val="28"/>
        </w:rPr>
        <w:sectPr>
          <w:headerReference w:type="even" r:id="rId55"/>
          <w:headerReference w:type="default" r:id="rId56"/>
          <w:footerReference w:type="even" r:id="rId57"/>
          <w:footerReference w:type="default" r:id="rId58"/>
          <w:type w:val="nextPage"/>
          <w:pgSz w:w="11907" w:h="16840"/>
          <w:pgMar w:top="1418" w:right="1418" w:bottom="1021" w:left="1418" w:header="851" w:footer="851" w:gutter="284"/>
          <w:pgNumType w:start="12"/>
          <w:cols w:space="708"/>
          <w:titlePg w:val="0"/>
          <w:docGrid w:linePitch="289"/>
        </w:sectPr>
      </w:pPr>
    </w:p>
    <w:p>
      <w:pPr>
        <w:spacing w:line="360" w:lineRule="auto"/>
        <w:ind w:firstLine="560" w:firstLineChars="200"/>
        <w:jc w:val="left"/>
        <w:rPr>
          <w:rFonts w:hint="eastAsia"/>
          <w:sz w:val="28"/>
        </w:rPr>
      </w:pPr>
      <w:r>
        <w:rPr>
          <w:rFonts w:hint="eastAsia"/>
          <w:sz w:val="28"/>
        </w:rPr>
        <w:t>原材料（新鲜猪皮、牛皮）从卡车上卸下后（皮料堆场）经过视觉检查并做记录，合格后进入冷库暂存或直接进入切片工序。对于任何不符合项采购部和生产部会采取相应的措施。皮料根据等级单独放置进行切料。切皮过程将由机械和手动工具完成。皮料的尺寸大小在15cm</w:t>
      </w:r>
      <w:r>
        <w:rPr>
          <w:rFonts w:hint="eastAsia"/>
          <w:sz w:val="28"/>
        </w:rPr>
        <w:t xml:space="preserve"> x</w:t>
      </w:r>
      <w:r>
        <w:rPr>
          <w:rFonts w:hint="eastAsia"/>
          <w:sz w:val="28"/>
        </w:rPr>
        <w:t xml:space="preserve"> 15cm左右，然后投料到浸灰池或洗皮池。</w:t>
      </w:r>
    </w:p>
    <w:p>
      <w:pPr>
        <w:spacing w:line="360" w:lineRule="auto"/>
        <w:ind w:firstLine="560" w:firstLineChars="200"/>
        <w:jc w:val="left"/>
        <w:rPr>
          <w:rFonts w:hint="eastAsia"/>
          <w:sz w:val="28"/>
        </w:rPr>
      </w:pPr>
      <w:r>
        <w:rPr>
          <w:rFonts w:hint="eastAsia"/>
          <w:sz w:val="28"/>
        </w:rPr>
        <w:t>(2) 浸灰：用稀释碱液浸泡皮原料的过程称为浸灰，浸灰是明胶生产的关键工序，对提高产品质量有极大的影响。气温高时采用低浓度，气温低时采用高浓度，pH值控制在12.5左右，最适宜的浸灰温度为10度左右，最高不能超过20度。温度过高影响明胶的产率和质量。</w:t>
      </w:r>
    </w:p>
    <w:p>
      <w:pPr>
        <w:spacing w:line="360" w:lineRule="auto"/>
        <w:ind w:firstLine="560" w:firstLineChars="200"/>
        <w:jc w:val="left"/>
        <w:rPr>
          <w:rFonts w:hint="eastAsia"/>
          <w:sz w:val="28"/>
        </w:rPr>
      </w:pPr>
      <w:r>
        <w:rPr>
          <w:rFonts w:hint="eastAsia"/>
          <w:sz w:val="28"/>
        </w:rPr>
        <w:t>(3) 清洗：皮料经过切皮和投料、浸灰工序后进入水洗工序，对于碱性的原材料使用酸和清水清洗用于去除皮料中的有机和无机杂质，通过制定化学品标准，并由实验室对来料进行分析放行。</w:t>
      </w:r>
    </w:p>
    <w:p>
      <w:pPr>
        <w:spacing w:line="360" w:lineRule="auto"/>
        <w:ind w:firstLine="560" w:firstLineChars="200"/>
        <w:jc w:val="left"/>
        <w:rPr>
          <w:rFonts w:hint="eastAsia"/>
          <w:sz w:val="28"/>
        </w:rPr>
      </w:pPr>
      <w:r>
        <w:rPr>
          <w:rFonts w:hint="eastAsia"/>
          <w:sz w:val="28"/>
        </w:rPr>
        <w:t>(4) 浸酸：添加硫酸及少量盐酸至洗皮池pH值控制在1.1~1.9之间，洗皮池内硫酸浓度控制在1%左右，在常温下进行清洗，在确保最小限度跑胶的情况下开启洗皮池搅拌确保皮料更好的浸酸。浸酸控制时间为20个小时左右。</w:t>
      </w:r>
    </w:p>
    <w:p>
      <w:pPr>
        <w:spacing w:line="360" w:lineRule="auto"/>
        <w:ind w:firstLine="560" w:firstLineChars="200"/>
        <w:jc w:val="left"/>
        <w:rPr>
          <w:rFonts w:hint="eastAsia"/>
          <w:sz w:val="28"/>
        </w:rPr>
      </w:pPr>
      <w:r>
        <w:rPr>
          <w:rFonts w:hint="eastAsia"/>
          <w:sz w:val="28"/>
        </w:rPr>
        <w:t>(5) 中和和完成清洗：退酸后，皮料需常温清洗，检查烧小样的pH值如有需要可增加水洗次数，校正最终的上锅pH根据皮料和产品类型的不同而有所不同，通常上锅pH值在2.5～6.5范围之间。</w:t>
      </w:r>
    </w:p>
    <w:p>
      <w:pPr>
        <w:spacing w:line="360" w:lineRule="auto"/>
        <w:ind w:firstLine="560" w:firstLineChars="200"/>
        <w:jc w:val="left"/>
        <w:rPr>
          <w:rFonts w:hint="eastAsia"/>
          <w:sz w:val="28"/>
        </w:rPr>
      </w:pPr>
      <w:r>
        <w:rPr>
          <w:rFonts w:hint="eastAsia"/>
          <w:sz w:val="28"/>
        </w:rPr>
        <w:t>(6) 熬胶：将原料皮和水一起加热，胶原溶于水转达为明胶的过程称为熬胶。熬胶是明胶生产的关键之一，一般采用分道熬胶的办法，正常情况下每个提胶锅可提取三至四道胶，每道胶都应尽快提取以达到皮料和水溶液温度的均衡。熬胶到一定时间（约4~6小时），当胶液达一定比重时，即从底部放出胶液，重新注入水进行一下一次熬胶。放胶液时应注意不要放尽，且速度要慢，以免油脂混入胶液内。降低在提胶锅里的停留时间是非常重要的，这样可以避免明胶物理成分的损失。在这一步骤，需加强对pH和温度进行监控。</w:t>
      </w:r>
    </w:p>
    <w:p>
      <w:pPr>
        <w:spacing w:line="360" w:lineRule="auto"/>
        <w:ind w:firstLine="560" w:firstLineChars="200"/>
        <w:jc w:val="left"/>
        <w:rPr>
          <w:rFonts w:hint="eastAsia"/>
          <w:sz w:val="28"/>
        </w:rPr>
        <w:sectPr>
          <w:headerReference w:type="even" r:id="rId59"/>
          <w:headerReference w:type="default" r:id="rId60"/>
          <w:footerReference w:type="even" r:id="rId61"/>
          <w:footerReference w:type="default" r:id="rId62"/>
          <w:type w:val="nextPage"/>
          <w:pgSz w:w="11907" w:h="16840"/>
          <w:pgMar w:top="1418" w:right="1418" w:bottom="1021" w:left="1418" w:header="851" w:footer="851" w:gutter="284"/>
          <w:pgNumType w:start="13"/>
          <w:cols w:space="708"/>
          <w:titlePg w:val="0"/>
          <w:docGrid w:linePitch="289"/>
        </w:sectPr>
      </w:pPr>
      <w:r>
        <w:rPr>
          <w:rFonts w:hint="eastAsia"/>
          <w:sz w:val="28"/>
        </w:rPr>
        <w:t>(7)</w:t>
      </w:r>
    </w:p>
    <w:p>
      <w:pPr>
        <w:spacing w:line="360" w:lineRule="auto"/>
        <w:ind w:firstLine="560" w:firstLineChars="200"/>
        <w:jc w:val="left"/>
        <w:rPr>
          <w:rFonts w:hint="eastAsia"/>
          <w:sz w:val="28"/>
        </w:rPr>
      </w:pPr>
      <w:r>
        <w:rPr>
          <w:rFonts w:hint="eastAsia"/>
          <w:sz w:val="28"/>
        </w:rPr>
        <w:t xml:space="preserve"> 过滤：提出的胶液用泵打到纤维棉饼过滤机（压棉机）进行机械过滤。通过这一步骤，可以去除未溶解的原料。纤维棉饼需用新的棉饼补充更换。使用过的棉饼可以反复使用，在另一个罐内使用清洁剂等对棉饼进行清洗。</w:t>
      </w:r>
    </w:p>
    <w:p>
      <w:pPr>
        <w:spacing w:line="360" w:lineRule="auto"/>
        <w:ind w:firstLine="560" w:firstLineChars="200"/>
        <w:jc w:val="left"/>
        <w:rPr>
          <w:rFonts w:hint="eastAsia"/>
          <w:sz w:val="28"/>
        </w:rPr>
      </w:pPr>
      <w:r>
        <w:rPr>
          <w:rFonts w:hint="eastAsia"/>
          <w:sz w:val="28"/>
        </w:rPr>
        <w:t>(8) 超滤：一道至三道/四道的胶液经过超滤设备处理，提高胶液浓度并提纯。在每批次结束后使用化学品进行特殊在线清洗。超滤的渗透热水会进行再次利用，用于提胶区域的卫生清洁。</w:t>
      </w:r>
    </w:p>
    <w:p>
      <w:pPr>
        <w:spacing w:line="360" w:lineRule="auto"/>
        <w:ind w:firstLine="560" w:firstLineChars="200"/>
        <w:jc w:val="left"/>
        <w:rPr>
          <w:rFonts w:hint="eastAsia"/>
          <w:sz w:val="28"/>
        </w:rPr>
      </w:pPr>
      <w:r>
        <w:rPr>
          <w:rFonts w:hint="eastAsia"/>
          <w:sz w:val="28"/>
        </w:rPr>
        <w:t>(9) 离子交换：经过过滤后的溶液进行离子交换以减少最终产品的灰分和盐分。明胶通过立柱使用阳离子和阴离子交换树脂脱盐。每次使用立柱后，用碱溶液对阴离子交换树脂进行再生处理，用硫酸对阳离子树脂进行再生处理。</w:t>
      </w:r>
    </w:p>
    <w:p>
      <w:pPr>
        <w:spacing w:line="360" w:lineRule="auto"/>
        <w:ind w:firstLine="560" w:firstLineChars="200"/>
        <w:jc w:val="left"/>
        <w:rPr>
          <w:rFonts w:hint="eastAsia"/>
          <w:sz w:val="28"/>
        </w:rPr>
      </w:pPr>
      <w:r>
        <w:rPr>
          <w:rFonts w:hint="eastAsia"/>
          <w:sz w:val="28"/>
        </w:rPr>
        <w:t>(10) 蒸发：胶液通过三效蒸发器进行浓缩。最后胶液的浓度大约为25~35%，温度从95</w:t>
      </w:r>
      <w:r>
        <w:rPr>
          <w:rFonts w:hint="eastAsia"/>
          <w:sz w:val="28"/>
        </w:rPr>
        <w:t>º</w:t>
      </w:r>
      <w:r>
        <w:rPr>
          <w:rFonts w:hint="eastAsia"/>
          <w:sz w:val="28"/>
        </w:rPr>
        <w:t>C到45</w:t>
      </w:r>
      <w:r>
        <w:rPr>
          <w:rFonts w:hint="eastAsia"/>
          <w:sz w:val="28"/>
        </w:rPr>
        <w:t>º</w:t>
      </w:r>
      <w:r>
        <w:rPr>
          <w:rFonts w:hint="eastAsia"/>
          <w:sz w:val="28"/>
        </w:rPr>
        <w:t>C之间变化，pH大约5.0~8.0之间。</w:t>
      </w:r>
    </w:p>
    <w:p>
      <w:pPr>
        <w:spacing w:line="360" w:lineRule="auto"/>
        <w:ind w:firstLine="560" w:firstLineChars="200"/>
        <w:jc w:val="left"/>
        <w:rPr>
          <w:rFonts w:hint="eastAsia"/>
          <w:sz w:val="28"/>
        </w:rPr>
      </w:pPr>
      <w:r>
        <w:rPr>
          <w:rFonts w:hint="eastAsia"/>
          <w:sz w:val="28"/>
        </w:rPr>
        <w:t>(11) 浓胶罐：把胶液暂存在浓胶罐中，作为长网的缓冲。</w:t>
      </w:r>
    </w:p>
    <w:p>
      <w:pPr>
        <w:spacing w:line="360" w:lineRule="auto"/>
        <w:ind w:firstLine="560" w:firstLineChars="200"/>
        <w:jc w:val="left"/>
        <w:rPr>
          <w:rFonts w:hint="eastAsia"/>
          <w:sz w:val="28"/>
        </w:rPr>
      </w:pPr>
      <w:r>
        <w:rPr>
          <w:rFonts w:hint="eastAsia"/>
          <w:sz w:val="28"/>
        </w:rPr>
        <w:t>(12) 灭菌：浓缩的胶液在＞138</w:t>
      </w:r>
      <w:r>
        <w:rPr>
          <w:rFonts w:hint="eastAsia"/>
          <w:sz w:val="28"/>
        </w:rPr>
        <w:t>º</w:t>
      </w:r>
      <w:r>
        <w:rPr>
          <w:rFonts w:hint="eastAsia"/>
          <w:sz w:val="28"/>
        </w:rPr>
        <w:t>C的高温下进行瞬时高温灭菌，并最低维持4秒钟。在这一工艺中，胶液浓度从25~35%增加到30~40%，灭菌后温度大概在45~55</w:t>
      </w:r>
      <w:r>
        <w:rPr>
          <w:rFonts w:hint="eastAsia"/>
          <w:sz w:val="28"/>
        </w:rPr>
        <w:t>º</w:t>
      </w:r>
      <w:r>
        <w:rPr>
          <w:rFonts w:hint="eastAsia"/>
          <w:sz w:val="28"/>
        </w:rPr>
        <w:t>C。为了安全，灭菌后的明胶再次通过袋式过滤器进行过滤。</w:t>
      </w:r>
    </w:p>
    <w:p>
      <w:pPr>
        <w:spacing w:line="360" w:lineRule="auto"/>
        <w:ind w:firstLine="560" w:firstLineChars="200"/>
        <w:jc w:val="left"/>
        <w:rPr>
          <w:rFonts w:hint="eastAsia"/>
          <w:sz w:val="28"/>
        </w:rPr>
      </w:pPr>
      <w:r>
        <w:rPr>
          <w:rFonts w:hint="eastAsia"/>
          <w:sz w:val="28"/>
        </w:rPr>
        <w:t>(13) 冷却（挤胶机）：这一工艺是通过挤胶机及其冷却系统，使用冷却系统、气压和流量自动控制系统进行的。</w:t>
      </w:r>
    </w:p>
    <w:p>
      <w:pPr>
        <w:spacing w:line="360" w:lineRule="auto"/>
        <w:ind w:firstLine="560" w:firstLineChars="200"/>
        <w:jc w:val="left"/>
        <w:rPr>
          <w:rFonts w:hint="eastAsia"/>
          <w:sz w:val="28"/>
        </w:rPr>
      </w:pPr>
      <w:r>
        <w:rPr>
          <w:rFonts w:hint="eastAsia"/>
          <w:sz w:val="28"/>
        </w:rPr>
        <w:t xml:space="preserve">(14) 干燥：挤出的明胶胶条进入密闭的不锈钢长网的各个风室。干燥过程中使用预先干燥，杀菌和过滤过的空气。在经过各个风室时，温度逐渐地从30 </w:t>
      </w:r>
      <w:r>
        <w:rPr>
          <w:rFonts w:hint="eastAsia"/>
          <w:sz w:val="28"/>
        </w:rPr>
        <w:t>º</w:t>
      </w:r>
      <w:r>
        <w:rPr>
          <w:rFonts w:hint="eastAsia"/>
          <w:sz w:val="28"/>
        </w:rPr>
        <w:t xml:space="preserve">C增加到65 </w:t>
      </w:r>
      <w:r>
        <w:rPr>
          <w:rFonts w:hint="eastAsia"/>
          <w:sz w:val="28"/>
        </w:rPr>
        <w:t>º</w:t>
      </w:r>
      <w:r>
        <w:rPr>
          <w:rFonts w:hint="eastAsia"/>
          <w:sz w:val="28"/>
        </w:rPr>
        <w:t>C。干燥时间大概在3到4小时。</w:t>
      </w:r>
    </w:p>
    <w:p>
      <w:pPr>
        <w:spacing w:line="360" w:lineRule="auto"/>
        <w:ind w:firstLine="560" w:firstLineChars="200"/>
        <w:jc w:val="left"/>
        <w:rPr>
          <w:rFonts w:hint="eastAsia"/>
          <w:sz w:val="28"/>
        </w:rPr>
      </w:pPr>
      <w:r>
        <w:rPr>
          <w:rFonts w:hint="eastAsia"/>
          <w:sz w:val="28"/>
        </w:rPr>
        <w:t>(15) 粉碎、筛选、小混胶和包装（半成品）：干燥的明胶被粉碎成8目大小，混合，经过磁力系统、金属探测器并包装。在此取样由化验室检测其质量。半成品大袋存放在常温下的仓库里，直到有客户需求后再加工。粉碎工艺产生的粉尘经其自带布袋除尘设备处理后排放。</w:t>
      </w:r>
    </w:p>
    <w:p>
      <w:pPr>
        <w:spacing w:line="360" w:lineRule="auto"/>
        <w:ind w:firstLine="560" w:firstLineChars="200"/>
        <w:jc w:val="left"/>
        <w:rPr>
          <w:rFonts w:hint="eastAsia"/>
          <w:sz w:val="28"/>
        </w:rPr>
        <w:sectPr>
          <w:headerReference w:type="even" r:id="rId63"/>
          <w:headerReference w:type="default" r:id="rId64"/>
          <w:footerReference w:type="even" r:id="rId65"/>
          <w:footerReference w:type="default" r:id="rId66"/>
          <w:type w:val="nextPage"/>
          <w:pgSz w:w="11907" w:h="16840"/>
          <w:pgMar w:top="1418" w:right="1418" w:bottom="1021" w:left="1418" w:header="851" w:footer="851" w:gutter="284"/>
          <w:pgNumType w:start="14"/>
          <w:cols w:space="708"/>
          <w:titlePg w:val="0"/>
          <w:docGrid w:linePitch="289"/>
        </w:sectPr>
      </w:pPr>
      <w:r>
        <w:rPr>
          <w:rFonts w:hint="eastAsia"/>
          <w:sz w:val="28"/>
        </w:rPr>
        <w:t>(16)</w:t>
      </w:r>
    </w:p>
    <w:p>
      <w:pPr>
        <w:spacing w:line="360" w:lineRule="auto"/>
        <w:ind w:firstLine="560" w:firstLineChars="200"/>
        <w:jc w:val="left"/>
        <w:rPr>
          <w:rFonts w:hint="eastAsia"/>
          <w:sz w:val="28"/>
        </w:rPr>
      </w:pPr>
      <w:r>
        <w:rPr>
          <w:rFonts w:hint="eastAsia"/>
          <w:sz w:val="28"/>
        </w:rPr>
        <w:t xml:space="preserve"> 混胶（大混胶-成品）：根据生产订单对半成品进行混胶。明胶混和后包装前，需经过磁力系统和金属探测器。磁力棒，金属探测器：明胶在包装前先经过磁力棒和金属探测器。合格后出厂。</w:t>
      </w:r>
    </w:p>
    <w:p>
      <w:pPr>
        <w:spacing w:line="360" w:lineRule="auto"/>
        <w:ind w:firstLine="560" w:firstLineChars="200"/>
        <w:jc w:val="left"/>
        <w:rPr>
          <w:rFonts w:hint="eastAsia"/>
          <w:sz w:val="28"/>
        </w:rPr>
        <w:sectPr>
          <w:headerReference w:type="even" r:id="rId67"/>
          <w:headerReference w:type="default" r:id="rId68"/>
          <w:footerReference w:type="even" r:id="rId69"/>
          <w:footerReference w:type="default" r:id="rId70"/>
          <w:type w:val="nextPage"/>
          <w:pgSz w:w="11907" w:h="16840"/>
          <w:pgMar w:top="1418" w:right="1418" w:bottom="1021" w:left="1418" w:header="851" w:footer="851" w:gutter="284"/>
          <w:pgNumType w:start="15"/>
          <w:cols w:space="708"/>
          <w:titlePg w:val="0"/>
          <w:docGrid w:linePitch="289"/>
        </w:sectPr>
      </w:pPr>
      <w:r>
        <w:rPr>
          <w:rFonts w:hint="eastAsia"/>
          <w:sz w:val="28"/>
        </w:rPr>
        <w:t>(17) 工业油脂生产工艺流程说明：熬胶过程产生的油脂与皮渣，皮渣经列管式换热器加热后与熬胶锅里分离出的上层油脂在水平离心倾析器里进行分离，通过提纯后的油脂回收外售。</w:t>
      </w:r>
    </w:p>
    <w:p>
      <w:pPr>
        <w:tabs>
          <w:tab w:val="left" w:pos="757"/>
        </w:tabs>
        <w:spacing w:line="360" w:lineRule="auto"/>
        <w:jc w:val="center"/>
        <w:rPr>
          <w:rFonts w:hint="eastAsia"/>
        </w:rPr>
      </w:pPr>
      <w:r>
        <w:object>
          <v:shape id="对象 30" o:spid="_x0000_i1026" type="#_x0000_t75" style="width:439pt;height:665.69pt;mso-position-horizontal-relative:page;mso-position-vertical-relative:page;mso-wrap-style:square" o:ole="" o:preferrelative="t" filled="f" stroked="f">
            <v:fill o:detectmouseclick="t"/>
            <v:stroke linestyle="single"/>
            <v:imagedata r:id="rId71" o:title=""/>
            <v:shadow color="gray"/>
            <v:path o:extrusionok="f"/>
            <o:lock v:ext="edit" aspectratio="t"/>
          </v:shape>
          <o:OLEObject Type="Embed" ProgID="Visio.Drawing.11" ShapeID="对象 30" DrawAspect="Content" ObjectID="_1234567890" r:id="rId72"/>
        </w:object>
      </w:r>
    </w:p>
    <w:p>
      <w:pPr>
        <w:tabs>
          <w:tab w:val="left" w:pos="757"/>
        </w:tabs>
        <w:spacing w:line="360" w:lineRule="auto"/>
        <w:jc w:val="center"/>
        <w:rPr>
          <w:rFonts w:hint="eastAsia"/>
          <w:color w:val="000000"/>
          <w:sz w:val="28"/>
        </w:rPr>
        <w:sectPr>
          <w:headerReference w:type="even" r:id="rId73"/>
          <w:headerReference w:type="default" r:id="rId74"/>
          <w:footerReference w:type="even" r:id="rId75"/>
          <w:footerReference w:type="default" r:id="rId76"/>
          <w:type w:val="nextPage"/>
          <w:pgSz w:w="11907" w:h="16840"/>
          <w:pgMar w:top="1418" w:right="1418" w:bottom="1021" w:left="1418" w:header="851" w:footer="851" w:gutter="284"/>
          <w:pgNumType w:start="16"/>
          <w:cols w:space="708"/>
          <w:titlePg w:val="0"/>
          <w:docGrid w:linePitch="289"/>
        </w:sectPr>
      </w:pPr>
      <w:r>
        <w:rPr>
          <w:sz w:val="28"/>
        </w:rPr>
        <w:pict>
          <v:rect id="矩形 1946" o:spid="_x0000_s1027" style="width:205pt;height:16pt;margin-top:4.3pt;margin-left:120.15pt;mso-wrap-style:square;position:absolute;z-index:251659264" filled="f" stroked="f">
            <v:fill o:detectmouseclick="t"/>
            <v:stroke linestyle="single"/>
            <o:lock v:ext="edit" aspectratio="f"/>
            <v:textbox inset="0,0,0,0">
              <w:txbxContent>
                <w:p>
                  <w:pPr>
                    <w:jc w:val="center"/>
                    <w:rPr>
                      <w:rFonts w:ascii="仿宋_GB2312" w:eastAsia="仿宋_GB2312" w:hint="eastAsia"/>
                      <w:sz w:val="24"/>
                    </w:rPr>
                  </w:pPr>
                  <w:r>
                    <w:rPr>
                      <w:rFonts w:ascii="仿宋_GB2312" w:eastAsia="仿宋_GB2312" w:hint="eastAsia"/>
                      <w:sz w:val="24"/>
                    </w:rPr>
                    <w:t>图1 生产工艺流程及产污环节图</w:t>
                  </w:r>
                </w:p>
              </w:txbxContent>
            </v:textbox>
          </v:rect>
        </w:pict>
      </w:r>
    </w:p>
    <w:p>
      <w:pPr>
        <w:pStyle w:val="-3"/>
        <w:numPr>
          <w:ilvl w:val="1"/>
          <w:numId w:val="0"/>
        </w:numPr>
        <w:tabs>
          <w:tab w:val="left" w:pos="1035"/>
        </w:tabs>
        <w:snapToGrid/>
        <w:spacing w:before="0" w:beforeLines="0" w:after="0" w:afterLines="0" w:line="360" w:lineRule="auto"/>
        <w:ind w:firstLine="549" w:firstLineChars="196"/>
        <w:rPr>
          <w:rFonts w:ascii="Times New Roman" w:hAnsi="Times New Roman"/>
          <w:sz w:val="30"/>
        </w:rPr>
      </w:pPr>
      <w:r>
        <w:pict>
          <v:line id="Line 1176" o:spid="_x0000_s1028" style="flip:x y;mso-wrap-style:square;position:absolute;z-index:251660288" from="-101.4pt,96.95pt" to="-101.35pt,117.25pt" stroked="t">
            <v:stroke linestyle="single" endarrow="block"/>
            <o:lock v:ext="edit" aspectratio="f"/>
          </v:line>
        </w:pict>
      </w:r>
      <w:bookmarkStart w:id="56" w:name="_Toc457318261"/>
      <w:bookmarkStart w:id="57" w:name="_Toc436059305"/>
      <w:r>
        <w:rPr>
          <w:rFonts w:ascii="Times New Roman" w:hAnsi="Times New Roman"/>
          <w:sz w:val="30"/>
        </w:rPr>
        <w:t>三、污染源和污染物分析</w:t>
      </w:r>
      <w:bookmarkEnd w:id="56"/>
      <w:bookmarkEnd w:id="57"/>
    </w:p>
    <w:p>
      <w:pPr>
        <w:tabs>
          <w:tab w:val="left" w:pos="757"/>
        </w:tabs>
        <w:spacing w:line="360" w:lineRule="auto"/>
        <w:ind w:firstLine="560" w:firstLineChars="200"/>
        <w:rPr>
          <w:rFonts w:hint="eastAsia"/>
          <w:color w:val="FF0000"/>
          <w:sz w:val="28"/>
        </w:rPr>
      </w:pPr>
      <w:r>
        <w:rPr>
          <w:rFonts w:hint="eastAsia"/>
          <w:sz w:val="28"/>
        </w:rPr>
        <w:t>该项目排放的污染物有废水、废气、噪声和固体废物。</w:t>
      </w:r>
    </w:p>
    <w:p>
      <w:pPr>
        <w:tabs>
          <w:tab w:val="left" w:pos="757"/>
        </w:tabs>
        <w:spacing w:line="360" w:lineRule="auto"/>
        <w:ind w:firstLine="560" w:firstLineChars="200"/>
        <w:rPr>
          <w:rFonts w:hint="eastAsia"/>
          <w:sz w:val="28"/>
        </w:rPr>
      </w:pPr>
      <w:r>
        <w:rPr>
          <w:rFonts w:hint="eastAsia"/>
          <w:sz w:val="28"/>
        </w:rPr>
        <w:t>1、废水</w:t>
      </w:r>
    </w:p>
    <w:p>
      <w:pPr>
        <w:tabs>
          <w:tab w:val="left" w:pos="757"/>
        </w:tabs>
        <w:spacing w:line="360" w:lineRule="auto"/>
        <w:ind w:firstLine="560" w:firstLineChars="200"/>
        <w:rPr>
          <w:rFonts w:ascii="宋体" w:hAnsi="宋体"/>
          <w:color w:val="000000"/>
          <w:sz w:val="28"/>
          <w:szCs w:val="28"/>
          <w:lang w:val="en-GB"/>
        </w:rPr>
      </w:pPr>
      <w:r>
        <w:rPr>
          <w:rFonts w:ascii="宋体" w:hAnsi="宋体"/>
          <w:color w:val="000000"/>
          <w:sz w:val="28"/>
          <w:szCs w:val="28"/>
          <w:lang w:val="en-GB"/>
        </w:rPr>
        <w:t>项目废水包括前处理清洗废水、皮渣蒸煮废水、超滤废水、设备和地面清洗废水、冷却水、离子交换树脂反冲洗水以及职工生活污水。食堂废水经隔油池、生活污水经化粪池预处理后</w:t>
      </w:r>
      <w:r>
        <w:rPr>
          <w:rFonts w:ascii="宋体" w:hAnsi="宋体" w:hint="eastAsia"/>
          <w:color w:val="000000"/>
          <w:sz w:val="28"/>
          <w:szCs w:val="28"/>
          <w:lang w:val="en-GB"/>
        </w:rPr>
        <w:t>与</w:t>
      </w:r>
      <w:r>
        <w:rPr>
          <w:rFonts w:ascii="宋体" w:hAnsi="宋体"/>
          <w:color w:val="000000"/>
          <w:sz w:val="28"/>
          <w:szCs w:val="28"/>
          <w:lang w:val="en-GB"/>
        </w:rPr>
        <w:t>生产废水经厂区废水处理站处理后达《污水综合排放标准》(GB8978-1996)中的</w:t>
      </w:r>
      <w:r>
        <w:rPr>
          <w:rFonts w:ascii="宋体" w:hAnsi="宋体" w:hint="eastAsia"/>
          <w:color w:val="000000"/>
          <w:sz w:val="28"/>
          <w:szCs w:val="28"/>
          <w:lang w:val="en-GB"/>
        </w:rPr>
        <w:t>一</w:t>
      </w:r>
      <w:r>
        <w:rPr>
          <w:rFonts w:ascii="宋体" w:hAnsi="宋体"/>
          <w:color w:val="000000"/>
          <w:sz w:val="28"/>
          <w:szCs w:val="28"/>
          <w:lang w:val="en-GB"/>
        </w:rPr>
        <w:t>级标准后排放鳌江。</w:t>
      </w:r>
    </w:p>
    <w:p>
      <w:pPr>
        <w:tabs>
          <w:tab w:val="left" w:pos="757"/>
        </w:tabs>
        <w:spacing w:line="360" w:lineRule="auto"/>
        <w:ind w:firstLine="560" w:firstLineChars="200"/>
        <w:rPr>
          <w:rFonts w:ascii="宋体" w:hAnsi="宋体" w:hint="eastAsia"/>
          <w:sz w:val="28"/>
        </w:rPr>
      </w:pPr>
      <w:r>
        <w:rPr>
          <w:rFonts w:hint="eastAsia"/>
          <w:sz w:val="28"/>
        </w:rPr>
        <w:t>2、废气</w:t>
      </w:r>
    </w:p>
    <w:p>
      <w:pPr>
        <w:spacing w:line="360" w:lineRule="auto"/>
        <w:ind w:firstLine="560" w:firstLineChars="200"/>
        <w:rPr>
          <w:rFonts w:ascii="宋体" w:hAnsi="宋体" w:cs="宋体" w:hint="eastAsia"/>
          <w:bCs/>
          <w:color w:val="000000"/>
          <w:spacing w:val="-40"/>
          <w:sz w:val="28"/>
          <w:szCs w:val="28"/>
        </w:rPr>
      </w:pPr>
      <w:r>
        <w:rPr>
          <w:rFonts w:hAnsi="宋体" w:hint="eastAsia"/>
          <w:color w:val="000000"/>
          <w:sz w:val="28"/>
          <w:szCs w:val="28"/>
          <w:lang w:val="en-GB"/>
        </w:rPr>
        <w:t>废气污染源主要有皮料堆场、生产车间（前处理工序）恶臭，生产车间（提胶工序）异味，废水处理站恶臭，粉碎混合车间的粉尘，生产车间（前处理工序）和储罐区的氯化氢和硫酸雾，锅炉房的燃煤废气以及生活区的食堂油烟废气等。废水处理站恶臭污染物集气至生物除臭装置处理后高空排放</w:t>
      </w:r>
      <w:r>
        <w:rPr>
          <w:rFonts w:hint="eastAsia"/>
          <w:color w:val="000000"/>
          <w:spacing w:val="-40"/>
          <w:sz w:val="28"/>
        </w:rPr>
        <w:t>，</w:t>
      </w:r>
      <w:r>
        <w:rPr>
          <w:rFonts w:hAnsi="宋体" w:hint="eastAsia"/>
          <w:color w:val="000000"/>
          <w:sz w:val="28"/>
          <w:szCs w:val="28"/>
          <w:lang w:val="en-GB"/>
        </w:rPr>
        <w:t>车间内恶臭逸散主要通过进出门</w:t>
      </w:r>
      <w:r>
        <w:rPr>
          <w:rFonts w:hint="eastAsia"/>
          <w:color w:val="000000"/>
          <w:spacing w:val="-40"/>
          <w:sz w:val="28"/>
        </w:rPr>
        <w:t>、</w:t>
      </w:r>
      <w:r>
        <w:rPr>
          <w:rFonts w:hAnsi="宋体" w:hint="eastAsia"/>
          <w:color w:val="000000"/>
          <w:sz w:val="28"/>
          <w:szCs w:val="28"/>
          <w:lang w:val="en-GB"/>
        </w:rPr>
        <w:t>天窗等部位逸散</w:t>
      </w:r>
      <w:r>
        <w:rPr>
          <w:rFonts w:hint="eastAsia"/>
          <w:color w:val="000000"/>
          <w:spacing w:val="-40"/>
          <w:sz w:val="28"/>
        </w:rPr>
        <w:t>，</w:t>
      </w:r>
      <w:r>
        <w:rPr>
          <w:rFonts w:hAnsi="宋体" w:hint="eastAsia"/>
          <w:color w:val="000000"/>
          <w:sz w:val="28"/>
          <w:szCs w:val="28"/>
          <w:lang w:val="en-GB"/>
        </w:rPr>
        <w:t>加强车间通风</w:t>
      </w:r>
      <w:r>
        <w:rPr>
          <w:rFonts w:hAnsi="宋体" w:hint="eastAsia"/>
          <w:color w:val="000000"/>
          <w:sz w:val="28"/>
          <w:szCs w:val="28"/>
          <w:lang w:val="en-GB" w:eastAsia="zh-CN"/>
        </w:rPr>
        <w:t>、</w:t>
      </w:r>
      <w:r>
        <w:rPr>
          <w:rFonts w:hAnsi="宋体" w:hint="eastAsia"/>
          <w:color w:val="000000"/>
          <w:sz w:val="28"/>
          <w:szCs w:val="28"/>
          <w:lang w:val="en-GB"/>
        </w:rPr>
        <w:t>换气</w:t>
      </w:r>
      <w:r>
        <w:rPr>
          <w:rFonts w:hint="eastAsia"/>
          <w:color w:val="000000"/>
          <w:spacing w:val="-40"/>
          <w:sz w:val="28"/>
        </w:rPr>
        <w:t>，</w:t>
      </w:r>
      <w:r>
        <w:rPr>
          <w:rFonts w:hAnsi="宋体" w:hint="eastAsia"/>
          <w:color w:val="000000"/>
          <w:sz w:val="28"/>
          <w:szCs w:val="28"/>
          <w:lang w:val="en-GB"/>
        </w:rPr>
        <w:t>影响不大</w:t>
      </w:r>
      <w:r>
        <w:rPr>
          <w:rFonts w:hint="eastAsia"/>
          <w:color w:val="000000"/>
          <w:spacing w:val="-40"/>
          <w:sz w:val="28"/>
        </w:rPr>
        <w:t>；</w:t>
      </w:r>
      <w:r>
        <w:rPr>
          <w:rFonts w:hAnsi="宋体"/>
          <w:color w:val="000000"/>
          <w:sz w:val="28"/>
          <w:szCs w:val="28"/>
          <w:lang w:val="en-GB"/>
        </w:rPr>
        <w:t>粉碎混合过程产生的粉尘</w:t>
      </w:r>
      <w:r>
        <w:rPr>
          <w:color w:val="000000"/>
          <w:spacing w:val="-40"/>
          <w:sz w:val="28"/>
        </w:rPr>
        <w:t>，</w:t>
      </w:r>
      <w:r>
        <w:rPr>
          <w:rFonts w:hAnsi="宋体"/>
          <w:color w:val="000000"/>
          <w:sz w:val="28"/>
          <w:szCs w:val="28"/>
          <w:lang w:val="en-GB"/>
        </w:rPr>
        <w:t>经自带除尘系统回收后综合利用</w:t>
      </w:r>
      <w:r>
        <w:rPr>
          <w:rFonts w:hint="eastAsia"/>
          <w:color w:val="000000"/>
          <w:spacing w:val="-40"/>
          <w:sz w:val="28"/>
        </w:rPr>
        <w:t>；</w:t>
      </w:r>
      <w:r>
        <w:rPr>
          <w:rFonts w:hAnsi="宋体" w:hint="eastAsia"/>
          <w:color w:val="000000"/>
          <w:sz w:val="28"/>
          <w:szCs w:val="28"/>
          <w:lang w:val="en-GB"/>
        </w:rPr>
        <w:t>锅炉烟气采用</w:t>
      </w:r>
      <w:r>
        <w:rPr>
          <w:rFonts w:hAnsi="宋体"/>
          <w:color w:val="000000"/>
          <w:sz w:val="28"/>
          <w:szCs w:val="28"/>
          <w:lang w:val="en-GB"/>
        </w:rPr>
        <w:t>经</w:t>
      </w:r>
      <w:r>
        <w:rPr>
          <w:rFonts w:hAnsi="宋体" w:hint="eastAsia"/>
          <w:color w:val="000000"/>
          <w:sz w:val="28"/>
          <w:szCs w:val="28"/>
          <w:lang w:val="en-GB"/>
        </w:rPr>
        <w:t>多管陶瓷旋风除尘</w:t>
      </w:r>
      <w:r>
        <w:rPr>
          <w:rFonts w:hAnsi="宋体"/>
          <w:color w:val="000000"/>
          <w:sz w:val="28"/>
          <w:szCs w:val="28"/>
          <w:lang w:val="en-GB"/>
        </w:rPr>
        <w:t>+</w:t>
      </w:r>
      <w:r>
        <w:rPr>
          <w:rFonts w:hAnsi="宋体" w:hint="eastAsia"/>
          <w:color w:val="000000"/>
          <w:sz w:val="28"/>
          <w:szCs w:val="28"/>
          <w:lang w:val="en-GB"/>
        </w:rPr>
        <w:t>双碱法</w:t>
      </w:r>
      <w:r>
        <w:rPr>
          <w:rFonts w:hAnsi="宋体"/>
          <w:color w:val="000000"/>
          <w:sz w:val="28"/>
          <w:szCs w:val="28"/>
          <w:lang w:val="en-GB"/>
        </w:rPr>
        <w:t>脱硫法处理，最后通过45m烟囱高空排放</w:t>
      </w:r>
      <w:r>
        <w:rPr>
          <w:rFonts w:hint="eastAsia"/>
          <w:color w:val="000000"/>
          <w:spacing w:val="-40"/>
          <w:sz w:val="28"/>
        </w:rPr>
        <w:t>；</w:t>
      </w:r>
      <w:r>
        <w:rPr>
          <w:rFonts w:hAnsi="宋体"/>
          <w:color w:val="000000"/>
          <w:sz w:val="28"/>
          <w:szCs w:val="28"/>
          <w:lang w:val="en-GB"/>
        </w:rPr>
        <w:t>油烟废气由油烟净化装置</w:t>
      </w:r>
      <w:r>
        <w:rPr>
          <w:rFonts w:hAnsi="宋体" w:hint="eastAsia"/>
          <w:color w:val="000000"/>
          <w:sz w:val="28"/>
          <w:szCs w:val="28"/>
          <w:lang w:val="en-GB"/>
        </w:rPr>
        <w:t>处理达标后引至高空</w:t>
      </w:r>
      <w:r>
        <w:rPr>
          <w:rFonts w:hAnsi="宋体"/>
          <w:color w:val="000000"/>
          <w:sz w:val="28"/>
          <w:szCs w:val="28"/>
          <w:lang w:val="en-GB"/>
        </w:rPr>
        <w:t>排放</w:t>
      </w:r>
      <w:r>
        <w:rPr>
          <w:rFonts w:hint="eastAsia"/>
          <w:color w:val="000000"/>
          <w:spacing w:val="-40"/>
          <w:sz w:val="28"/>
        </w:rPr>
        <w:t>。</w:t>
      </w:r>
    </w:p>
    <w:p>
      <w:pPr>
        <w:tabs>
          <w:tab w:val="left" w:pos="757"/>
        </w:tabs>
        <w:spacing w:line="360" w:lineRule="auto"/>
        <w:ind w:firstLine="560" w:firstLineChars="200"/>
        <w:rPr>
          <w:rFonts w:ascii="宋体" w:hAnsi="宋体"/>
          <w:sz w:val="28"/>
        </w:rPr>
      </w:pPr>
      <w:r>
        <w:rPr>
          <w:rFonts w:hint="eastAsia"/>
          <w:sz w:val="28"/>
        </w:rPr>
        <w:t>3、</w:t>
      </w:r>
      <w:r>
        <w:rPr>
          <w:rFonts w:ascii="宋体" w:hAnsi="宋体" w:hint="eastAsia"/>
          <w:sz w:val="28"/>
        </w:rPr>
        <w:t>噪声</w:t>
      </w:r>
    </w:p>
    <w:p>
      <w:pPr>
        <w:tabs>
          <w:tab w:val="left" w:pos="757"/>
        </w:tabs>
        <w:spacing w:line="360" w:lineRule="auto"/>
        <w:ind w:firstLine="560" w:firstLineChars="200"/>
        <w:rPr>
          <w:rFonts w:ascii="宋体" w:hAnsi="宋体" w:hint="eastAsia"/>
          <w:sz w:val="28"/>
          <w:szCs w:val="28"/>
        </w:rPr>
      </w:pPr>
      <w:r>
        <w:rPr>
          <w:rFonts w:ascii="宋体" w:hAnsi="宋体" w:hint="eastAsia"/>
          <w:sz w:val="28"/>
          <w:szCs w:val="28"/>
        </w:rPr>
        <w:t>项目噪声主要来自</w:t>
      </w:r>
      <w:r>
        <w:rPr>
          <w:rFonts w:ascii="宋体" w:hAnsi="宋体" w:cs="宋体" w:hint="eastAsia"/>
          <w:color w:val="000000"/>
          <w:sz w:val="28"/>
          <w:szCs w:val="28"/>
        </w:rPr>
        <w:t>风机</w:t>
      </w:r>
      <w:r>
        <w:rPr>
          <w:rFonts w:hint="eastAsia"/>
          <w:color w:val="000000"/>
          <w:spacing w:val="-40"/>
          <w:sz w:val="28"/>
        </w:rPr>
        <w:t>、</w:t>
      </w:r>
      <w:r>
        <w:rPr>
          <w:rFonts w:ascii="宋体" w:hAnsi="宋体" w:cs="宋体" w:hint="eastAsia"/>
          <w:color w:val="000000"/>
          <w:sz w:val="28"/>
          <w:szCs w:val="28"/>
        </w:rPr>
        <w:t>水泵</w:t>
      </w:r>
      <w:r>
        <w:rPr>
          <w:rFonts w:hint="eastAsia"/>
          <w:color w:val="000000"/>
          <w:spacing w:val="-40"/>
          <w:sz w:val="28"/>
        </w:rPr>
        <w:t>、</w:t>
      </w:r>
      <w:r>
        <w:rPr>
          <w:rFonts w:ascii="宋体" w:hAnsi="宋体" w:cs="宋体" w:hint="eastAsia"/>
          <w:color w:val="000000"/>
          <w:sz w:val="28"/>
          <w:szCs w:val="28"/>
        </w:rPr>
        <w:t>空压机</w:t>
      </w:r>
      <w:r>
        <w:rPr>
          <w:rFonts w:hint="eastAsia"/>
          <w:color w:val="000000"/>
          <w:spacing w:val="-40"/>
          <w:sz w:val="28"/>
        </w:rPr>
        <w:t>、</w:t>
      </w:r>
      <w:r>
        <w:rPr>
          <w:rFonts w:ascii="宋体" w:hAnsi="宋体" w:cs="宋体" w:hint="eastAsia"/>
          <w:color w:val="000000"/>
          <w:sz w:val="28"/>
          <w:szCs w:val="28"/>
        </w:rPr>
        <w:t>污水污泥泵</w:t>
      </w:r>
      <w:r>
        <w:rPr>
          <w:rFonts w:hint="eastAsia"/>
          <w:color w:val="000000"/>
          <w:spacing w:val="-40"/>
          <w:sz w:val="28"/>
        </w:rPr>
        <w:t>、</w:t>
      </w:r>
      <w:r>
        <w:rPr>
          <w:rFonts w:ascii="宋体" w:hAnsi="宋体" w:cs="宋体" w:hint="eastAsia"/>
          <w:color w:val="000000"/>
          <w:sz w:val="28"/>
          <w:szCs w:val="28"/>
        </w:rPr>
        <w:t>脱水机</w:t>
      </w:r>
      <w:r>
        <w:rPr>
          <w:rFonts w:hint="eastAsia"/>
          <w:color w:val="000000"/>
          <w:spacing w:val="-40"/>
          <w:sz w:val="28"/>
        </w:rPr>
        <w:t>、</w:t>
      </w:r>
      <w:r>
        <w:rPr>
          <w:rFonts w:ascii="宋体" w:hAnsi="宋体" w:cs="宋体" w:hint="eastAsia"/>
          <w:color w:val="000000"/>
          <w:sz w:val="28"/>
          <w:szCs w:val="28"/>
        </w:rPr>
        <w:t>粉碎机等设备</w:t>
      </w:r>
      <w:r>
        <w:rPr>
          <w:rFonts w:ascii="宋体" w:hAnsi="宋体" w:hint="eastAsia"/>
          <w:color w:val="000000"/>
          <w:sz w:val="28"/>
          <w:szCs w:val="28"/>
        </w:rPr>
        <w:t>的</w:t>
      </w:r>
      <w:r>
        <w:rPr>
          <w:rFonts w:ascii="宋体" w:hAnsi="宋体" w:hint="eastAsia"/>
          <w:sz w:val="28"/>
          <w:szCs w:val="28"/>
        </w:rPr>
        <w:t>运行。</w:t>
      </w:r>
    </w:p>
    <w:p>
      <w:pPr>
        <w:tabs>
          <w:tab w:val="left" w:pos="757"/>
        </w:tabs>
        <w:spacing w:line="360" w:lineRule="auto"/>
        <w:ind w:firstLine="560" w:firstLineChars="200"/>
        <w:rPr>
          <w:rFonts w:ascii="宋体" w:hAnsi="宋体" w:cs="宋体" w:hint="eastAsia"/>
          <w:color w:val="000000"/>
          <w:sz w:val="28"/>
          <w:szCs w:val="28"/>
        </w:rPr>
      </w:pPr>
      <w:r>
        <w:rPr>
          <w:rFonts w:hint="eastAsia"/>
          <w:color w:val="000000"/>
          <w:sz w:val="28"/>
        </w:rPr>
        <w:t>4</w:t>
      </w:r>
      <w:r>
        <w:rPr>
          <w:rFonts w:ascii="宋体" w:hAnsi="宋体" w:cs="宋体" w:hint="eastAsia"/>
          <w:color w:val="000000"/>
          <w:sz w:val="28"/>
          <w:szCs w:val="28"/>
        </w:rPr>
        <w:t>、固体废物</w:t>
      </w:r>
    </w:p>
    <w:p>
      <w:pPr>
        <w:tabs>
          <w:tab w:val="left" w:pos="757"/>
        </w:tabs>
        <w:spacing w:line="360" w:lineRule="auto"/>
        <w:ind w:firstLine="560" w:firstLineChars="200"/>
        <w:rPr>
          <w:rFonts w:ascii="宋体" w:hAnsi="宋体" w:hint="eastAsia"/>
          <w:color w:val="000000"/>
          <w:sz w:val="28"/>
        </w:rPr>
      </w:pPr>
      <w:r>
        <w:rPr>
          <w:rFonts w:ascii="宋体" w:hAnsi="宋体" w:cs="宋体" w:hint="eastAsia"/>
          <w:color w:val="000000"/>
          <w:sz w:val="28"/>
          <w:szCs w:val="28"/>
        </w:rPr>
        <w:t>项目固体废弃物主要有工业固废和生活垃圾</w:t>
      </w:r>
      <w:r>
        <w:rPr>
          <w:rFonts w:hint="eastAsia"/>
          <w:color w:val="000000"/>
          <w:spacing w:val="-40"/>
          <w:sz w:val="28"/>
        </w:rPr>
        <w:t>，</w:t>
      </w:r>
      <w:r>
        <w:rPr>
          <w:rFonts w:ascii="宋体" w:hAnsi="宋体" w:cs="宋体" w:hint="eastAsia"/>
          <w:color w:val="000000"/>
          <w:sz w:val="28"/>
          <w:szCs w:val="28"/>
        </w:rPr>
        <w:t>工业固废包括</w:t>
      </w:r>
      <w:r>
        <w:rPr>
          <w:rFonts w:ascii="宋体" w:hAnsi="宋体" w:cs="宋体"/>
          <w:color w:val="000000"/>
          <w:sz w:val="28"/>
          <w:szCs w:val="28"/>
        </w:rPr>
        <w:t>皮</w:t>
      </w:r>
      <w:r>
        <w:rPr>
          <w:rFonts w:ascii="宋体" w:hAnsi="宋体" w:cs="宋体" w:hint="eastAsia"/>
          <w:color w:val="000000"/>
          <w:sz w:val="28"/>
          <w:szCs w:val="28"/>
        </w:rPr>
        <w:t>料废</w:t>
      </w:r>
      <w:r>
        <w:rPr>
          <w:rFonts w:ascii="宋体" w:hAnsi="宋体" w:cs="宋体"/>
          <w:color w:val="000000"/>
          <w:sz w:val="28"/>
          <w:szCs w:val="28"/>
        </w:rPr>
        <w:t>渣</w:t>
      </w:r>
      <w:r>
        <w:rPr>
          <w:rFonts w:hint="eastAsia"/>
          <w:color w:val="000000"/>
          <w:spacing w:val="-40"/>
          <w:sz w:val="28"/>
        </w:rPr>
        <w:t>、</w:t>
      </w:r>
      <w:r>
        <w:rPr>
          <w:rFonts w:ascii="宋体" w:hAnsi="宋体" w:cs="宋体"/>
          <w:color w:val="000000"/>
          <w:sz w:val="28"/>
          <w:szCs w:val="28"/>
        </w:rPr>
        <w:t>粉尘</w:t>
      </w:r>
      <w:r>
        <w:rPr>
          <w:rFonts w:hint="eastAsia"/>
          <w:color w:val="000000"/>
          <w:spacing w:val="-40"/>
          <w:sz w:val="28"/>
        </w:rPr>
        <w:t>、</w:t>
      </w:r>
      <w:r>
        <w:rPr>
          <w:rFonts w:ascii="宋体" w:hAnsi="宋体" w:cs="宋体"/>
          <w:color w:val="000000"/>
          <w:sz w:val="28"/>
          <w:szCs w:val="28"/>
        </w:rPr>
        <w:t>污泥</w:t>
      </w:r>
      <w:r>
        <w:rPr>
          <w:rFonts w:ascii="宋体" w:hAnsi="宋体" w:cs="宋体" w:hint="eastAsia"/>
          <w:color w:val="000000"/>
          <w:sz w:val="28"/>
          <w:szCs w:val="28"/>
        </w:rPr>
        <w:t>等</w:t>
      </w:r>
      <w:r>
        <w:rPr>
          <w:rFonts w:hint="eastAsia"/>
          <w:color w:val="000000"/>
          <w:spacing w:val="-40"/>
          <w:sz w:val="28"/>
        </w:rPr>
        <w:t>，</w:t>
      </w:r>
      <w:r>
        <w:rPr>
          <w:rFonts w:ascii="宋体" w:hAnsi="宋体" w:cs="宋体" w:hint="eastAsia"/>
          <w:color w:val="000000"/>
          <w:sz w:val="28"/>
          <w:szCs w:val="28"/>
        </w:rPr>
        <w:t>其中</w:t>
      </w:r>
      <w:r>
        <w:rPr>
          <w:rFonts w:ascii="宋体" w:hAnsi="宋体" w:cs="宋体"/>
          <w:color w:val="000000"/>
          <w:sz w:val="28"/>
          <w:szCs w:val="28"/>
        </w:rPr>
        <w:t>粉尘</w:t>
      </w:r>
      <w:r>
        <w:rPr>
          <w:rFonts w:ascii="宋体" w:hAnsi="宋体" w:cs="宋体" w:hint="eastAsia"/>
          <w:color w:val="000000"/>
          <w:sz w:val="28"/>
          <w:szCs w:val="28"/>
        </w:rPr>
        <w:t>由公司自行</w:t>
      </w:r>
      <w:r>
        <w:rPr>
          <w:rFonts w:ascii="宋体" w:hAnsi="宋体" w:cs="宋体"/>
          <w:color w:val="000000"/>
          <w:sz w:val="28"/>
          <w:szCs w:val="28"/>
        </w:rPr>
        <w:t>回收综</w:t>
      </w:r>
      <w:r>
        <w:rPr>
          <w:rFonts w:ascii="宋体" w:hAnsi="宋体" w:cs="宋体" w:hint="eastAsia"/>
          <w:color w:val="000000"/>
          <w:sz w:val="28"/>
          <w:szCs w:val="28"/>
        </w:rPr>
        <w:t>合利用；污泥委托</w:t>
      </w:r>
      <w:r>
        <w:rPr>
          <w:rFonts w:ascii="宋体" w:hAnsi="宋体" w:cs="宋体" w:hint="eastAsia"/>
          <w:color w:val="000000"/>
          <w:sz w:val="28"/>
          <w:szCs w:val="28"/>
          <w:lang w:val="en-US" w:eastAsia="zh-CN"/>
        </w:rPr>
        <w:t>平阳县绿洲生态生物工程有限公司</w:t>
      </w:r>
      <w:r>
        <w:rPr>
          <w:rFonts w:ascii="宋体" w:hAnsi="宋体" w:cs="宋体" w:hint="eastAsia"/>
          <w:color w:val="000000"/>
          <w:sz w:val="28"/>
          <w:szCs w:val="28"/>
        </w:rPr>
        <w:t>清运处理</w:t>
      </w:r>
      <w:r>
        <w:rPr>
          <w:rFonts w:hint="eastAsia"/>
          <w:color w:val="000000"/>
          <w:spacing w:val="-40"/>
          <w:sz w:val="28"/>
        </w:rPr>
        <w:t>；</w:t>
      </w:r>
      <w:r>
        <w:rPr>
          <w:rFonts w:ascii="宋体" w:hAnsi="宋体" w:cs="宋体" w:hint="eastAsia"/>
          <w:color w:val="000000"/>
          <w:sz w:val="28"/>
          <w:szCs w:val="28"/>
        </w:rPr>
        <w:t>皮料废渣交由</w:t>
      </w:r>
      <w:r>
        <w:rPr>
          <w:rFonts w:ascii="宋体" w:hAnsi="宋体" w:cs="宋体" w:hint="eastAsia"/>
          <w:color w:val="000000"/>
          <w:sz w:val="28"/>
          <w:szCs w:val="28"/>
          <w:lang w:val="en-US" w:eastAsia="zh-CN"/>
        </w:rPr>
        <w:t>龙海市榜山信鸿骨粉加工厂</w:t>
      </w:r>
      <w:r>
        <w:rPr>
          <w:rFonts w:ascii="宋体" w:hAnsi="宋体" w:cs="宋体" w:hint="eastAsia"/>
          <w:color w:val="000000"/>
          <w:sz w:val="28"/>
          <w:szCs w:val="28"/>
        </w:rPr>
        <w:t>回收处理</w:t>
      </w:r>
      <w:r>
        <w:rPr>
          <w:rFonts w:hint="eastAsia"/>
          <w:color w:val="000000"/>
          <w:spacing w:val="-40"/>
          <w:sz w:val="28"/>
        </w:rPr>
        <w:t>，</w:t>
      </w:r>
      <w:r>
        <w:rPr>
          <w:rFonts w:ascii="宋体" w:hAnsi="宋体" w:cs="宋体" w:hint="eastAsia"/>
          <w:color w:val="000000"/>
          <w:sz w:val="28"/>
          <w:szCs w:val="28"/>
        </w:rPr>
        <w:t>生活垃圾</w:t>
      </w:r>
      <w:r>
        <w:rPr>
          <w:rFonts w:ascii="宋体" w:hAnsi="宋体" w:cs="宋体"/>
          <w:color w:val="000000"/>
          <w:sz w:val="28"/>
          <w:szCs w:val="28"/>
        </w:rPr>
        <w:t>由环卫部门</w:t>
      </w:r>
      <w:r>
        <w:rPr>
          <w:rFonts w:ascii="宋体" w:hAnsi="宋体" w:cs="宋体" w:hint="eastAsia"/>
          <w:color w:val="000000"/>
          <w:sz w:val="28"/>
          <w:szCs w:val="28"/>
        </w:rPr>
        <w:t>统一</w:t>
      </w:r>
      <w:r>
        <w:rPr>
          <w:rFonts w:ascii="宋体" w:hAnsi="宋体" w:cs="宋体"/>
          <w:color w:val="000000"/>
          <w:sz w:val="28"/>
          <w:szCs w:val="28"/>
        </w:rPr>
        <w:t>清运</w:t>
      </w:r>
      <w:r>
        <w:rPr>
          <w:rFonts w:ascii="宋体" w:hAnsi="宋体" w:cs="宋体" w:hint="eastAsia"/>
          <w:color w:val="000000"/>
          <w:sz w:val="28"/>
          <w:szCs w:val="28"/>
        </w:rPr>
        <w:t>处置</w:t>
      </w:r>
      <w:r>
        <w:rPr>
          <w:rFonts w:hint="eastAsia"/>
          <w:color w:val="000000"/>
          <w:spacing w:val="-40"/>
          <w:sz w:val="28"/>
        </w:rPr>
        <w:t>。</w:t>
      </w:r>
      <w:r>
        <w:rPr>
          <w:rFonts w:ascii="宋体" w:hAnsi="宋体" w:hint="eastAsia"/>
          <w:color w:val="000000"/>
          <w:sz w:val="28"/>
        </w:rPr>
        <w:br/>
      </w:r>
      <w:r>
        <w:rPr>
          <w:rFonts w:ascii="宋体" w:hAnsi="宋体" w:hint="eastAsia"/>
          <w:color w:val="000000"/>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7" w:history="1">
        <w:r>
          <w:rPr>
            <w:rFonts w:ascii="SimSun" w:eastAsia="SimSun" w:hAnsi="SimSun" w:cs="SimSun"/>
            <w:b/>
            <w:bCs/>
            <w:color w:val="0000EE"/>
            <w:kern w:val="0"/>
            <w:sz w:val="30"/>
            <w:szCs w:val="30"/>
            <w:u w:val="single" w:color="0000EE"/>
          </w:rPr>
          <w:t>https://d.book118.com/206204150040010043</w:t>
        </w:r>
      </w:hyperlink>
    </w:p>
    <w:p>
      <w:pPr>
        <w:tabs>
          <w:tab w:val="left" w:pos="757"/>
        </w:tabs>
        <w:spacing w:line="360" w:lineRule="auto"/>
        <w:ind w:firstLine="560" w:firstLineChars="200"/>
        <w:rPr>
          <w:rFonts w:ascii="宋体" w:hAnsi="宋体" w:hint="eastAsia"/>
          <w:color w:val="000000"/>
          <w:sz w:val="28"/>
        </w:rPr>
      </w:pPr>
    </w:p>
    <w:sectPr>
      <w:headerReference w:type="even" r:id="rId78"/>
      <w:headerReference w:type="default" r:id="rId79"/>
      <w:footerReference w:type="even" r:id="rId80"/>
      <w:footerReference w:type="default" r:id="rId81"/>
      <w:type w:val="nextPage"/>
      <w:pgSz w:w="11907" w:h="16840"/>
      <w:pgMar w:top="1418" w:right="1418" w:bottom="1021" w:left="1418" w:header="851" w:footer="851" w:gutter="284"/>
      <w:pgNumType w:start="17"/>
      <w:cols w:space="708"/>
      <w:titlePg w:val="0"/>
      <w:docGrid w:linePitch="28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1" w:usb1="080E0000" w:usb2="00000000" w:usb3="00000000" w:csb0="00040000" w:csb1="00000000"/>
  </w:font>
  <w:font w:name="Calibri">
    <w:panose1 w:val="020F0502020204030204"/>
    <w:charset w:val="00"/>
    <w:family w:val="swiss"/>
    <w:pitch w:val="default"/>
    <w:sig w:usb0="E0002EFF" w:usb1="C000247B" w:usb2="00000009" w:usb3="00000000" w:csb0="200001FF" w:csb1="00000000"/>
  </w:font>
  <w:font w:name="方正小标宋简体">
    <w:altName w:val="Arial Unicode MS"/>
    <w:panose1 w:val="03000509000000000000"/>
    <w:charset w:val="86"/>
    <w:family w:val="auto"/>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经典行楷简">
    <w:altName w:val="宋体"/>
    <w:panose1 w:val="02010609000101010101"/>
    <w:charset w:val="86"/>
    <w:family w:val="modern"/>
    <w:pitch w:val="default"/>
    <w:sig w:usb0="A1007AEF" w:usb1="F9DF7CFB" w:usb2="0000001E" w:usb3="00000000" w:csb0="2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ind w:firstLine="560"/>
      <w:rPr>
        <w:rStyle w:val="PageNumber"/>
      </w:rPr>
    </w:pPr>
    <w:r>
      <w:fldChar w:fldCharType="begin"/>
    </w:r>
    <w:r>
      <w:rPr>
        <w:rStyle w:val="PageNumber"/>
      </w:rPr>
      <w:instrText xml:space="preserve">PAGE  </w:instrText>
    </w:r>
    <w:r>
      <w:fldChar w:fldCharType="separate"/>
    </w:r>
    <w:r>
      <w:rPr>
        <w:rStyle w:val="PageNumber"/>
      </w:rPr>
      <w:t>1</w:t>
    </w:r>
    <w:r>
      <w:fldChar w:fldCharType="end"/>
    </w:r>
  </w:p>
  <w:p>
    <w:pPr>
      <w:ind w:right="360"/>
      <w:rPr>
        <w:rFonts w:hint="eastAsia"/>
        <w:sz w:val="18"/>
        <w:szCs w:val="18"/>
      </w:rPr>
    </w:pPr>
    <w:r>
      <w:rPr>
        <w:rFonts w:hint="eastAsia"/>
        <w:sz w:val="18"/>
        <w:szCs w:val="18"/>
      </w:rPr>
      <w:t>温州新鸿检测技术有限公司</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ind w:firstLine="560"/>
      <w:rPr>
        <w:rStyle w:val="PageNumber"/>
      </w:rPr>
    </w:pPr>
    <w:r>
      <w:fldChar w:fldCharType="begin"/>
    </w:r>
    <w:r>
      <w:rPr>
        <w:rStyle w:val="PageNumber"/>
      </w:rPr>
      <w:instrText xml:space="preserve">PAGE  </w:instrText>
    </w:r>
    <w:r>
      <w:fldChar w:fldCharType="separate"/>
    </w:r>
    <w:r>
      <w:rPr>
        <w:rStyle w:val="PageNumber"/>
      </w:rPr>
      <w:t>2</w:t>
    </w:r>
    <w:r>
      <w:fldChar w:fldCharType="end"/>
    </w:r>
  </w:p>
  <w:p>
    <w:pPr>
      <w:ind w:right="360"/>
      <w:rPr>
        <w:rFonts w:hint="eastAsia"/>
        <w:sz w:val="18"/>
        <w:szCs w:val="18"/>
      </w:rPr>
    </w:pPr>
    <w:r>
      <w:rPr>
        <w:rFonts w:hint="eastAsia"/>
        <w:sz w:val="18"/>
        <w:szCs w:val="18"/>
      </w:rPr>
      <w:t>温州新鸿检测技术有限公司</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ind w:firstLine="560"/>
      <w:rPr>
        <w:rStyle w:val="PageNumber"/>
      </w:rPr>
    </w:pPr>
    <w:r>
      <w:fldChar w:fldCharType="begin"/>
    </w:r>
    <w:r>
      <w:rPr>
        <w:rStyle w:val="PageNumber"/>
      </w:rPr>
      <w:instrText xml:space="preserve">PAGE  </w:instrText>
    </w:r>
    <w:r>
      <w:fldChar w:fldCharType="separate"/>
    </w:r>
    <w:r>
      <w:rPr>
        <w:rStyle w:val="PageNumber"/>
      </w:rPr>
      <w:t>3</w:t>
    </w:r>
    <w:r>
      <w:fldChar w:fldCharType="end"/>
    </w:r>
  </w:p>
  <w:p>
    <w:pPr>
      <w:ind w:right="360"/>
      <w:rPr>
        <w:rFonts w:hint="eastAsia"/>
        <w:sz w:val="18"/>
        <w:szCs w:val="18"/>
      </w:rPr>
    </w:pPr>
    <w:r>
      <w:rPr>
        <w:rFonts w:hint="eastAsia"/>
        <w:sz w:val="18"/>
        <w:szCs w:val="18"/>
      </w:rPr>
      <w:t>温州新鸿检测技术有限公司</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ind w:firstLine="560"/>
      <w:rPr>
        <w:rStyle w:val="PageNumber"/>
      </w:rPr>
    </w:pPr>
    <w:r>
      <w:fldChar w:fldCharType="begin"/>
    </w:r>
    <w:r>
      <w:rPr>
        <w:rStyle w:val="PageNumber"/>
      </w:rPr>
      <w:instrText xml:space="preserve">PAGE  </w:instrText>
    </w:r>
    <w:r>
      <w:fldChar w:fldCharType="separate"/>
    </w:r>
    <w:r>
      <w:rPr>
        <w:rStyle w:val="PageNumber"/>
      </w:rPr>
      <w:t>4</w:t>
    </w:r>
    <w:r>
      <w:fldChar w:fldCharType="end"/>
    </w:r>
  </w:p>
  <w:p>
    <w:pPr>
      <w:ind w:right="360"/>
      <w:rPr>
        <w:rFonts w:hint="eastAsia"/>
        <w:sz w:val="18"/>
        <w:szCs w:val="18"/>
      </w:rPr>
    </w:pPr>
    <w:r>
      <w:rPr>
        <w:rFonts w:hint="eastAsia"/>
        <w:sz w:val="18"/>
        <w:szCs w:val="18"/>
      </w:rPr>
      <w:t>温州新鸿检测技术有限公司</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ind w:firstLine="560"/>
      <w:rPr>
        <w:rStyle w:val="PageNumber"/>
      </w:rPr>
    </w:pPr>
    <w:r>
      <w:fldChar w:fldCharType="begin"/>
    </w:r>
    <w:r>
      <w:rPr>
        <w:rStyle w:val="PageNumber"/>
      </w:rPr>
      <w:instrText xml:space="preserve">PAGE  </w:instrText>
    </w:r>
    <w:r>
      <w:fldChar w:fldCharType="separate"/>
    </w:r>
    <w:r>
      <w:rPr>
        <w:rStyle w:val="PageNumber"/>
      </w:rPr>
      <w:t>6</w:t>
    </w:r>
    <w:r>
      <w:fldChar w:fldCharType="end"/>
    </w:r>
  </w:p>
  <w:p>
    <w:pPr>
      <w:ind w:right="360"/>
      <w:rPr>
        <w:rFonts w:hint="eastAsia"/>
        <w:sz w:val="18"/>
        <w:szCs w:val="18"/>
      </w:rPr>
    </w:pPr>
    <w:r>
      <w:rPr>
        <w:rFonts w:hint="eastAsia"/>
        <w:sz w:val="18"/>
        <w:szCs w:val="18"/>
      </w:rPr>
      <w:t>温州新鸿检测技术有限公司</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ind w:firstLine="560"/>
      <w:rPr>
        <w:rStyle w:val="PageNumber"/>
      </w:rPr>
    </w:pPr>
    <w:r>
      <w:fldChar w:fldCharType="begin"/>
    </w:r>
    <w:r>
      <w:rPr>
        <w:rStyle w:val="PageNumber"/>
      </w:rPr>
      <w:instrText xml:space="preserve">PAGE  </w:instrText>
    </w:r>
    <w:r>
      <w:fldChar w:fldCharType="separate"/>
    </w:r>
    <w:r>
      <w:rPr>
        <w:rStyle w:val="PageNumber"/>
      </w:rPr>
      <w:t>6</w:t>
    </w:r>
    <w:r>
      <w:fldChar w:fldCharType="end"/>
    </w:r>
  </w:p>
  <w:p>
    <w:pPr>
      <w:ind w:right="360"/>
      <w:rPr>
        <w:rFonts w:hint="eastAsia"/>
        <w:sz w:val="18"/>
        <w:szCs w:val="18"/>
      </w:rPr>
    </w:pPr>
    <w:r>
      <w:rPr>
        <w:rFonts w:hint="eastAsia"/>
        <w:sz w:val="18"/>
        <w:szCs w:val="18"/>
      </w:rPr>
      <w:t>温州新鸿检测技术有限公司</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ind w:firstLine="560"/>
      <w:rPr>
        <w:rStyle w:val="PageNumber"/>
      </w:rPr>
    </w:pPr>
    <w:r>
      <w:fldChar w:fldCharType="begin"/>
    </w:r>
    <w:r>
      <w:rPr>
        <w:rStyle w:val="PageNumber"/>
      </w:rPr>
      <w:instrText xml:space="preserve">PAGE  </w:instrText>
    </w:r>
    <w:r>
      <w:fldChar w:fldCharType="separate"/>
    </w:r>
    <w:r>
      <w:rPr>
        <w:rStyle w:val="PageNumber"/>
      </w:rPr>
      <w:t>7</w:t>
    </w:r>
    <w:r>
      <w:fldChar w:fldCharType="end"/>
    </w:r>
  </w:p>
  <w:p>
    <w:pPr>
      <w:ind w:right="360"/>
      <w:rPr>
        <w:rFonts w:hint="eastAsia"/>
        <w:sz w:val="18"/>
        <w:szCs w:val="18"/>
      </w:rPr>
    </w:pPr>
    <w:r>
      <w:rPr>
        <w:rFonts w:hint="eastAsia"/>
        <w:sz w:val="18"/>
        <w:szCs w:val="18"/>
      </w:rPr>
      <w:t>温州新鸿检测技术有限公司</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ind w:firstLine="560"/>
      <w:rPr>
        <w:rStyle w:val="PageNumber"/>
      </w:rPr>
    </w:pPr>
    <w:r>
      <w:fldChar w:fldCharType="begin"/>
    </w:r>
    <w:r>
      <w:rPr>
        <w:rStyle w:val="PageNumber"/>
      </w:rPr>
      <w:instrText xml:space="preserve">PAGE  </w:instrText>
    </w:r>
    <w:r>
      <w:fldChar w:fldCharType="separate"/>
    </w:r>
    <w:r>
      <w:rPr>
        <w:rStyle w:val="PageNumber"/>
      </w:rPr>
      <w:t>8</w:t>
    </w:r>
    <w:r>
      <w:fldChar w:fldCharType="end"/>
    </w:r>
  </w:p>
  <w:p>
    <w:pPr>
      <w:ind w:right="360"/>
      <w:rPr>
        <w:rFonts w:hint="eastAsia"/>
        <w:sz w:val="18"/>
        <w:szCs w:val="18"/>
      </w:rPr>
    </w:pPr>
    <w:r>
      <w:rPr>
        <w:rFonts w:hint="eastAsia"/>
        <w:sz w:val="18"/>
        <w:szCs w:val="18"/>
      </w:rPr>
      <w:t>温州新鸿检测技术有限公司</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ind w:firstLine="560"/>
      <w:rPr>
        <w:rStyle w:val="PageNumber"/>
      </w:rPr>
    </w:pPr>
    <w:r>
      <w:fldChar w:fldCharType="begin"/>
    </w:r>
    <w:r>
      <w:rPr>
        <w:rStyle w:val="PageNumber"/>
      </w:rPr>
      <w:instrText xml:space="preserve">PAGE  </w:instrText>
    </w:r>
    <w:r>
      <w:fldChar w:fldCharType="separate"/>
    </w:r>
    <w:r>
      <w:rPr>
        <w:rStyle w:val="PageNumber"/>
      </w:rPr>
      <w:t>9</w:t>
    </w:r>
    <w:r>
      <w:fldChar w:fldCharType="end"/>
    </w:r>
  </w:p>
  <w:p>
    <w:pPr>
      <w:ind w:right="360"/>
      <w:rPr>
        <w:rFonts w:hint="eastAsia"/>
        <w:sz w:val="18"/>
        <w:szCs w:val="18"/>
      </w:rPr>
    </w:pPr>
    <w:r>
      <w:rPr>
        <w:rFonts w:hint="eastAsia"/>
        <w:sz w:val="18"/>
        <w:szCs w:val="18"/>
      </w:rPr>
      <w:t>温州新鸿检测技术有限公司</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ind w:firstLine="560"/>
      <w:rPr>
        <w:rStyle w:val="PageNumber"/>
      </w:rPr>
    </w:pPr>
    <w:r>
      <w:fldChar w:fldCharType="begin"/>
    </w:r>
    <w:r>
      <w:rPr>
        <w:rStyle w:val="PageNumber"/>
      </w:rPr>
      <w:instrText xml:space="preserve">PAGE  </w:instrText>
    </w:r>
    <w:r>
      <w:fldChar w:fldCharType="separate"/>
    </w:r>
    <w:r>
      <w:rPr>
        <w:rStyle w:val="PageNumber"/>
      </w:rPr>
      <w:t>10</w:t>
    </w:r>
    <w:r>
      <w:fldChar w:fldCharType="end"/>
    </w:r>
  </w:p>
  <w:p>
    <w:pPr>
      <w:ind w:right="360"/>
      <w:rPr>
        <w:rFonts w:hint="eastAsia"/>
        <w:sz w:val="18"/>
        <w:szCs w:val="18"/>
      </w:rPr>
    </w:pPr>
    <w:r>
      <w:rPr>
        <w:rFonts w:hint="eastAsia"/>
        <w:sz w:val="18"/>
        <w:szCs w:val="18"/>
      </w:rPr>
      <w:t>温州新鸿检测技术有限公司</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ind w:firstLine="560"/>
      <w:rPr>
        <w:rStyle w:val="PageNumber"/>
      </w:rPr>
    </w:pPr>
    <w:r>
      <w:fldChar w:fldCharType="begin"/>
    </w:r>
    <w:r>
      <w:rPr>
        <w:rStyle w:val="PageNumber"/>
      </w:rPr>
      <w:instrText xml:space="preserve">PAGE  </w:instrText>
    </w:r>
    <w:r>
      <w:fldChar w:fldCharType="separate"/>
    </w:r>
    <w:r>
      <w:rPr>
        <w:rStyle w:val="PageNumber"/>
      </w:rPr>
      <w:t>11</w:t>
    </w:r>
    <w:r>
      <w:fldChar w:fldCharType="end"/>
    </w:r>
  </w:p>
  <w:p>
    <w:pPr>
      <w:ind w:right="360"/>
      <w:rPr>
        <w:rFonts w:hint="eastAsia"/>
        <w:sz w:val="18"/>
        <w:szCs w:val="18"/>
      </w:rPr>
    </w:pPr>
    <w:r>
      <w:rPr>
        <w:rFonts w:hint="eastAsia"/>
        <w:sz w:val="18"/>
        <w:szCs w:val="18"/>
      </w:rPr>
      <w:t>温州新鸿检测技术有限公司</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ind w:firstLine="560"/>
      <w:rPr>
        <w:rStyle w:val="PageNumber"/>
      </w:rPr>
    </w:pPr>
    <w:r>
      <w:fldChar w:fldCharType="begin"/>
    </w:r>
    <w:r>
      <w:rPr>
        <w:rStyle w:val="PageNumber"/>
      </w:rPr>
      <w:instrText xml:space="preserve">PAGE  </w:instrText>
    </w:r>
    <w:r>
      <w:fldChar w:fldCharType="separate"/>
    </w:r>
    <w:r>
      <w:rPr>
        <w:rStyle w:val="PageNumber"/>
      </w:rPr>
      <w:t>12</w:t>
    </w:r>
    <w:r>
      <w:fldChar w:fldCharType="end"/>
    </w:r>
  </w:p>
  <w:p>
    <w:pPr>
      <w:ind w:right="360"/>
      <w:rPr>
        <w:rFonts w:hint="eastAsia"/>
        <w:sz w:val="18"/>
        <w:szCs w:val="18"/>
      </w:rPr>
    </w:pPr>
    <w:r>
      <w:rPr>
        <w:rFonts w:hint="eastAsia"/>
        <w:sz w:val="18"/>
        <w:szCs w:val="18"/>
      </w:rPr>
      <w:t>温州新鸿检测技术有限公司</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ind w:firstLine="560"/>
      <w:rPr>
        <w:rStyle w:val="PageNumber"/>
      </w:rPr>
    </w:pPr>
    <w:r>
      <w:fldChar w:fldCharType="begin"/>
    </w:r>
    <w:r>
      <w:rPr>
        <w:rStyle w:val="PageNumber"/>
      </w:rPr>
      <w:instrText xml:space="preserve">PAGE  </w:instrText>
    </w:r>
    <w:r>
      <w:fldChar w:fldCharType="separate"/>
    </w:r>
    <w:r>
      <w:rPr>
        <w:rStyle w:val="PageNumber"/>
      </w:rPr>
      <w:t>14</w:t>
    </w:r>
    <w:r>
      <w:fldChar w:fldCharType="end"/>
    </w:r>
  </w:p>
  <w:p>
    <w:pPr>
      <w:ind w:right="360"/>
      <w:rPr>
        <w:rFonts w:hint="eastAsia"/>
        <w:sz w:val="18"/>
        <w:szCs w:val="18"/>
      </w:rPr>
    </w:pPr>
    <w:r>
      <w:rPr>
        <w:rFonts w:hint="eastAsia"/>
        <w:sz w:val="18"/>
        <w:szCs w:val="18"/>
      </w:rPr>
      <w:t>温州新鸿检测技术有限公司</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ind w:firstLine="560"/>
      <w:rPr>
        <w:rStyle w:val="PageNumber"/>
      </w:rPr>
    </w:pPr>
    <w:r>
      <w:fldChar w:fldCharType="begin"/>
    </w:r>
    <w:r>
      <w:rPr>
        <w:rStyle w:val="PageNumber"/>
      </w:rPr>
      <w:instrText xml:space="preserve">PAGE  </w:instrText>
    </w:r>
    <w:r>
      <w:fldChar w:fldCharType="separate"/>
    </w:r>
    <w:r>
      <w:rPr>
        <w:rStyle w:val="PageNumber"/>
      </w:rPr>
      <w:t>15</w:t>
    </w:r>
    <w:r>
      <w:fldChar w:fldCharType="end"/>
    </w:r>
  </w:p>
  <w:p>
    <w:pPr>
      <w:ind w:right="360"/>
      <w:rPr>
        <w:rFonts w:hint="eastAsia"/>
        <w:sz w:val="18"/>
        <w:szCs w:val="18"/>
      </w:rPr>
    </w:pPr>
    <w:r>
      <w:rPr>
        <w:rFonts w:hint="eastAsia"/>
        <w:sz w:val="18"/>
        <w:szCs w:val="18"/>
      </w:rPr>
      <w:t>温州新鸿检测技术有限公司</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ind w:firstLine="560"/>
      <w:rPr>
        <w:rStyle w:val="PageNumber"/>
      </w:rPr>
    </w:pPr>
    <w:r>
      <w:fldChar w:fldCharType="begin"/>
    </w:r>
    <w:r>
      <w:rPr>
        <w:rStyle w:val="PageNumber"/>
      </w:rPr>
      <w:instrText xml:space="preserve">PAGE  </w:instrText>
    </w:r>
    <w:r>
      <w:fldChar w:fldCharType="separate"/>
    </w:r>
    <w:r>
      <w:rPr>
        <w:rStyle w:val="PageNumber"/>
      </w:rPr>
      <w:t>15</w:t>
    </w:r>
    <w:r>
      <w:fldChar w:fldCharType="end"/>
    </w:r>
  </w:p>
  <w:p>
    <w:pPr>
      <w:ind w:right="360"/>
      <w:rPr>
        <w:rFonts w:hint="eastAsia"/>
        <w:sz w:val="18"/>
        <w:szCs w:val="18"/>
      </w:rPr>
    </w:pPr>
    <w:r>
      <w:rPr>
        <w:rFonts w:hint="eastAsia"/>
        <w:sz w:val="18"/>
        <w:szCs w:val="18"/>
      </w:rPr>
      <w:t>温州新鸿检测技术有限公司</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ind w:firstLine="560"/>
      <w:rPr>
        <w:rStyle w:val="PageNumber"/>
      </w:rPr>
    </w:pPr>
    <w:r>
      <w:fldChar w:fldCharType="begin"/>
    </w:r>
    <w:r>
      <w:rPr>
        <w:rStyle w:val="PageNumber"/>
      </w:rPr>
      <w:instrText xml:space="preserve">PAGE  </w:instrText>
    </w:r>
    <w:r>
      <w:fldChar w:fldCharType="separate"/>
    </w:r>
    <w:r>
      <w:rPr>
        <w:rStyle w:val="PageNumber"/>
      </w:rPr>
      <w:t>16</w:t>
    </w:r>
    <w:r>
      <w:fldChar w:fldCharType="end"/>
    </w:r>
  </w:p>
  <w:p>
    <w:pPr>
      <w:ind w:right="360"/>
      <w:rPr>
        <w:rFonts w:hint="eastAsia"/>
        <w:sz w:val="18"/>
        <w:szCs w:val="18"/>
      </w:rPr>
    </w:pPr>
    <w:r>
      <w:rPr>
        <w:rFonts w:hint="eastAsia"/>
        <w:sz w:val="18"/>
        <w:szCs w:val="18"/>
      </w:rPr>
      <w:t>温州新鸿检测技术有限公司</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ind w:firstLine="560"/>
      <w:rPr>
        <w:rStyle w:val="PageNumber"/>
      </w:rPr>
    </w:pPr>
    <w:r>
      <w:fldChar w:fldCharType="begin"/>
    </w:r>
    <w:r>
      <w:rPr>
        <w:rStyle w:val="PageNumber"/>
      </w:rPr>
      <w:instrText xml:space="preserve">PAGE  </w:instrText>
    </w:r>
    <w:r>
      <w:fldChar w:fldCharType="separate"/>
    </w:r>
    <w:r>
      <w:rPr>
        <w:rStyle w:val="PageNumber"/>
      </w:rPr>
      <w:t>17</w:t>
    </w:r>
    <w:r>
      <w:fldChar w:fldCharType="end"/>
    </w:r>
  </w:p>
  <w:p>
    <w:pPr>
      <w:ind w:right="360"/>
      <w:rPr>
        <w:rFonts w:hint="eastAsia"/>
        <w:sz w:val="18"/>
        <w:szCs w:val="18"/>
      </w:rPr>
    </w:pPr>
    <w:r>
      <w:rPr>
        <w:rFonts w:hint="eastAsia"/>
        <w:sz w:val="18"/>
        <w:szCs w:val="18"/>
      </w:rPr>
      <w:t>温州新鸿检测技术有限公司</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嘉利达（平阳）明胶有限公司</w:t>
    </w:r>
    <w:r>
      <w:rPr>
        <w:rFonts w:ascii="宋体" w:hAnsi="宋体" w:hint="eastAsia"/>
        <w:lang w:val="en-US" w:eastAsia="zh-CN"/>
      </w:rPr>
      <w:t>老厂房改造</w:t>
    </w:r>
    <w:r>
      <w:rPr>
        <w:rFonts w:hint="eastAsia"/>
      </w:rPr>
      <w:t>项目竣工环境保护验收监测报告</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嘉利达（平阳）明胶有限公司</w:t>
    </w:r>
    <w:r>
      <w:rPr>
        <w:rFonts w:ascii="宋体" w:hAnsi="宋体" w:hint="eastAsia"/>
        <w:lang w:val="en-US" w:eastAsia="zh-CN"/>
      </w:rPr>
      <w:t>老厂房改造</w:t>
    </w:r>
    <w:r>
      <w:rPr>
        <w:rFonts w:hint="eastAsia"/>
      </w:rPr>
      <w:t>项目竣工环境保护验收监测报告</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嘉利达（平阳）明胶有限公司</w:t>
    </w:r>
    <w:r>
      <w:rPr>
        <w:rFonts w:ascii="宋体" w:hAnsi="宋体" w:hint="eastAsia"/>
        <w:lang w:val="en-US" w:eastAsia="zh-CN"/>
      </w:rPr>
      <w:t>老厂房改造</w:t>
    </w:r>
    <w:r>
      <w:rPr>
        <w:rFonts w:hint="eastAsia"/>
      </w:rPr>
      <w:t>项目竣工环境保护验收监测报告</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嘉利达（平阳）明胶有限公司</w:t>
    </w:r>
    <w:r>
      <w:rPr>
        <w:rFonts w:ascii="宋体" w:hAnsi="宋体" w:hint="eastAsia"/>
        <w:lang w:val="en-US" w:eastAsia="zh-CN"/>
      </w:rPr>
      <w:t>老厂房改造</w:t>
    </w:r>
    <w:r>
      <w:rPr>
        <w:rFonts w:hint="eastAsia"/>
      </w:rPr>
      <w:t>项目竣工环境保护验收监测报告</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嘉利达（平阳）明胶有限公司</w:t>
    </w:r>
    <w:r>
      <w:rPr>
        <w:rFonts w:ascii="宋体" w:hAnsi="宋体" w:hint="eastAsia"/>
        <w:lang w:val="en-US" w:eastAsia="zh-CN"/>
      </w:rPr>
      <w:t>老厂房改造</w:t>
    </w:r>
    <w:r>
      <w:rPr>
        <w:rFonts w:hint="eastAsia"/>
      </w:rPr>
      <w:t>项目竣工环境保护验收监测报告</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嘉利达（平阳）明胶有限公司</w:t>
    </w:r>
    <w:r>
      <w:rPr>
        <w:rFonts w:ascii="宋体" w:hAnsi="宋体" w:hint="eastAsia"/>
        <w:lang w:val="en-US" w:eastAsia="zh-CN"/>
      </w:rPr>
      <w:t>老厂房改造</w:t>
    </w:r>
    <w:r>
      <w:rPr>
        <w:rFonts w:hint="eastAsia"/>
      </w:rPr>
      <w:t>项目竣工环境保护验收监测报告</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嘉利达（平阳）明胶有限公司</w:t>
    </w:r>
    <w:r>
      <w:rPr>
        <w:rFonts w:ascii="宋体" w:hAnsi="宋体" w:hint="eastAsia"/>
        <w:lang w:val="en-US" w:eastAsia="zh-CN"/>
      </w:rPr>
      <w:t>老厂房改造</w:t>
    </w:r>
    <w:r>
      <w:rPr>
        <w:rFonts w:hint="eastAsia"/>
      </w:rPr>
      <w:t>项目竣工环境保护验收监测报告</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嘉利达（平阳）明胶有限公司</w:t>
    </w:r>
    <w:r>
      <w:rPr>
        <w:rFonts w:ascii="宋体" w:hAnsi="宋体" w:hint="eastAsia"/>
        <w:lang w:val="en-US" w:eastAsia="zh-CN"/>
      </w:rPr>
      <w:t>老厂房改造</w:t>
    </w:r>
    <w:r>
      <w:rPr>
        <w:rFonts w:hint="eastAsia"/>
      </w:rPr>
      <w:t>项目竣工环境保护验收监测报告</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嘉利达（平阳）明胶有限公司</w:t>
    </w:r>
    <w:r>
      <w:rPr>
        <w:rFonts w:ascii="宋体" w:hAnsi="宋体" w:hint="eastAsia"/>
        <w:lang w:val="en-US" w:eastAsia="zh-CN"/>
      </w:rPr>
      <w:t>老厂房改造</w:t>
    </w:r>
    <w:r>
      <w:rPr>
        <w:rFonts w:hint="eastAsia"/>
      </w:rPr>
      <w:t>项目竣工环境保护验收监测报告</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嘉利达（平阳）明胶有限公司</w:t>
    </w:r>
    <w:r>
      <w:rPr>
        <w:rFonts w:ascii="宋体" w:hAnsi="宋体" w:hint="eastAsia"/>
        <w:lang w:val="en-US" w:eastAsia="zh-CN"/>
      </w:rPr>
      <w:t>老厂房改造</w:t>
    </w:r>
    <w:r>
      <w:rPr>
        <w:rFonts w:hint="eastAsia"/>
      </w:rPr>
      <w:t>项目竣工环境保护验收监测报告</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嘉利达（平阳）明胶有限公司</w:t>
    </w:r>
    <w:r>
      <w:rPr>
        <w:rFonts w:ascii="宋体" w:hAnsi="宋体" w:hint="eastAsia"/>
        <w:lang w:val="en-US" w:eastAsia="zh-CN"/>
      </w:rPr>
      <w:t>老厂房改造</w:t>
    </w:r>
    <w:r>
      <w:rPr>
        <w:rFonts w:hint="eastAsia"/>
      </w:rPr>
      <w:t>项目竣工环境保护验收监测报告</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嘉利达（平阳）明胶有限公司</w:t>
    </w:r>
    <w:r>
      <w:rPr>
        <w:rFonts w:ascii="宋体" w:hAnsi="宋体" w:hint="eastAsia"/>
        <w:lang w:val="en-US" w:eastAsia="zh-CN"/>
      </w:rPr>
      <w:t>老厂房改造</w:t>
    </w:r>
    <w:r>
      <w:rPr>
        <w:rFonts w:hint="eastAsia"/>
      </w:rPr>
      <w:t>项目竣工环境保护验收监测报告</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嘉利达（平阳）明胶有限公司</w:t>
    </w:r>
    <w:r>
      <w:rPr>
        <w:rFonts w:ascii="宋体" w:hAnsi="宋体" w:hint="eastAsia"/>
        <w:lang w:val="en-US" w:eastAsia="zh-CN"/>
      </w:rPr>
      <w:t>老厂房改造</w:t>
    </w:r>
    <w:r>
      <w:rPr>
        <w:rFonts w:hint="eastAsia"/>
      </w:rPr>
      <w:t>项目竣工环境保护验收监测报告</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嘉利达（平阳）明胶有限公司</w:t>
    </w:r>
    <w:r>
      <w:rPr>
        <w:rFonts w:ascii="宋体" w:hAnsi="宋体" w:hint="eastAsia"/>
        <w:lang w:val="en-US" w:eastAsia="zh-CN"/>
      </w:rPr>
      <w:t>老厂房改造</w:t>
    </w:r>
    <w:r>
      <w:rPr>
        <w:rFonts w:hint="eastAsia"/>
      </w:rPr>
      <w:t>项目竣工环境保护验收监测报告</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嘉利达（平阳）明胶有限公司</w:t>
    </w:r>
    <w:r>
      <w:rPr>
        <w:rFonts w:ascii="宋体" w:hAnsi="宋体" w:hint="eastAsia"/>
        <w:lang w:val="en-US" w:eastAsia="zh-CN"/>
      </w:rPr>
      <w:t>老厂房改造</w:t>
    </w:r>
    <w:r>
      <w:rPr>
        <w:rFonts w:hint="eastAsia"/>
      </w:rPr>
      <w:t>项目竣工环境保护验收监测报告</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嘉利达（平阳）明胶有限公司</w:t>
    </w:r>
    <w:r>
      <w:rPr>
        <w:rFonts w:ascii="宋体" w:hAnsi="宋体" w:hint="eastAsia"/>
        <w:lang w:val="en-US" w:eastAsia="zh-CN"/>
      </w:rPr>
      <w:t>老厂房改造</w:t>
    </w:r>
    <w:r>
      <w:rPr>
        <w:rFonts w:hint="eastAsia"/>
      </w:rPr>
      <w:t>项目竣工环境保护验收监测报告</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lang w:eastAsia="zh-CN"/>
      </w:rPr>
      <w:t>嘉利达（平阳）明胶有限公司</w:t>
    </w:r>
    <w:r>
      <w:rPr>
        <w:rFonts w:ascii="宋体" w:hAnsi="宋体" w:hint="eastAsia"/>
        <w:lang w:val="en-US" w:eastAsia="zh-CN"/>
      </w:rPr>
      <w:t>老厂房改造</w:t>
    </w:r>
    <w:r>
      <w:rPr>
        <w:rFonts w:hint="eastAsia"/>
      </w:rPr>
      <w:t>项目竣工环境保护验收监测报告</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2F5151"/>
    <w:multiLevelType w:val="multilevel"/>
    <w:tmpl w:val="152F5151"/>
    <w:lvl w:ilvl="0">
      <w:start w:val="1"/>
      <w:numFmt w:val="chineseCountingThousand"/>
      <w:suff w:val="nothing"/>
      <w:lvlText w:val="第%1章  "/>
      <w:lvlJc w:val="center"/>
      <w:pPr>
        <w:ind w:left="3360" w:firstLine="0"/>
      </w:pPr>
      <w:rPr>
        <w:rFonts w:hint="eastAsia"/>
      </w:rPr>
    </w:lvl>
    <w:lvl w:ilvl="1">
      <w:start w:val="1"/>
      <w:numFmt w:val="chineseCountingThousand"/>
      <w:lvlText w:val="%2、"/>
      <w:lvlJc w:val="left"/>
      <w:pPr>
        <w:tabs>
          <w:tab w:val="num" w:pos="1035"/>
        </w:tabs>
        <w:ind w:left="315" w:firstLine="0"/>
      </w:pPr>
      <w:rPr>
        <w:rFonts w:hint="eastAsia"/>
      </w:rPr>
    </w:lvl>
    <w:lvl w:ilvl="2">
      <w:start w:val="1"/>
      <w:numFmt w:val="decimal"/>
      <w:suff w:val="space"/>
      <w:lvlText w:val="%3、"/>
      <w:lvlJc w:val="left"/>
      <w:pPr>
        <w:ind w:left="435" w:firstLine="227"/>
      </w:pPr>
      <w:rPr>
        <w:rFonts w:hint="eastAsia"/>
      </w:rPr>
    </w:lvl>
    <w:lvl w:ilvl="3">
      <w:start w:val="1"/>
      <w:numFmt w:val="decimal"/>
      <w:suff w:val="space"/>
      <w:lvlText w:val="%3.%4"/>
      <w:lvlJc w:val="left"/>
      <w:pPr>
        <w:ind w:left="0" w:firstLine="454"/>
      </w:pPr>
      <w:rPr>
        <w:rFonts w:hint="eastAsia"/>
      </w:rPr>
    </w:lvl>
    <w:lvl w:ilvl="4">
      <w:start w:val="1"/>
      <w:numFmt w:val="decimal"/>
      <w:lvlText w:val="(%5)"/>
      <w:lvlJc w:val="left"/>
      <w:pPr>
        <w:tabs>
          <w:tab w:val="num" w:pos="4122"/>
        </w:tabs>
        <w:ind w:left="3402" w:firstLine="0"/>
      </w:pPr>
      <w:rPr>
        <w:rFonts w:hint="eastAsia"/>
      </w:rPr>
    </w:lvl>
    <w:lvl w:ilvl="5">
      <w:start w:val="1"/>
      <w:numFmt w:val="lowerLetter"/>
      <w:lvlText w:val="(%6)"/>
      <w:lvlJc w:val="left"/>
      <w:pPr>
        <w:tabs>
          <w:tab w:val="num" w:pos="4972"/>
        </w:tabs>
        <w:ind w:left="4252" w:firstLine="0"/>
      </w:pPr>
      <w:rPr>
        <w:rFonts w:hint="eastAsia"/>
      </w:rPr>
    </w:lvl>
    <w:lvl w:ilvl="6">
      <w:start w:val="1"/>
      <w:numFmt w:val="lowerRoman"/>
      <w:lvlText w:val="(%7)"/>
      <w:lvlJc w:val="left"/>
      <w:pPr>
        <w:tabs>
          <w:tab w:val="num" w:pos="6182"/>
        </w:tabs>
        <w:ind w:left="5102" w:firstLine="0"/>
      </w:pPr>
      <w:rPr>
        <w:rFonts w:hint="eastAsia"/>
      </w:rPr>
    </w:lvl>
    <w:lvl w:ilvl="7">
      <w:start w:val="1"/>
      <w:numFmt w:val="lowerLetter"/>
      <w:lvlText w:val="(%8)"/>
      <w:lvlJc w:val="left"/>
      <w:pPr>
        <w:tabs>
          <w:tab w:val="num" w:pos="6673"/>
        </w:tabs>
        <w:ind w:left="5953" w:firstLine="0"/>
      </w:pPr>
      <w:rPr>
        <w:rFonts w:hint="eastAsia"/>
      </w:rPr>
    </w:lvl>
    <w:lvl w:ilvl="8">
      <w:start w:val="1"/>
      <w:numFmt w:val="decimal"/>
      <w:lvlText w:val="%9."/>
      <w:lvlJc w:val="left"/>
      <w:pPr>
        <w:tabs>
          <w:tab w:val="num" w:pos="814"/>
        </w:tabs>
        <w:ind w:left="0" w:firstLine="454"/>
      </w:pPr>
      <w:rPr>
        <w:rFonts w:hint="eastAsia"/>
      </w:rPr>
    </w:lvl>
  </w:abstractNum>
  <w:abstractNum w:abstractNumId="1">
    <w:nsid w:val="56AC035F"/>
    <w:multiLevelType w:val="singleLevel"/>
    <w:tmpl w:val="56AC035F"/>
    <w:lvl w:ilvl="0">
      <w:start w:val="1"/>
      <w:numFmt w:val="decimal"/>
      <w:suff w:val="nothing"/>
      <w:lvlText w:val="%1、"/>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bordersDoNotSurroundHeader/>
  <w:bordersDoNotSurroundFooter/>
  <w:stylePaneFormatFilter w:val="3F01"/>
  <w:defaultTabStop w:val="420"/>
  <w:drawingGridHorizontalSpacing w:val="2"/>
  <w:drawingGridVerticalSpacing w:val="2"/>
  <w:displayHorizontalDrawingGridEvery w:val="0"/>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EED"/>
    <w:rsid w:val="00005333"/>
    <w:rsid w:val="000062A5"/>
    <w:rsid w:val="00007464"/>
    <w:rsid w:val="000111B2"/>
    <w:rsid w:val="00012178"/>
    <w:rsid w:val="000133A5"/>
    <w:rsid w:val="000137A1"/>
    <w:rsid w:val="00016975"/>
    <w:rsid w:val="0002150A"/>
    <w:rsid w:val="00021A0A"/>
    <w:rsid w:val="00021CBC"/>
    <w:rsid w:val="00023904"/>
    <w:rsid w:val="00025CEF"/>
    <w:rsid w:val="00030AA1"/>
    <w:rsid w:val="00031211"/>
    <w:rsid w:val="0003170A"/>
    <w:rsid w:val="00033D34"/>
    <w:rsid w:val="000376CB"/>
    <w:rsid w:val="0004040C"/>
    <w:rsid w:val="00040FF7"/>
    <w:rsid w:val="00046F96"/>
    <w:rsid w:val="00047FDE"/>
    <w:rsid w:val="00051370"/>
    <w:rsid w:val="000521E4"/>
    <w:rsid w:val="00052A4F"/>
    <w:rsid w:val="00054FDE"/>
    <w:rsid w:val="0005693F"/>
    <w:rsid w:val="00056E11"/>
    <w:rsid w:val="00057B21"/>
    <w:rsid w:val="00057D96"/>
    <w:rsid w:val="00060233"/>
    <w:rsid w:val="00061BB4"/>
    <w:rsid w:val="000621DA"/>
    <w:rsid w:val="000644E8"/>
    <w:rsid w:val="00064D77"/>
    <w:rsid w:val="00066726"/>
    <w:rsid w:val="00072CA9"/>
    <w:rsid w:val="000737A1"/>
    <w:rsid w:val="0007583E"/>
    <w:rsid w:val="00075DF4"/>
    <w:rsid w:val="000767E7"/>
    <w:rsid w:val="0007783B"/>
    <w:rsid w:val="00077F80"/>
    <w:rsid w:val="000800B6"/>
    <w:rsid w:val="00082D34"/>
    <w:rsid w:val="00085568"/>
    <w:rsid w:val="00087BC4"/>
    <w:rsid w:val="00090C66"/>
    <w:rsid w:val="00091334"/>
    <w:rsid w:val="00091E88"/>
    <w:rsid w:val="000921D6"/>
    <w:rsid w:val="00094FF7"/>
    <w:rsid w:val="00096619"/>
    <w:rsid w:val="000A3E77"/>
    <w:rsid w:val="000A40C5"/>
    <w:rsid w:val="000A4630"/>
    <w:rsid w:val="000A4E15"/>
    <w:rsid w:val="000B1341"/>
    <w:rsid w:val="000B211C"/>
    <w:rsid w:val="000B2E52"/>
    <w:rsid w:val="000B4961"/>
    <w:rsid w:val="000B5131"/>
    <w:rsid w:val="000C0B22"/>
    <w:rsid w:val="000C32E4"/>
    <w:rsid w:val="000C3519"/>
    <w:rsid w:val="000C3E7C"/>
    <w:rsid w:val="000C40A1"/>
    <w:rsid w:val="000C5238"/>
    <w:rsid w:val="000C66F0"/>
    <w:rsid w:val="000D4955"/>
    <w:rsid w:val="000D4CB9"/>
    <w:rsid w:val="000D59B7"/>
    <w:rsid w:val="000D69E9"/>
    <w:rsid w:val="000E24A9"/>
    <w:rsid w:val="000E3E50"/>
    <w:rsid w:val="000E4301"/>
    <w:rsid w:val="000E4370"/>
    <w:rsid w:val="000E47F1"/>
    <w:rsid w:val="000E75C5"/>
    <w:rsid w:val="000F328A"/>
    <w:rsid w:val="000F342A"/>
    <w:rsid w:val="000F483A"/>
    <w:rsid w:val="000F5B53"/>
    <w:rsid w:val="000F658E"/>
    <w:rsid w:val="000F671F"/>
    <w:rsid w:val="000F7F77"/>
    <w:rsid w:val="0010153C"/>
    <w:rsid w:val="00101B66"/>
    <w:rsid w:val="00104A41"/>
    <w:rsid w:val="00110B1E"/>
    <w:rsid w:val="0011294E"/>
    <w:rsid w:val="001134D9"/>
    <w:rsid w:val="00116FE9"/>
    <w:rsid w:val="0012015A"/>
    <w:rsid w:val="0012019C"/>
    <w:rsid w:val="00125D27"/>
    <w:rsid w:val="00126154"/>
    <w:rsid w:val="00126F11"/>
    <w:rsid w:val="0012702C"/>
    <w:rsid w:val="0013251E"/>
    <w:rsid w:val="00134971"/>
    <w:rsid w:val="001356E9"/>
    <w:rsid w:val="00135B2E"/>
    <w:rsid w:val="001411E7"/>
    <w:rsid w:val="00141870"/>
    <w:rsid w:val="001435C2"/>
    <w:rsid w:val="00144854"/>
    <w:rsid w:val="0014637D"/>
    <w:rsid w:val="00146AAE"/>
    <w:rsid w:val="00147E88"/>
    <w:rsid w:val="00150C44"/>
    <w:rsid w:val="00151BBF"/>
    <w:rsid w:val="00153745"/>
    <w:rsid w:val="00153C88"/>
    <w:rsid w:val="001545BA"/>
    <w:rsid w:val="00155907"/>
    <w:rsid w:val="00155D90"/>
    <w:rsid w:val="00156756"/>
    <w:rsid w:val="00162613"/>
    <w:rsid w:val="00163C2E"/>
    <w:rsid w:val="0016489B"/>
    <w:rsid w:val="00164AEF"/>
    <w:rsid w:val="00173ACD"/>
    <w:rsid w:val="001748A6"/>
    <w:rsid w:val="00174B41"/>
    <w:rsid w:val="00175188"/>
    <w:rsid w:val="00185641"/>
    <w:rsid w:val="00186081"/>
    <w:rsid w:val="00187A30"/>
    <w:rsid w:val="00190108"/>
    <w:rsid w:val="001903B1"/>
    <w:rsid w:val="00191AA8"/>
    <w:rsid w:val="00193C6F"/>
    <w:rsid w:val="0019499A"/>
    <w:rsid w:val="00195B13"/>
    <w:rsid w:val="001962F3"/>
    <w:rsid w:val="0019683F"/>
    <w:rsid w:val="001A04A6"/>
    <w:rsid w:val="001A0544"/>
    <w:rsid w:val="001A0EA2"/>
    <w:rsid w:val="001A3734"/>
    <w:rsid w:val="001A4279"/>
    <w:rsid w:val="001A47A0"/>
    <w:rsid w:val="001A5415"/>
    <w:rsid w:val="001A6F2A"/>
    <w:rsid w:val="001B06DC"/>
    <w:rsid w:val="001B08EB"/>
    <w:rsid w:val="001B5733"/>
    <w:rsid w:val="001B5946"/>
    <w:rsid w:val="001B7819"/>
    <w:rsid w:val="001C083A"/>
    <w:rsid w:val="001C5073"/>
    <w:rsid w:val="001D0BCC"/>
    <w:rsid w:val="001D1002"/>
    <w:rsid w:val="001D12D9"/>
    <w:rsid w:val="001D2515"/>
    <w:rsid w:val="001D3626"/>
    <w:rsid w:val="001D37E8"/>
    <w:rsid w:val="001D6B40"/>
    <w:rsid w:val="001E20D5"/>
    <w:rsid w:val="001E2110"/>
    <w:rsid w:val="001E23D7"/>
    <w:rsid w:val="001E4F1F"/>
    <w:rsid w:val="001E60F4"/>
    <w:rsid w:val="001F1079"/>
    <w:rsid w:val="001F10AC"/>
    <w:rsid w:val="001F14A7"/>
    <w:rsid w:val="001F3258"/>
    <w:rsid w:val="00201B81"/>
    <w:rsid w:val="00203457"/>
    <w:rsid w:val="0020433F"/>
    <w:rsid w:val="0020448E"/>
    <w:rsid w:val="00204AEE"/>
    <w:rsid w:val="002060D7"/>
    <w:rsid w:val="0020614D"/>
    <w:rsid w:val="00210AC9"/>
    <w:rsid w:val="00213619"/>
    <w:rsid w:val="00213FEA"/>
    <w:rsid w:val="00215CAF"/>
    <w:rsid w:val="00215E68"/>
    <w:rsid w:val="00217945"/>
    <w:rsid w:val="00217B42"/>
    <w:rsid w:val="00217F6E"/>
    <w:rsid w:val="002207A6"/>
    <w:rsid w:val="00220869"/>
    <w:rsid w:val="002215E2"/>
    <w:rsid w:val="00221E1E"/>
    <w:rsid w:val="00222A72"/>
    <w:rsid w:val="00222CA0"/>
    <w:rsid w:val="0022569C"/>
    <w:rsid w:val="00227372"/>
    <w:rsid w:val="00234622"/>
    <w:rsid w:val="00242494"/>
    <w:rsid w:val="002432FF"/>
    <w:rsid w:val="00247C8C"/>
    <w:rsid w:val="002502D6"/>
    <w:rsid w:val="00253A06"/>
    <w:rsid w:val="00254CF5"/>
    <w:rsid w:val="002555A0"/>
    <w:rsid w:val="00256E98"/>
    <w:rsid w:val="00266084"/>
    <w:rsid w:val="00270B4D"/>
    <w:rsid w:val="00272877"/>
    <w:rsid w:val="00275DA2"/>
    <w:rsid w:val="0027643D"/>
    <w:rsid w:val="00276B84"/>
    <w:rsid w:val="002844DC"/>
    <w:rsid w:val="0029164A"/>
    <w:rsid w:val="00292B8C"/>
    <w:rsid w:val="002944BD"/>
    <w:rsid w:val="002945EF"/>
    <w:rsid w:val="00296227"/>
    <w:rsid w:val="00297D3D"/>
    <w:rsid w:val="002A04AA"/>
    <w:rsid w:val="002A2366"/>
    <w:rsid w:val="002A480E"/>
    <w:rsid w:val="002B01F6"/>
    <w:rsid w:val="002B1889"/>
    <w:rsid w:val="002B347E"/>
    <w:rsid w:val="002B3E76"/>
    <w:rsid w:val="002B5012"/>
    <w:rsid w:val="002B60AB"/>
    <w:rsid w:val="002C1FC4"/>
    <w:rsid w:val="002C24D1"/>
    <w:rsid w:val="002C4D67"/>
    <w:rsid w:val="002C60EB"/>
    <w:rsid w:val="002C6E42"/>
    <w:rsid w:val="002C7838"/>
    <w:rsid w:val="002C7FCD"/>
    <w:rsid w:val="002D038E"/>
    <w:rsid w:val="002D2098"/>
    <w:rsid w:val="002D3460"/>
    <w:rsid w:val="002D6DFB"/>
    <w:rsid w:val="002D6F8D"/>
    <w:rsid w:val="002E1D56"/>
    <w:rsid w:val="002E31E8"/>
    <w:rsid w:val="002E3626"/>
    <w:rsid w:val="002F05C0"/>
    <w:rsid w:val="002F4CB5"/>
    <w:rsid w:val="002F5DDB"/>
    <w:rsid w:val="002F605A"/>
    <w:rsid w:val="003004E1"/>
    <w:rsid w:val="00304460"/>
    <w:rsid w:val="00307C31"/>
    <w:rsid w:val="00311E56"/>
    <w:rsid w:val="0031243A"/>
    <w:rsid w:val="00320815"/>
    <w:rsid w:val="00320E33"/>
    <w:rsid w:val="00321E79"/>
    <w:rsid w:val="003225C8"/>
    <w:rsid w:val="0032363A"/>
    <w:rsid w:val="00323691"/>
    <w:rsid w:val="00324A4C"/>
    <w:rsid w:val="00324D0B"/>
    <w:rsid w:val="00325847"/>
    <w:rsid w:val="00325B02"/>
    <w:rsid w:val="003266A8"/>
    <w:rsid w:val="00330CFD"/>
    <w:rsid w:val="00330E33"/>
    <w:rsid w:val="00340457"/>
    <w:rsid w:val="00343152"/>
    <w:rsid w:val="00350791"/>
    <w:rsid w:val="00350EEC"/>
    <w:rsid w:val="003564DB"/>
    <w:rsid w:val="00365CD8"/>
    <w:rsid w:val="00366B9F"/>
    <w:rsid w:val="003716A0"/>
    <w:rsid w:val="00377C7A"/>
    <w:rsid w:val="00381E8D"/>
    <w:rsid w:val="00384D52"/>
    <w:rsid w:val="003852E6"/>
    <w:rsid w:val="00385516"/>
    <w:rsid w:val="00385658"/>
    <w:rsid w:val="00386F4B"/>
    <w:rsid w:val="003877D6"/>
    <w:rsid w:val="00390E98"/>
    <w:rsid w:val="0039345F"/>
    <w:rsid w:val="00396B3D"/>
    <w:rsid w:val="003A0A61"/>
    <w:rsid w:val="003A0A84"/>
    <w:rsid w:val="003A0FC6"/>
    <w:rsid w:val="003A1682"/>
    <w:rsid w:val="003A3360"/>
    <w:rsid w:val="003A354F"/>
    <w:rsid w:val="003A4070"/>
    <w:rsid w:val="003A6696"/>
    <w:rsid w:val="003A6F1F"/>
    <w:rsid w:val="003A70FE"/>
    <w:rsid w:val="003A77B8"/>
    <w:rsid w:val="003A7C33"/>
    <w:rsid w:val="003B19EF"/>
    <w:rsid w:val="003B1D25"/>
    <w:rsid w:val="003B4F26"/>
    <w:rsid w:val="003B623A"/>
    <w:rsid w:val="003B6543"/>
    <w:rsid w:val="003B7341"/>
    <w:rsid w:val="003B78AF"/>
    <w:rsid w:val="003C3602"/>
    <w:rsid w:val="003C3881"/>
    <w:rsid w:val="003C5A82"/>
    <w:rsid w:val="003C724F"/>
    <w:rsid w:val="003D44A4"/>
    <w:rsid w:val="003D5E4C"/>
    <w:rsid w:val="003D6658"/>
    <w:rsid w:val="003D7219"/>
    <w:rsid w:val="003D77DB"/>
    <w:rsid w:val="003E2732"/>
    <w:rsid w:val="003E355A"/>
    <w:rsid w:val="003E4E79"/>
    <w:rsid w:val="003E5021"/>
    <w:rsid w:val="003E781E"/>
    <w:rsid w:val="003F17DB"/>
    <w:rsid w:val="003F196B"/>
    <w:rsid w:val="003F2F41"/>
    <w:rsid w:val="003F3905"/>
    <w:rsid w:val="003F3EC4"/>
    <w:rsid w:val="003F77CB"/>
    <w:rsid w:val="00400588"/>
    <w:rsid w:val="004032B8"/>
    <w:rsid w:val="004038C7"/>
    <w:rsid w:val="0040422D"/>
    <w:rsid w:val="00405276"/>
    <w:rsid w:val="0040715E"/>
    <w:rsid w:val="00412A48"/>
    <w:rsid w:val="0041403B"/>
    <w:rsid w:val="00421265"/>
    <w:rsid w:val="0042235C"/>
    <w:rsid w:val="004256E3"/>
    <w:rsid w:val="0042693C"/>
    <w:rsid w:val="00427FFC"/>
    <w:rsid w:val="004316CE"/>
    <w:rsid w:val="00434192"/>
    <w:rsid w:val="004348AC"/>
    <w:rsid w:val="0043505D"/>
    <w:rsid w:val="0044138B"/>
    <w:rsid w:val="00443ED7"/>
    <w:rsid w:val="004452A8"/>
    <w:rsid w:val="00452EF2"/>
    <w:rsid w:val="00454597"/>
    <w:rsid w:val="00454933"/>
    <w:rsid w:val="004573D1"/>
    <w:rsid w:val="00461180"/>
    <w:rsid w:val="00470282"/>
    <w:rsid w:val="004709AE"/>
    <w:rsid w:val="00471928"/>
    <w:rsid w:val="004738C0"/>
    <w:rsid w:val="00474476"/>
    <w:rsid w:val="00474CC7"/>
    <w:rsid w:val="00475D86"/>
    <w:rsid w:val="004767FA"/>
    <w:rsid w:val="004778CE"/>
    <w:rsid w:val="00477AA4"/>
    <w:rsid w:val="004828F5"/>
    <w:rsid w:val="00483703"/>
    <w:rsid w:val="004842DB"/>
    <w:rsid w:val="0048569A"/>
    <w:rsid w:val="00487443"/>
    <w:rsid w:val="00492344"/>
    <w:rsid w:val="0049264C"/>
    <w:rsid w:val="004935A6"/>
    <w:rsid w:val="00495A6E"/>
    <w:rsid w:val="004A001D"/>
    <w:rsid w:val="004A0944"/>
    <w:rsid w:val="004A1E93"/>
    <w:rsid w:val="004A35D0"/>
    <w:rsid w:val="004A436C"/>
    <w:rsid w:val="004A6394"/>
    <w:rsid w:val="004A7B64"/>
    <w:rsid w:val="004B145E"/>
    <w:rsid w:val="004B3CC3"/>
    <w:rsid w:val="004B447E"/>
    <w:rsid w:val="004B4CDA"/>
    <w:rsid w:val="004B7C8B"/>
    <w:rsid w:val="004C4C52"/>
    <w:rsid w:val="004C68DB"/>
    <w:rsid w:val="004C7DAE"/>
    <w:rsid w:val="004D00BA"/>
    <w:rsid w:val="004D1F7B"/>
    <w:rsid w:val="004D39F7"/>
    <w:rsid w:val="004D3BEB"/>
    <w:rsid w:val="004E0412"/>
    <w:rsid w:val="004E04A5"/>
    <w:rsid w:val="004E0E50"/>
    <w:rsid w:val="004E4EFA"/>
    <w:rsid w:val="004E76AF"/>
    <w:rsid w:val="004F338E"/>
    <w:rsid w:val="004F350F"/>
    <w:rsid w:val="004F4617"/>
    <w:rsid w:val="004F47F8"/>
    <w:rsid w:val="004F49DC"/>
    <w:rsid w:val="004F62D9"/>
    <w:rsid w:val="004F7BCD"/>
    <w:rsid w:val="004F7F6A"/>
    <w:rsid w:val="00500C9C"/>
    <w:rsid w:val="0050127D"/>
    <w:rsid w:val="00501854"/>
    <w:rsid w:val="0050476F"/>
    <w:rsid w:val="00505234"/>
    <w:rsid w:val="00505FCA"/>
    <w:rsid w:val="00510D26"/>
    <w:rsid w:val="005118C5"/>
    <w:rsid w:val="00514227"/>
    <w:rsid w:val="005218DC"/>
    <w:rsid w:val="005219BC"/>
    <w:rsid w:val="00523139"/>
    <w:rsid w:val="00524011"/>
    <w:rsid w:val="00534B9F"/>
    <w:rsid w:val="00535AD2"/>
    <w:rsid w:val="0053743D"/>
    <w:rsid w:val="00545244"/>
    <w:rsid w:val="00545A35"/>
    <w:rsid w:val="00550CFC"/>
    <w:rsid w:val="00557395"/>
    <w:rsid w:val="0056392A"/>
    <w:rsid w:val="00563C7F"/>
    <w:rsid w:val="00563D81"/>
    <w:rsid w:val="0056426A"/>
    <w:rsid w:val="005663AC"/>
    <w:rsid w:val="00567E86"/>
    <w:rsid w:val="005707BB"/>
    <w:rsid w:val="00571DB1"/>
    <w:rsid w:val="00572227"/>
    <w:rsid w:val="005725B2"/>
    <w:rsid w:val="00572F4E"/>
    <w:rsid w:val="005731B4"/>
    <w:rsid w:val="00574488"/>
    <w:rsid w:val="0058002A"/>
    <w:rsid w:val="005810C4"/>
    <w:rsid w:val="00585A3B"/>
    <w:rsid w:val="00590D9C"/>
    <w:rsid w:val="00596157"/>
    <w:rsid w:val="00597EDC"/>
    <w:rsid w:val="005A2F4B"/>
    <w:rsid w:val="005A559B"/>
    <w:rsid w:val="005A7079"/>
    <w:rsid w:val="005A76DD"/>
    <w:rsid w:val="005B05B2"/>
    <w:rsid w:val="005B0BF6"/>
    <w:rsid w:val="005B12F2"/>
    <w:rsid w:val="005B153D"/>
    <w:rsid w:val="005B47BE"/>
    <w:rsid w:val="005B5FD4"/>
    <w:rsid w:val="005B66FF"/>
    <w:rsid w:val="005C019C"/>
    <w:rsid w:val="005C45B2"/>
    <w:rsid w:val="005C526B"/>
    <w:rsid w:val="005D3EFB"/>
    <w:rsid w:val="005D73B5"/>
    <w:rsid w:val="005E3395"/>
    <w:rsid w:val="005E69AA"/>
    <w:rsid w:val="005F14D8"/>
    <w:rsid w:val="005F1A1E"/>
    <w:rsid w:val="005F5BB2"/>
    <w:rsid w:val="00600F30"/>
    <w:rsid w:val="00601D58"/>
    <w:rsid w:val="00602E41"/>
    <w:rsid w:val="006051DB"/>
    <w:rsid w:val="00606A43"/>
    <w:rsid w:val="00611D49"/>
    <w:rsid w:val="00616943"/>
    <w:rsid w:val="00620792"/>
    <w:rsid w:val="00620B49"/>
    <w:rsid w:val="00621568"/>
    <w:rsid w:val="00622221"/>
    <w:rsid w:val="0062243E"/>
    <w:rsid w:val="00623B8C"/>
    <w:rsid w:val="0062788D"/>
    <w:rsid w:val="0063028A"/>
    <w:rsid w:val="006308A9"/>
    <w:rsid w:val="00631402"/>
    <w:rsid w:val="00632A5B"/>
    <w:rsid w:val="00633900"/>
    <w:rsid w:val="00633ED5"/>
    <w:rsid w:val="00634543"/>
    <w:rsid w:val="006354D7"/>
    <w:rsid w:val="0064150E"/>
    <w:rsid w:val="0064256F"/>
    <w:rsid w:val="00643851"/>
    <w:rsid w:val="00650555"/>
    <w:rsid w:val="006513AA"/>
    <w:rsid w:val="006522CC"/>
    <w:rsid w:val="00654B99"/>
    <w:rsid w:val="00656451"/>
    <w:rsid w:val="00656515"/>
    <w:rsid w:val="00656A5D"/>
    <w:rsid w:val="00660A0B"/>
    <w:rsid w:val="00660C6D"/>
    <w:rsid w:val="00661833"/>
    <w:rsid w:val="0066368B"/>
    <w:rsid w:val="00666784"/>
    <w:rsid w:val="00667646"/>
    <w:rsid w:val="006705FB"/>
    <w:rsid w:val="00675381"/>
    <w:rsid w:val="006758AA"/>
    <w:rsid w:val="00675E1E"/>
    <w:rsid w:val="00683C9A"/>
    <w:rsid w:val="00683FA6"/>
    <w:rsid w:val="00684E86"/>
    <w:rsid w:val="0068653A"/>
    <w:rsid w:val="0068717C"/>
    <w:rsid w:val="00690F46"/>
    <w:rsid w:val="0069258E"/>
    <w:rsid w:val="00694282"/>
    <w:rsid w:val="006A08F3"/>
    <w:rsid w:val="006A11CC"/>
    <w:rsid w:val="006A5217"/>
    <w:rsid w:val="006A59E1"/>
    <w:rsid w:val="006A775D"/>
    <w:rsid w:val="006A79F9"/>
    <w:rsid w:val="006B1581"/>
    <w:rsid w:val="006B53E2"/>
    <w:rsid w:val="006B628D"/>
    <w:rsid w:val="006C1E8C"/>
    <w:rsid w:val="006C2D68"/>
    <w:rsid w:val="006C4013"/>
    <w:rsid w:val="006C4F6B"/>
    <w:rsid w:val="006C5E13"/>
    <w:rsid w:val="006C72D6"/>
    <w:rsid w:val="006D4CFE"/>
    <w:rsid w:val="006D540B"/>
    <w:rsid w:val="006E4931"/>
    <w:rsid w:val="006E5C8C"/>
    <w:rsid w:val="006E71EA"/>
    <w:rsid w:val="006F1144"/>
    <w:rsid w:val="006F1146"/>
    <w:rsid w:val="006F40E0"/>
    <w:rsid w:val="007038A2"/>
    <w:rsid w:val="00704EC9"/>
    <w:rsid w:val="00707955"/>
    <w:rsid w:val="00707D73"/>
    <w:rsid w:val="00710490"/>
    <w:rsid w:val="00712002"/>
    <w:rsid w:val="00712A7C"/>
    <w:rsid w:val="00715885"/>
    <w:rsid w:val="00715BEE"/>
    <w:rsid w:val="007165FF"/>
    <w:rsid w:val="007175A7"/>
    <w:rsid w:val="0071771B"/>
    <w:rsid w:val="00717A93"/>
    <w:rsid w:val="00717CC5"/>
    <w:rsid w:val="0072144C"/>
    <w:rsid w:val="00722659"/>
    <w:rsid w:val="00723956"/>
    <w:rsid w:val="00724167"/>
    <w:rsid w:val="007254FB"/>
    <w:rsid w:val="00726F0C"/>
    <w:rsid w:val="00727957"/>
    <w:rsid w:val="007316DD"/>
    <w:rsid w:val="00731FCD"/>
    <w:rsid w:val="00732133"/>
    <w:rsid w:val="00732478"/>
    <w:rsid w:val="00734611"/>
    <w:rsid w:val="00735170"/>
    <w:rsid w:val="00735A95"/>
    <w:rsid w:val="0073679B"/>
    <w:rsid w:val="00737CD6"/>
    <w:rsid w:val="0074540D"/>
    <w:rsid w:val="00745A9E"/>
    <w:rsid w:val="00746656"/>
    <w:rsid w:val="00747085"/>
    <w:rsid w:val="0075122C"/>
    <w:rsid w:val="00752DAC"/>
    <w:rsid w:val="007563C1"/>
    <w:rsid w:val="00756AE3"/>
    <w:rsid w:val="00756F11"/>
    <w:rsid w:val="0076354C"/>
    <w:rsid w:val="007671E3"/>
    <w:rsid w:val="0077024F"/>
    <w:rsid w:val="00770AF9"/>
    <w:rsid w:val="0077177F"/>
    <w:rsid w:val="00774CF4"/>
    <w:rsid w:val="0078386C"/>
    <w:rsid w:val="00783E9E"/>
    <w:rsid w:val="0078571B"/>
    <w:rsid w:val="00786A37"/>
    <w:rsid w:val="00787619"/>
    <w:rsid w:val="00787EF4"/>
    <w:rsid w:val="00790621"/>
    <w:rsid w:val="00794A0C"/>
    <w:rsid w:val="007964FB"/>
    <w:rsid w:val="00796A49"/>
    <w:rsid w:val="007974EC"/>
    <w:rsid w:val="00797ACF"/>
    <w:rsid w:val="007A2429"/>
    <w:rsid w:val="007A78D1"/>
    <w:rsid w:val="007B3EA6"/>
    <w:rsid w:val="007B4B2B"/>
    <w:rsid w:val="007B57BE"/>
    <w:rsid w:val="007B5AA9"/>
    <w:rsid w:val="007B671C"/>
    <w:rsid w:val="007C1232"/>
    <w:rsid w:val="007C241A"/>
    <w:rsid w:val="007C38D9"/>
    <w:rsid w:val="007C534B"/>
    <w:rsid w:val="007C5460"/>
    <w:rsid w:val="007C6AD0"/>
    <w:rsid w:val="007C6ECD"/>
    <w:rsid w:val="007D0C23"/>
    <w:rsid w:val="007D1A24"/>
    <w:rsid w:val="007E0C3D"/>
    <w:rsid w:val="007E0E3F"/>
    <w:rsid w:val="007E7E77"/>
    <w:rsid w:val="007F04D2"/>
    <w:rsid w:val="007F2539"/>
    <w:rsid w:val="007F5492"/>
    <w:rsid w:val="007F62D4"/>
    <w:rsid w:val="00800EFE"/>
    <w:rsid w:val="00802718"/>
    <w:rsid w:val="0080495C"/>
    <w:rsid w:val="00804A57"/>
    <w:rsid w:val="00810681"/>
    <w:rsid w:val="0081143E"/>
    <w:rsid w:val="0081299F"/>
    <w:rsid w:val="00813760"/>
    <w:rsid w:val="00820106"/>
    <w:rsid w:val="00820C6A"/>
    <w:rsid w:val="0082585B"/>
    <w:rsid w:val="008300E4"/>
    <w:rsid w:val="00831F62"/>
    <w:rsid w:val="00837466"/>
    <w:rsid w:val="00840802"/>
    <w:rsid w:val="0084152C"/>
    <w:rsid w:val="00841DF3"/>
    <w:rsid w:val="00842510"/>
    <w:rsid w:val="00843CD7"/>
    <w:rsid w:val="00844E80"/>
    <w:rsid w:val="00847867"/>
    <w:rsid w:val="00847CCC"/>
    <w:rsid w:val="008561B8"/>
    <w:rsid w:val="008563FF"/>
    <w:rsid w:val="00861BA7"/>
    <w:rsid w:val="00870EDD"/>
    <w:rsid w:val="00871AD2"/>
    <w:rsid w:val="00873F0D"/>
    <w:rsid w:val="00874B47"/>
    <w:rsid w:val="00874CD6"/>
    <w:rsid w:val="00875637"/>
    <w:rsid w:val="00881AE7"/>
    <w:rsid w:val="0088322E"/>
    <w:rsid w:val="00883B19"/>
    <w:rsid w:val="00887561"/>
    <w:rsid w:val="008878CC"/>
    <w:rsid w:val="00894AA9"/>
    <w:rsid w:val="00896686"/>
    <w:rsid w:val="008A0903"/>
    <w:rsid w:val="008A4D0C"/>
    <w:rsid w:val="008B52E5"/>
    <w:rsid w:val="008B604C"/>
    <w:rsid w:val="008B60F6"/>
    <w:rsid w:val="008B6125"/>
    <w:rsid w:val="008B62A7"/>
    <w:rsid w:val="008C1AFE"/>
    <w:rsid w:val="008C209A"/>
    <w:rsid w:val="008C20E5"/>
    <w:rsid w:val="008C4597"/>
    <w:rsid w:val="008C4C9E"/>
    <w:rsid w:val="008C4CCE"/>
    <w:rsid w:val="008C5E18"/>
    <w:rsid w:val="008C6345"/>
    <w:rsid w:val="008C6348"/>
    <w:rsid w:val="008C79A7"/>
    <w:rsid w:val="008D25D7"/>
    <w:rsid w:val="008D504C"/>
    <w:rsid w:val="008D6EBC"/>
    <w:rsid w:val="008D7767"/>
    <w:rsid w:val="008D7BC5"/>
    <w:rsid w:val="008D7FF5"/>
    <w:rsid w:val="008E09C8"/>
    <w:rsid w:val="008E3983"/>
    <w:rsid w:val="008E4262"/>
    <w:rsid w:val="008E6BDB"/>
    <w:rsid w:val="008E7832"/>
    <w:rsid w:val="008F0D4C"/>
    <w:rsid w:val="008F33FC"/>
    <w:rsid w:val="008F5051"/>
    <w:rsid w:val="008F5D7E"/>
    <w:rsid w:val="009112F9"/>
    <w:rsid w:val="0091244D"/>
    <w:rsid w:val="00912A32"/>
    <w:rsid w:val="009154C2"/>
    <w:rsid w:val="00917035"/>
    <w:rsid w:val="00917186"/>
    <w:rsid w:val="00917561"/>
    <w:rsid w:val="00920EA2"/>
    <w:rsid w:val="009218BE"/>
    <w:rsid w:val="0092229A"/>
    <w:rsid w:val="0092314A"/>
    <w:rsid w:val="00924DB0"/>
    <w:rsid w:val="00927225"/>
    <w:rsid w:val="00930FED"/>
    <w:rsid w:val="00932384"/>
    <w:rsid w:val="0093703F"/>
    <w:rsid w:val="009377A2"/>
    <w:rsid w:val="00937D00"/>
    <w:rsid w:val="00940468"/>
    <w:rsid w:val="00941506"/>
    <w:rsid w:val="00944B71"/>
    <w:rsid w:val="00945209"/>
    <w:rsid w:val="00946743"/>
    <w:rsid w:val="00946C1A"/>
    <w:rsid w:val="0094737E"/>
    <w:rsid w:val="009504A4"/>
    <w:rsid w:val="00950B0F"/>
    <w:rsid w:val="009528AA"/>
    <w:rsid w:val="00954A88"/>
    <w:rsid w:val="00955FB5"/>
    <w:rsid w:val="00960CAC"/>
    <w:rsid w:val="0096112B"/>
    <w:rsid w:val="009646E4"/>
    <w:rsid w:val="0096655F"/>
    <w:rsid w:val="00967AAF"/>
    <w:rsid w:val="00971035"/>
    <w:rsid w:val="00974189"/>
    <w:rsid w:val="00977DAF"/>
    <w:rsid w:val="00977DF6"/>
    <w:rsid w:val="009808CC"/>
    <w:rsid w:val="00984C7F"/>
    <w:rsid w:val="009857FA"/>
    <w:rsid w:val="00986908"/>
    <w:rsid w:val="00987EB9"/>
    <w:rsid w:val="00990250"/>
    <w:rsid w:val="009907ED"/>
    <w:rsid w:val="00992164"/>
    <w:rsid w:val="009951B5"/>
    <w:rsid w:val="009973EC"/>
    <w:rsid w:val="009A1415"/>
    <w:rsid w:val="009A5342"/>
    <w:rsid w:val="009A5DBB"/>
    <w:rsid w:val="009A6776"/>
    <w:rsid w:val="009B42E5"/>
    <w:rsid w:val="009B6BE5"/>
    <w:rsid w:val="009C187F"/>
    <w:rsid w:val="009C1E41"/>
    <w:rsid w:val="009C27FB"/>
    <w:rsid w:val="009C5B1C"/>
    <w:rsid w:val="009C782F"/>
    <w:rsid w:val="009D0425"/>
    <w:rsid w:val="009D300C"/>
    <w:rsid w:val="009D3A89"/>
    <w:rsid w:val="009D48FD"/>
    <w:rsid w:val="009D7D6F"/>
    <w:rsid w:val="009E0D81"/>
    <w:rsid w:val="009E11E4"/>
    <w:rsid w:val="009E4B53"/>
    <w:rsid w:val="009E55AB"/>
    <w:rsid w:val="009E62EA"/>
    <w:rsid w:val="009E6D73"/>
    <w:rsid w:val="009F2D74"/>
    <w:rsid w:val="009F580B"/>
    <w:rsid w:val="00A0183E"/>
    <w:rsid w:val="00A035CF"/>
    <w:rsid w:val="00A055A7"/>
    <w:rsid w:val="00A0598D"/>
    <w:rsid w:val="00A124E0"/>
    <w:rsid w:val="00A12CB5"/>
    <w:rsid w:val="00A146A7"/>
    <w:rsid w:val="00A14CEC"/>
    <w:rsid w:val="00A23881"/>
    <w:rsid w:val="00A241AF"/>
    <w:rsid w:val="00A24223"/>
    <w:rsid w:val="00A24971"/>
    <w:rsid w:val="00A2759C"/>
    <w:rsid w:val="00A27A45"/>
    <w:rsid w:val="00A348D0"/>
    <w:rsid w:val="00A37851"/>
    <w:rsid w:val="00A419DF"/>
    <w:rsid w:val="00A42C3C"/>
    <w:rsid w:val="00A45D97"/>
    <w:rsid w:val="00A45F67"/>
    <w:rsid w:val="00A46932"/>
    <w:rsid w:val="00A50579"/>
    <w:rsid w:val="00A506DE"/>
    <w:rsid w:val="00A50F8E"/>
    <w:rsid w:val="00A51974"/>
    <w:rsid w:val="00A52969"/>
    <w:rsid w:val="00A52ED7"/>
    <w:rsid w:val="00A56EDC"/>
    <w:rsid w:val="00A6055E"/>
    <w:rsid w:val="00A62665"/>
    <w:rsid w:val="00A629F6"/>
    <w:rsid w:val="00A63783"/>
    <w:rsid w:val="00A661E3"/>
    <w:rsid w:val="00A66208"/>
    <w:rsid w:val="00A668CB"/>
    <w:rsid w:val="00A67B65"/>
    <w:rsid w:val="00A70F96"/>
    <w:rsid w:val="00A74E8E"/>
    <w:rsid w:val="00A772F2"/>
    <w:rsid w:val="00A81C71"/>
    <w:rsid w:val="00A82785"/>
    <w:rsid w:val="00A82F0D"/>
    <w:rsid w:val="00A8335C"/>
    <w:rsid w:val="00A841CE"/>
    <w:rsid w:val="00A841D7"/>
    <w:rsid w:val="00A8526F"/>
    <w:rsid w:val="00A85672"/>
    <w:rsid w:val="00A86A2E"/>
    <w:rsid w:val="00A92890"/>
    <w:rsid w:val="00A940D0"/>
    <w:rsid w:val="00A97A92"/>
    <w:rsid w:val="00AA01F0"/>
    <w:rsid w:val="00AA42FD"/>
    <w:rsid w:val="00AA439E"/>
    <w:rsid w:val="00AA44D7"/>
    <w:rsid w:val="00AA55AE"/>
    <w:rsid w:val="00AA6A13"/>
    <w:rsid w:val="00AB29C6"/>
    <w:rsid w:val="00AB522A"/>
    <w:rsid w:val="00AB5F3E"/>
    <w:rsid w:val="00AC0839"/>
    <w:rsid w:val="00AC2EDE"/>
    <w:rsid w:val="00AC41E3"/>
    <w:rsid w:val="00AC4FA4"/>
    <w:rsid w:val="00AC541D"/>
    <w:rsid w:val="00AC726D"/>
    <w:rsid w:val="00AD1B2A"/>
    <w:rsid w:val="00AD2187"/>
    <w:rsid w:val="00AD3657"/>
    <w:rsid w:val="00AD39B3"/>
    <w:rsid w:val="00AD42ED"/>
    <w:rsid w:val="00AD5FE2"/>
    <w:rsid w:val="00AD73D2"/>
    <w:rsid w:val="00AE185A"/>
    <w:rsid w:val="00AE33E4"/>
    <w:rsid w:val="00AE3C27"/>
    <w:rsid w:val="00AE4225"/>
    <w:rsid w:val="00AE49B7"/>
    <w:rsid w:val="00AE7A6C"/>
    <w:rsid w:val="00AF1358"/>
    <w:rsid w:val="00AF1BAB"/>
    <w:rsid w:val="00AF3A50"/>
    <w:rsid w:val="00AF45C6"/>
    <w:rsid w:val="00AF4619"/>
    <w:rsid w:val="00AF570A"/>
    <w:rsid w:val="00AF6421"/>
    <w:rsid w:val="00AF7414"/>
    <w:rsid w:val="00B027DE"/>
    <w:rsid w:val="00B073E3"/>
    <w:rsid w:val="00B07D68"/>
    <w:rsid w:val="00B1085E"/>
    <w:rsid w:val="00B111F3"/>
    <w:rsid w:val="00B11456"/>
    <w:rsid w:val="00B13202"/>
    <w:rsid w:val="00B13723"/>
    <w:rsid w:val="00B15A66"/>
    <w:rsid w:val="00B2031E"/>
    <w:rsid w:val="00B2243D"/>
    <w:rsid w:val="00B25421"/>
    <w:rsid w:val="00B25C6C"/>
    <w:rsid w:val="00B271A9"/>
    <w:rsid w:val="00B31B25"/>
    <w:rsid w:val="00B32149"/>
    <w:rsid w:val="00B321B6"/>
    <w:rsid w:val="00B326DE"/>
    <w:rsid w:val="00B33C6F"/>
    <w:rsid w:val="00B34A1F"/>
    <w:rsid w:val="00B36311"/>
    <w:rsid w:val="00B40614"/>
    <w:rsid w:val="00B429FE"/>
    <w:rsid w:val="00B43DAA"/>
    <w:rsid w:val="00B45195"/>
    <w:rsid w:val="00B454C4"/>
    <w:rsid w:val="00B455B3"/>
    <w:rsid w:val="00B45C0A"/>
    <w:rsid w:val="00B46EAC"/>
    <w:rsid w:val="00B46F77"/>
    <w:rsid w:val="00B473EC"/>
    <w:rsid w:val="00B51E0D"/>
    <w:rsid w:val="00B532BA"/>
    <w:rsid w:val="00B53498"/>
    <w:rsid w:val="00B55F51"/>
    <w:rsid w:val="00B602FC"/>
    <w:rsid w:val="00B6082D"/>
    <w:rsid w:val="00B623F4"/>
    <w:rsid w:val="00B64397"/>
    <w:rsid w:val="00B6783E"/>
    <w:rsid w:val="00B70F42"/>
    <w:rsid w:val="00B74695"/>
    <w:rsid w:val="00B75613"/>
    <w:rsid w:val="00B77AFC"/>
    <w:rsid w:val="00B80AB8"/>
    <w:rsid w:val="00B80B66"/>
    <w:rsid w:val="00B80CAA"/>
    <w:rsid w:val="00B82588"/>
    <w:rsid w:val="00B83A0D"/>
    <w:rsid w:val="00B86531"/>
    <w:rsid w:val="00B86CF8"/>
    <w:rsid w:val="00B87B0D"/>
    <w:rsid w:val="00B93FC9"/>
    <w:rsid w:val="00B94B70"/>
    <w:rsid w:val="00B95B25"/>
    <w:rsid w:val="00B9632D"/>
    <w:rsid w:val="00BA12F6"/>
    <w:rsid w:val="00BA2EB6"/>
    <w:rsid w:val="00BA358C"/>
    <w:rsid w:val="00BA4B79"/>
    <w:rsid w:val="00BB0FF6"/>
    <w:rsid w:val="00BB6B7E"/>
    <w:rsid w:val="00BC0197"/>
    <w:rsid w:val="00BC0530"/>
    <w:rsid w:val="00BC4AB2"/>
    <w:rsid w:val="00BC5C67"/>
    <w:rsid w:val="00BC658B"/>
    <w:rsid w:val="00BD32BA"/>
    <w:rsid w:val="00BD5118"/>
    <w:rsid w:val="00BD5E40"/>
    <w:rsid w:val="00BD6879"/>
    <w:rsid w:val="00BD7A89"/>
    <w:rsid w:val="00BE26D3"/>
    <w:rsid w:val="00BE2B68"/>
    <w:rsid w:val="00BE5DAD"/>
    <w:rsid w:val="00BE5EDE"/>
    <w:rsid w:val="00BF3B72"/>
    <w:rsid w:val="00BF485A"/>
    <w:rsid w:val="00BF51D7"/>
    <w:rsid w:val="00BF5479"/>
    <w:rsid w:val="00BF59FB"/>
    <w:rsid w:val="00C060B9"/>
    <w:rsid w:val="00C06DBF"/>
    <w:rsid w:val="00C140F2"/>
    <w:rsid w:val="00C24F34"/>
    <w:rsid w:val="00C34168"/>
    <w:rsid w:val="00C350BA"/>
    <w:rsid w:val="00C37353"/>
    <w:rsid w:val="00C3796A"/>
    <w:rsid w:val="00C43B4F"/>
    <w:rsid w:val="00C43CE6"/>
    <w:rsid w:val="00C43F13"/>
    <w:rsid w:val="00C45B68"/>
    <w:rsid w:val="00C46627"/>
    <w:rsid w:val="00C4754A"/>
    <w:rsid w:val="00C5007B"/>
    <w:rsid w:val="00C500FE"/>
    <w:rsid w:val="00C538FE"/>
    <w:rsid w:val="00C55286"/>
    <w:rsid w:val="00C55B1F"/>
    <w:rsid w:val="00C57839"/>
    <w:rsid w:val="00C637DC"/>
    <w:rsid w:val="00C653B5"/>
    <w:rsid w:val="00C664B0"/>
    <w:rsid w:val="00C66E9A"/>
    <w:rsid w:val="00C67D15"/>
    <w:rsid w:val="00C70A74"/>
    <w:rsid w:val="00C70B2E"/>
    <w:rsid w:val="00C72828"/>
    <w:rsid w:val="00C72E8F"/>
    <w:rsid w:val="00C730AB"/>
    <w:rsid w:val="00C7434D"/>
    <w:rsid w:val="00C74FDC"/>
    <w:rsid w:val="00C8643D"/>
    <w:rsid w:val="00C908A6"/>
    <w:rsid w:val="00C93BFD"/>
    <w:rsid w:val="00C972EC"/>
    <w:rsid w:val="00CA1053"/>
    <w:rsid w:val="00CA1495"/>
    <w:rsid w:val="00CA161C"/>
    <w:rsid w:val="00CA1B89"/>
    <w:rsid w:val="00CA4B7D"/>
    <w:rsid w:val="00CA5D8F"/>
    <w:rsid w:val="00CB2087"/>
    <w:rsid w:val="00CB5CBA"/>
    <w:rsid w:val="00CB5EC0"/>
    <w:rsid w:val="00CB676A"/>
    <w:rsid w:val="00CB6EB1"/>
    <w:rsid w:val="00CC0019"/>
    <w:rsid w:val="00CC2353"/>
    <w:rsid w:val="00CC2C32"/>
    <w:rsid w:val="00CC4377"/>
    <w:rsid w:val="00CC4E31"/>
    <w:rsid w:val="00CC779A"/>
    <w:rsid w:val="00CD1F2F"/>
    <w:rsid w:val="00CD2A28"/>
    <w:rsid w:val="00CD7D4D"/>
    <w:rsid w:val="00CE3050"/>
    <w:rsid w:val="00CE6A57"/>
    <w:rsid w:val="00CF2A98"/>
    <w:rsid w:val="00CF3E71"/>
    <w:rsid w:val="00CF5E0C"/>
    <w:rsid w:val="00D003D8"/>
    <w:rsid w:val="00D00F78"/>
    <w:rsid w:val="00D01587"/>
    <w:rsid w:val="00D02E9F"/>
    <w:rsid w:val="00D053C1"/>
    <w:rsid w:val="00D05F8A"/>
    <w:rsid w:val="00D06C69"/>
    <w:rsid w:val="00D07631"/>
    <w:rsid w:val="00D10279"/>
    <w:rsid w:val="00D1244C"/>
    <w:rsid w:val="00D12BA1"/>
    <w:rsid w:val="00D12FEB"/>
    <w:rsid w:val="00D20E5B"/>
    <w:rsid w:val="00D21AEB"/>
    <w:rsid w:val="00D21B12"/>
    <w:rsid w:val="00D24529"/>
    <w:rsid w:val="00D26629"/>
    <w:rsid w:val="00D27176"/>
    <w:rsid w:val="00D273BB"/>
    <w:rsid w:val="00D314A0"/>
    <w:rsid w:val="00D34821"/>
    <w:rsid w:val="00D350CE"/>
    <w:rsid w:val="00D409F9"/>
    <w:rsid w:val="00D41781"/>
    <w:rsid w:val="00D4404A"/>
    <w:rsid w:val="00D51307"/>
    <w:rsid w:val="00D53A1C"/>
    <w:rsid w:val="00D56559"/>
    <w:rsid w:val="00D6446B"/>
    <w:rsid w:val="00D65FD0"/>
    <w:rsid w:val="00D660A0"/>
    <w:rsid w:val="00D70445"/>
    <w:rsid w:val="00D74B56"/>
    <w:rsid w:val="00D76454"/>
    <w:rsid w:val="00D82230"/>
    <w:rsid w:val="00D8402B"/>
    <w:rsid w:val="00D8412C"/>
    <w:rsid w:val="00D846F8"/>
    <w:rsid w:val="00D84D05"/>
    <w:rsid w:val="00D850C8"/>
    <w:rsid w:val="00D86A96"/>
    <w:rsid w:val="00D87033"/>
    <w:rsid w:val="00D8799E"/>
    <w:rsid w:val="00D906A4"/>
    <w:rsid w:val="00D911E1"/>
    <w:rsid w:val="00D913BA"/>
    <w:rsid w:val="00D91B34"/>
    <w:rsid w:val="00D92288"/>
    <w:rsid w:val="00D96852"/>
    <w:rsid w:val="00DA3A59"/>
    <w:rsid w:val="00DA4126"/>
    <w:rsid w:val="00DA4580"/>
    <w:rsid w:val="00DA4DC3"/>
    <w:rsid w:val="00DA5456"/>
    <w:rsid w:val="00DA7936"/>
    <w:rsid w:val="00DB1396"/>
    <w:rsid w:val="00DB35B0"/>
    <w:rsid w:val="00DB72EB"/>
    <w:rsid w:val="00DB7522"/>
    <w:rsid w:val="00DC33A0"/>
    <w:rsid w:val="00DD2A18"/>
    <w:rsid w:val="00DD5EDA"/>
    <w:rsid w:val="00DE0917"/>
    <w:rsid w:val="00DE0DA5"/>
    <w:rsid w:val="00DE1254"/>
    <w:rsid w:val="00DE6CBF"/>
    <w:rsid w:val="00DE6F70"/>
    <w:rsid w:val="00DF0360"/>
    <w:rsid w:val="00DF1249"/>
    <w:rsid w:val="00DF22A6"/>
    <w:rsid w:val="00DF29E2"/>
    <w:rsid w:val="00DF3143"/>
    <w:rsid w:val="00DF3BF9"/>
    <w:rsid w:val="00DF79C8"/>
    <w:rsid w:val="00DF7E19"/>
    <w:rsid w:val="00E0228F"/>
    <w:rsid w:val="00E04B3A"/>
    <w:rsid w:val="00E05391"/>
    <w:rsid w:val="00E057C4"/>
    <w:rsid w:val="00E0699A"/>
    <w:rsid w:val="00E07625"/>
    <w:rsid w:val="00E161D2"/>
    <w:rsid w:val="00E166E4"/>
    <w:rsid w:val="00E16E65"/>
    <w:rsid w:val="00E179ED"/>
    <w:rsid w:val="00E269D3"/>
    <w:rsid w:val="00E32D4C"/>
    <w:rsid w:val="00E3393C"/>
    <w:rsid w:val="00E40D7D"/>
    <w:rsid w:val="00E43A87"/>
    <w:rsid w:val="00E45C75"/>
    <w:rsid w:val="00E4799C"/>
    <w:rsid w:val="00E47CB0"/>
    <w:rsid w:val="00E5262F"/>
    <w:rsid w:val="00E530A8"/>
    <w:rsid w:val="00E54433"/>
    <w:rsid w:val="00E54F14"/>
    <w:rsid w:val="00E579EE"/>
    <w:rsid w:val="00E60817"/>
    <w:rsid w:val="00E635A5"/>
    <w:rsid w:val="00E64827"/>
    <w:rsid w:val="00E656F8"/>
    <w:rsid w:val="00E65895"/>
    <w:rsid w:val="00E65C0C"/>
    <w:rsid w:val="00E71A55"/>
    <w:rsid w:val="00E7387F"/>
    <w:rsid w:val="00E73C55"/>
    <w:rsid w:val="00E756BB"/>
    <w:rsid w:val="00E776FA"/>
    <w:rsid w:val="00E80A5F"/>
    <w:rsid w:val="00E8394F"/>
    <w:rsid w:val="00E83998"/>
    <w:rsid w:val="00E83AC0"/>
    <w:rsid w:val="00E84735"/>
    <w:rsid w:val="00E85F8F"/>
    <w:rsid w:val="00E90CB5"/>
    <w:rsid w:val="00E947BA"/>
    <w:rsid w:val="00E94F57"/>
    <w:rsid w:val="00EA5D39"/>
    <w:rsid w:val="00EA61F0"/>
    <w:rsid w:val="00EB4FCC"/>
    <w:rsid w:val="00EB504E"/>
    <w:rsid w:val="00EB56C0"/>
    <w:rsid w:val="00EB5ABA"/>
    <w:rsid w:val="00EB6430"/>
    <w:rsid w:val="00EB737D"/>
    <w:rsid w:val="00EC3E3E"/>
    <w:rsid w:val="00EC49F0"/>
    <w:rsid w:val="00EC4CF9"/>
    <w:rsid w:val="00EC69EC"/>
    <w:rsid w:val="00EC7167"/>
    <w:rsid w:val="00ED2B62"/>
    <w:rsid w:val="00ED47FD"/>
    <w:rsid w:val="00ED5494"/>
    <w:rsid w:val="00ED6627"/>
    <w:rsid w:val="00ED6B3D"/>
    <w:rsid w:val="00EE0131"/>
    <w:rsid w:val="00EE248B"/>
    <w:rsid w:val="00EE6408"/>
    <w:rsid w:val="00EF0CBE"/>
    <w:rsid w:val="00EF0EE1"/>
    <w:rsid w:val="00EF30E4"/>
    <w:rsid w:val="00EF3538"/>
    <w:rsid w:val="00EF3CE0"/>
    <w:rsid w:val="00EF4B01"/>
    <w:rsid w:val="00EF5A5D"/>
    <w:rsid w:val="00EF67E5"/>
    <w:rsid w:val="00F0158A"/>
    <w:rsid w:val="00F0432B"/>
    <w:rsid w:val="00F04412"/>
    <w:rsid w:val="00F05874"/>
    <w:rsid w:val="00F06A30"/>
    <w:rsid w:val="00F106A1"/>
    <w:rsid w:val="00F1388F"/>
    <w:rsid w:val="00F1408D"/>
    <w:rsid w:val="00F14569"/>
    <w:rsid w:val="00F14DEC"/>
    <w:rsid w:val="00F15678"/>
    <w:rsid w:val="00F21FAE"/>
    <w:rsid w:val="00F237EA"/>
    <w:rsid w:val="00F23F85"/>
    <w:rsid w:val="00F24A3F"/>
    <w:rsid w:val="00F25615"/>
    <w:rsid w:val="00F25BC6"/>
    <w:rsid w:val="00F25E48"/>
    <w:rsid w:val="00F2606A"/>
    <w:rsid w:val="00F27754"/>
    <w:rsid w:val="00F361E7"/>
    <w:rsid w:val="00F36D8B"/>
    <w:rsid w:val="00F4265A"/>
    <w:rsid w:val="00F42B2A"/>
    <w:rsid w:val="00F46B9A"/>
    <w:rsid w:val="00F518A1"/>
    <w:rsid w:val="00F54D8A"/>
    <w:rsid w:val="00F54EF8"/>
    <w:rsid w:val="00F55262"/>
    <w:rsid w:val="00F603EE"/>
    <w:rsid w:val="00F6210F"/>
    <w:rsid w:val="00F62733"/>
    <w:rsid w:val="00F63BAC"/>
    <w:rsid w:val="00F64338"/>
    <w:rsid w:val="00F674F2"/>
    <w:rsid w:val="00F7162F"/>
    <w:rsid w:val="00F71969"/>
    <w:rsid w:val="00F71A59"/>
    <w:rsid w:val="00F737BF"/>
    <w:rsid w:val="00F749E2"/>
    <w:rsid w:val="00F75957"/>
    <w:rsid w:val="00F760E8"/>
    <w:rsid w:val="00F7759C"/>
    <w:rsid w:val="00F80AED"/>
    <w:rsid w:val="00F82A7E"/>
    <w:rsid w:val="00F8407E"/>
    <w:rsid w:val="00F85CBE"/>
    <w:rsid w:val="00F90AE5"/>
    <w:rsid w:val="00F93397"/>
    <w:rsid w:val="00F965B5"/>
    <w:rsid w:val="00F96EFD"/>
    <w:rsid w:val="00F97FC8"/>
    <w:rsid w:val="00FA0876"/>
    <w:rsid w:val="00FA0C7E"/>
    <w:rsid w:val="00FA2C31"/>
    <w:rsid w:val="00FA3E47"/>
    <w:rsid w:val="00FA4BE5"/>
    <w:rsid w:val="00FA64C8"/>
    <w:rsid w:val="00FA7179"/>
    <w:rsid w:val="00FB20BE"/>
    <w:rsid w:val="00FB3202"/>
    <w:rsid w:val="00FB4067"/>
    <w:rsid w:val="00FB6B53"/>
    <w:rsid w:val="00FB7CE8"/>
    <w:rsid w:val="00FD2CAA"/>
    <w:rsid w:val="00FD31A9"/>
    <w:rsid w:val="00FD4464"/>
    <w:rsid w:val="00FD59D8"/>
    <w:rsid w:val="00FD6551"/>
    <w:rsid w:val="00FE6A1D"/>
    <w:rsid w:val="00FF2ED1"/>
    <w:rsid w:val="00FF4899"/>
    <w:rsid w:val="00FF493D"/>
    <w:rsid w:val="00FF49A2"/>
    <w:rsid w:val="00FF51F0"/>
    <w:rsid w:val="00FF5E7F"/>
    <w:rsid w:val="019F6D0B"/>
    <w:rsid w:val="02A604D1"/>
    <w:rsid w:val="07D47919"/>
    <w:rsid w:val="089666E4"/>
    <w:rsid w:val="11190786"/>
    <w:rsid w:val="121D1610"/>
    <w:rsid w:val="18E63C67"/>
    <w:rsid w:val="1C733F75"/>
    <w:rsid w:val="1FB7673B"/>
    <w:rsid w:val="24B23857"/>
    <w:rsid w:val="28C93E2D"/>
    <w:rsid w:val="2CBF76EB"/>
    <w:rsid w:val="2EB05040"/>
    <w:rsid w:val="314C7B90"/>
    <w:rsid w:val="317F2BF4"/>
    <w:rsid w:val="346B544F"/>
    <w:rsid w:val="39E11F44"/>
    <w:rsid w:val="3B5C2018"/>
    <w:rsid w:val="3B9952CD"/>
    <w:rsid w:val="3CD075C2"/>
    <w:rsid w:val="3D254F99"/>
    <w:rsid w:val="43752A2C"/>
    <w:rsid w:val="438C3682"/>
    <w:rsid w:val="45803FC0"/>
    <w:rsid w:val="47B36A61"/>
    <w:rsid w:val="48145E08"/>
    <w:rsid w:val="4ABA6ED5"/>
    <w:rsid w:val="4C6A0604"/>
    <w:rsid w:val="4CED209A"/>
    <w:rsid w:val="4EB766B8"/>
    <w:rsid w:val="503D1D52"/>
    <w:rsid w:val="509D1A9E"/>
    <w:rsid w:val="596D6572"/>
    <w:rsid w:val="5BC776EB"/>
    <w:rsid w:val="60C81D10"/>
    <w:rsid w:val="673A00C3"/>
    <w:rsid w:val="68004D38"/>
    <w:rsid w:val="69CF5151"/>
    <w:rsid w:val="6AFD2472"/>
    <w:rsid w:val="6B671F65"/>
    <w:rsid w:val="6D56150E"/>
    <w:rsid w:val="71F53D42"/>
    <w:rsid w:val="76E053FE"/>
    <w:rsid w:val="787D2EC4"/>
    <w:rsid w:val="7F15671D"/>
  </w:rsids>
  <w:docVars>
    <w:docVar w:name="commondata" w:val="eyJoZGlkIjoiOWI5MmEzNDM0ODI0OGFmMzM3MmU2Y2M5Y2JkMmZkODY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2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Balloon Text" w:semiHidden="0" w:uiPriority="0" w:unhideWhenUsed="0"/>
    <w:lsdException w:name="Table Grid"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tabs>
        <w:tab w:val="left" w:pos="845"/>
      </w:tabs>
      <w:adjustRightInd w:val="0"/>
      <w:snapToGrid w:val="0"/>
      <w:spacing w:after="312" w:afterLines="100" w:line="360" w:lineRule="auto"/>
      <w:ind w:left="420"/>
      <w:jc w:val="center"/>
      <w:outlineLvl w:val="0"/>
    </w:pPr>
    <w:rPr>
      <w:rFonts w:hAnsi="Times New Roman"/>
      <w:b/>
      <w:sz w:val="32"/>
      <w:szCs w:val="20"/>
    </w:rPr>
  </w:style>
  <w:style w:type="paragraph" w:styleId="Heading2">
    <w:name w:val="heading 2"/>
    <w:basedOn w:val="Normal"/>
    <w:next w:val="Normal"/>
    <w:qFormat/>
    <w:pPr>
      <w:keepNext/>
      <w:keepLines/>
      <w:spacing w:before="260" w:beforeLines="0" w:after="260" w:afterLines="0" w:line="416"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beforeLines="0" w:after="260" w:afterLines="0" w:line="416" w:lineRule="auto"/>
      <w:outlineLvl w:val="2"/>
    </w:pPr>
    <w:rPr>
      <w:b/>
      <w:bCs/>
      <w:sz w:val="32"/>
      <w:szCs w:val="32"/>
    </w:rPr>
  </w:style>
  <w:style w:type="paragraph" w:styleId="Heading4">
    <w:name w:val="heading 4"/>
    <w:basedOn w:val="Normal"/>
    <w:next w:val="Normal"/>
    <w:qFormat/>
    <w:pPr>
      <w:keepNext/>
      <w:keepLines/>
      <w:adjustRightInd w:val="0"/>
      <w:snapToGrid w:val="0"/>
      <w:spacing w:before="280" w:beforeLines="0" w:after="290" w:afterLines="0" w:line="376" w:lineRule="auto"/>
      <w:ind w:firstLine="200" w:firstLineChars="200"/>
      <w:outlineLvl w:val="3"/>
    </w:pPr>
    <w:rPr>
      <w:rFonts w:ascii="Arial" w:eastAsia="黑体" w:hAnsi="Arial"/>
      <w:b/>
      <w:bCs/>
      <w:sz w:val="28"/>
      <w:szCs w:val="28"/>
    </w:rPr>
  </w:style>
  <w:style w:type="paragraph" w:styleId="Heading5">
    <w:name w:val="heading 5"/>
    <w:basedOn w:val="Normal"/>
    <w:next w:val="Normal"/>
    <w:qFormat/>
    <w:pPr>
      <w:keepNext/>
      <w:spacing w:before="156" w:beforeLines="50"/>
      <w:jc w:val="center"/>
      <w:outlineLvl w:val="4"/>
    </w:pPr>
    <w:rPr>
      <w:sz w:val="24"/>
    </w:rPr>
  </w:style>
  <w:style w:type="paragraph" w:styleId="Heading6">
    <w:name w:val="heading 6"/>
    <w:basedOn w:val="Normal"/>
    <w:next w:val="NormalIndent"/>
    <w:qFormat/>
    <w:pPr>
      <w:keepNext/>
      <w:keepLines/>
      <w:tabs>
        <w:tab w:val="left" w:pos="1152"/>
      </w:tabs>
      <w:spacing w:before="240" w:beforeLines="0" w:after="64" w:afterLines="0" w:line="320" w:lineRule="auto"/>
      <w:ind w:left="1152" w:hanging="1152"/>
      <w:outlineLvl w:val="5"/>
    </w:pPr>
    <w:rPr>
      <w:rFonts w:ascii="Arial" w:eastAsia="黑体" w:hAnsi="Arial"/>
      <w:b/>
      <w:bCs/>
      <w:sz w:val="24"/>
      <w:szCs w:val="21"/>
    </w:rPr>
  </w:style>
  <w:style w:type="paragraph" w:styleId="Heading8">
    <w:name w:val="heading 8"/>
    <w:basedOn w:val="Normal"/>
    <w:next w:val="NormalIndent"/>
    <w:qFormat/>
    <w:pPr>
      <w:keepNext/>
      <w:keepLines/>
      <w:tabs>
        <w:tab w:val="left" w:pos="1440"/>
      </w:tabs>
      <w:spacing w:before="240" w:beforeLines="0" w:after="64" w:afterLines="0" w:line="320" w:lineRule="auto"/>
      <w:ind w:left="1440" w:hanging="1440"/>
      <w:outlineLvl w:val="7"/>
    </w:pPr>
    <w:rPr>
      <w:rFonts w:ascii="Arial" w:eastAsia="黑体" w:hAnsi="Arial"/>
      <w:sz w:val="24"/>
      <w:szCs w:val="21"/>
    </w:rPr>
  </w:style>
  <w:style w:type="paragraph" w:styleId="Heading9">
    <w:name w:val="heading 9"/>
    <w:basedOn w:val="Normal"/>
    <w:next w:val="NormalIndent"/>
    <w:qFormat/>
    <w:pPr>
      <w:keepNext/>
      <w:keepLines/>
      <w:tabs>
        <w:tab w:val="left" w:pos="1584"/>
      </w:tabs>
      <w:spacing w:before="240" w:beforeLines="0" w:after="64" w:afterLines="0" w:line="320" w:lineRule="auto"/>
      <w:ind w:left="1584" w:hanging="1584"/>
      <w:outlineLvl w:val="8"/>
    </w:pPr>
    <w:rPr>
      <w:rFonts w:ascii="Arial" w:eastAsia="黑体" w:hAnsi="Arial"/>
      <w:szCs w:val="21"/>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NormalIndent">
    <w:name w:val="Normal Indent"/>
    <w:basedOn w:val="Normal"/>
    <w:link w:val="Char"/>
    <w:pPr>
      <w:ind w:firstLine="420" w:firstLineChars="200"/>
    </w:pPr>
  </w:style>
  <w:style w:type="character" w:customStyle="1" w:styleId="Char">
    <w:name w:val="正文缩进 Char"/>
    <w:link w:val="NormalIndent"/>
    <w:rPr>
      <w:kern w:val="2"/>
      <w:sz w:val="21"/>
      <w:szCs w:val="24"/>
    </w:rPr>
  </w:style>
  <w:style w:type="paragraph" w:styleId="DocumentMap">
    <w:name w:val="Document Map"/>
    <w:basedOn w:val="Normal"/>
    <w:semiHidden/>
    <w:pPr>
      <w:shd w:val="clear" w:color="auto" w:fill="000080"/>
    </w:pPr>
  </w:style>
  <w:style w:type="paragraph" w:styleId="CommentText">
    <w:name w:val="annotation text"/>
    <w:basedOn w:val="Normal"/>
    <w:pPr>
      <w:jc w:val="left"/>
    </w:pPr>
  </w:style>
  <w:style w:type="paragraph" w:styleId="BodyText3">
    <w:name w:val="Body Text 3"/>
    <w:basedOn w:val="Normal"/>
    <w:pPr>
      <w:spacing w:after="120" w:afterLines="0"/>
    </w:pPr>
    <w:rPr>
      <w:sz w:val="16"/>
      <w:szCs w:val="16"/>
    </w:rPr>
  </w:style>
  <w:style w:type="paragraph" w:styleId="BodyText">
    <w:name w:val="Body Text"/>
    <w:basedOn w:val="Normal"/>
    <w:link w:val="Char0"/>
    <w:pPr>
      <w:adjustRightInd w:val="0"/>
      <w:snapToGrid w:val="0"/>
      <w:spacing w:line="360" w:lineRule="auto"/>
      <w:ind w:firstLine="200" w:firstLineChars="200"/>
    </w:pPr>
    <w:rPr>
      <w:rFonts w:ascii="宋体" w:hAnsi="宋体"/>
      <w:sz w:val="28"/>
    </w:rPr>
  </w:style>
  <w:style w:type="character" w:customStyle="1" w:styleId="Char0">
    <w:name w:val="正文文本 Char"/>
    <w:basedOn w:val="DefaultParagraphFont"/>
    <w:link w:val="BodyText"/>
    <w:rPr>
      <w:rFonts w:ascii="宋体" w:eastAsia="宋体" w:hAnsi="宋体"/>
      <w:kern w:val="2"/>
      <w:sz w:val="28"/>
      <w:szCs w:val="24"/>
      <w:lang w:val="en-US" w:eastAsia="zh-CN" w:bidi="ar-SA"/>
    </w:rPr>
  </w:style>
  <w:style w:type="paragraph" w:styleId="BodyTextIndent">
    <w:name w:val="Body Text Indent"/>
    <w:basedOn w:val="Normal"/>
    <w:link w:val="Char1"/>
    <w:pPr>
      <w:tabs>
        <w:tab w:val="left" w:pos="1575"/>
      </w:tabs>
      <w:spacing w:line="300" w:lineRule="auto"/>
      <w:ind w:firstLine="425"/>
    </w:pPr>
    <w:rPr>
      <w:rFonts w:hAnsi="Times New Roman"/>
    </w:rPr>
  </w:style>
  <w:style w:type="character" w:customStyle="1" w:styleId="Char1">
    <w:name w:val="正文文本缩进 Char"/>
    <w:basedOn w:val="DefaultParagraphFont"/>
    <w:link w:val="BodyTextIndent"/>
    <w:rPr>
      <w:kern w:val="2"/>
      <w:sz w:val="21"/>
      <w:szCs w:val="24"/>
    </w:rPr>
  </w:style>
  <w:style w:type="paragraph" w:styleId="ListBullet2">
    <w:name w:val="List Bullet 2"/>
    <w:basedOn w:val="Normal"/>
    <w:pPr>
      <w:numPr>
        <w:ilvl w:val="0"/>
        <w:numId w:val="1"/>
      </w:numPr>
      <w:tabs>
        <w:tab w:val="left" w:pos="780"/>
      </w:tabs>
    </w:pPr>
    <w:rPr>
      <w:rFonts w:eastAsia="仿宋_GB2312"/>
      <w:snapToGrid w:val="0"/>
      <w:color w:val="000000"/>
      <w:kern w:val="0"/>
      <w:sz w:val="28"/>
      <w:szCs w:val="32"/>
    </w:rPr>
  </w:style>
  <w:style w:type="paragraph" w:styleId="TOC5">
    <w:name w:val="toc 5"/>
    <w:basedOn w:val="Normal"/>
    <w:next w:val="Normal"/>
    <w:pPr>
      <w:ind w:left="1680" w:leftChars="800"/>
    </w:pPr>
  </w:style>
  <w:style w:type="paragraph" w:styleId="TOC3">
    <w:name w:val="toc 3"/>
    <w:basedOn w:val="Normal"/>
    <w:next w:val="Normal"/>
    <w:semiHidden/>
    <w:pPr>
      <w:ind w:left="420"/>
      <w:jc w:val="left"/>
    </w:pPr>
    <w:rPr>
      <w:i/>
      <w:iCs/>
      <w:sz w:val="20"/>
      <w:szCs w:val="20"/>
    </w:rPr>
  </w:style>
  <w:style w:type="paragraph" w:styleId="PlainText">
    <w:name w:val="Plain Text"/>
    <w:basedOn w:val="Normal"/>
    <w:rPr>
      <w:rFonts w:ascii="宋体" w:hAnsi="Courier New"/>
      <w:szCs w:val="20"/>
    </w:rPr>
  </w:style>
  <w:style w:type="paragraph" w:styleId="Date">
    <w:name w:val="Date"/>
    <w:basedOn w:val="Normal"/>
    <w:next w:val="Normal"/>
    <w:pPr>
      <w:ind w:left="100" w:leftChars="2500"/>
    </w:pPr>
    <w:rPr>
      <w:sz w:val="28"/>
    </w:rPr>
  </w:style>
  <w:style w:type="paragraph" w:styleId="BodyTextIndent2">
    <w:name w:val="Body Text Indent 2"/>
    <w:basedOn w:val="Normal"/>
    <w:pPr>
      <w:ind w:firstLine="560" w:firstLineChars="200"/>
    </w:pPr>
  </w:style>
  <w:style w:type="paragraph" w:styleId="BalloonText">
    <w:name w:val="Balloon Text"/>
    <w:basedOn w:val="Normal"/>
    <w:link w:val="Char2"/>
    <w:rPr>
      <w:sz w:val="18"/>
      <w:szCs w:val="18"/>
    </w:rPr>
  </w:style>
  <w:style w:type="character" w:customStyle="1" w:styleId="Char2">
    <w:name w:val="批注框文本 Char"/>
    <w:basedOn w:val="DefaultParagraphFont"/>
    <w:link w:val="BalloonText"/>
    <w:rPr>
      <w:kern w:val="2"/>
      <w:sz w:val="18"/>
      <w:szCs w:val="18"/>
    </w:rPr>
  </w:style>
  <w:style w:type="paragraph" w:styleId="Footer">
    <w:name w:val="footer"/>
    <w:basedOn w:val="Normal"/>
    <w:pPr>
      <w:tabs>
        <w:tab w:val="center" w:pos="4153"/>
        <w:tab w:val="right" w:pos="8306"/>
      </w:tabs>
      <w:snapToGrid w:val="0"/>
      <w:spacing w:line="240" w:lineRule="auto"/>
      <w:jc w:val="left"/>
    </w:pPr>
    <w:rPr>
      <w:sz w:val="18"/>
      <w:szCs w:val="18"/>
    </w:rPr>
  </w:style>
  <w:style w:type="paragraph" w:styleId="Header">
    <w:name w:val="header"/>
    <w:basedOn w:val="Normal"/>
    <w:pPr>
      <w:pBdr>
        <w:bottom w:val="single" w:sz="6" w:space="1" w:color="auto"/>
      </w:pBdr>
      <w:tabs>
        <w:tab w:val="center" w:pos="4153"/>
        <w:tab w:val="right" w:pos="8306"/>
      </w:tabs>
      <w:snapToGrid w:val="0"/>
      <w:spacing w:line="240" w:lineRule="auto"/>
      <w:jc w:val="center"/>
    </w:pPr>
    <w:rPr>
      <w:sz w:val="18"/>
      <w:szCs w:val="18"/>
    </w:rPr>
  </w:style>
  <w:style w:type="paragraph" w:styleId="TOC1">
    <w:name w:val="toc 1"/>
    <w:basedOn w:val="Normal"/>
    <w:next w:val="Normal"/>
    <w:uiPriority w:val="39"/>
  </w:style>
  <w:style w:type="paragraph" w:styleId="Subtitle">
    <w:name w:val="Subtitle"/>
    <w:basedOn w:val="Normal"/>
    <w:next w:val="Normal"/>
    <w:link w:val="Char3"/>
    <w:uiPriority w:val="11"/>
    <w:qFormat/>
    <w:pPr>
      <w:spacing w:before="240" w:after="60" w:line="312" w:lineRule="auto"/>
      <w:jc w:val="left"/>
      <w:outlineLvl w:val="1"/>
    </w:pPr>
    <w:rPr>
      <w:rFonts w:ascii="Cambria" w:hAnsi="Cambria"/>
      <w:b/>
      <w:bCs/>
      <w:kern w:val="28"/>
      <w:sz w:val="28"/>
      <w:szCs w:val="32"/>
    </w:rPr>
  </w:style>
  <w:style w:type="character" w:customStyle="1" w:styleId="Char3">
    <w:name w:val="副标题 Char"/>
    <w:basedOn w:val="DefaultParagraphFont"/>
    <w:link w:val="Subtitle"/>
    <w:uiPriority w:val="11"/>
    <w:rPr>
      <w:rFonts w:ascii="Cambria" w:hAnsi="Cambria"/>
      <w:b/>
      <w:bCs/>
      <w:kern w:val="28"/>
      <w:sz w:val="28"/>
      <w:szCs w:val="32"/>
    </w:rPr>
  </w:style>
  <w:style w:type="paragraph" w:styleId="List">
    <w:name w:val="List"/>
    <w:basedOn w:val="Normal"/>
    <w:pPr>
      <w:ind w:left="420" w:hanging="420"/>
    </w:pPr>
    <w:rPr>
      <w:szCs w:val="20"/>
    </w:rPr>
  </w:style>
  <w:style w:type="paragraph" w:styleId="BodyTextIndent3">
    <w:name w:val="Body Text Indent 3"/>
    <w:basedOn w:val="Normal"/>
    <w:pPr>
      <w:tabs>
        <w:tab w:val="left" w:pos="-851"/>
        <w:tab w:val="left" w:pos="851"/>
      </w:tabs>
      <w:spacing w:line="360" w:lineRule="auto"/>
      <w:ind w:firstLine="560" w:firstLineChars="200"/>
    </w:pPr>
    <w:rPr>
      <w:sz w:val="28"/>
    </w:rPr>
  </w:style>
  <w:style w:type="paragraph" w:styleId="TOC2">
    <w:name w:val="toc 2"/>
    <w:basedOn w:val="Normal"/>
    <w:next w:val="Normal"/>
    <w:uiPriority w:val="39"/>
    <w:pPr>
      <w:ind w:left="420" w:leftChars="200"/>
    </w:pPr>
  </w:style>
  <w:style w:type="paragraph" w:styleId="BodyText2">
    <w:name w:val="Body Text 2"/>
    <w:basedOn w:val="Normal"/>
    <w:pPr>
      <w:spacing w:after="120" w:afterLines="0" w:line="480" w:lineRule="auto"/>
    </w:pPr>
  </w:style>
  <w:style w:type="paragraph" w:styleId="Title">
    <w:name w:val="Title"/>
    <w:basedOn w:val="Normal"/>
    <w:next w:val="Normal"/>
    <w:link w:val="Char4"/>
    <w:uiPriority w:val="10"/>
    <w:qFormat/>
    <w:pPr>
      <w:spacing w:before="240" w:after="60"/>
      <w:jc w:val="center"/>
      <w:outlineLvl w:val="0"/>
    </w:pPr>
    <w:rPr>
      <w:rFonts w:ascii="Cambria" w:hAnsi="Cambria"/>
      <w:b/>
      <w:bCs/>
      <w:sz w:val="32"/>
      <w:szCs w:val="32"/>
    </w:rPr>
  </w:style>
  <w:style w:type="character" w:customStyle="1" w:styleId="Char4">
    <w:name w:val="标题 Char"/>
    <w:basedOn w:val="DefaultParagraphFont"/>
    <w:link w:val="Title"/>
    <w:uiPriority w:val="10"/>
    <w:rPr>
      <w:rFonts w:ascii="Cambria" w:hAnsi="Cambria"/>
      <w:b/>
      <w:bCs/>
      <w:kern w:val="2"/>
      <w:sz w:val="32"/>
      <w:szCs w:val="32"/>
    </w:rPr>
  </w:style>
  <w:style w:type="paragraph" w:styleId="BodyTextFirstIndent">
    <w:name w:val="Body Text First Indent"/>
    <w:basedOn w:val="BodyText"/>
    <w:pPr>
      <w:adjustRightInd/>
      <w:snapToGrid/>
      <w:spacing w:after="120" w:afterLines="0" w:line="240" w:lineRule="auto"/>
      <w:ind w:firstLine="420" w:firstLineChars="100"/>
    </w:pPr>
    <w:rPr>
      <w:rFonts w:ascii="Times New Roman" w:hAnsi="Times New Roman"/>
      <w:sz w:val="21"/>
    </w:rPr>
  </w:style>
  <w:style w:type="paragraph" w:styleId="BodyTextFirstIndent2">
    <w:name w:val="Body Text First Indent 2"/>
    <w:basedOn w:val="BodyTextIndent"/>
    <w:link w:val="2Char"/>
    <w:pPr>
      <w:tabs>
        <w:tab w:val="clear" w:pos="1575"/>
      </w:tabs>
      <w:spacing w:after="120" w:line="240" w:lineRule="auto"/>
      <w:ind w:left="420" w:firstLine="420" w:leftChars="200" w:firstLineChars="200"/>
    </w:pPr>
  </w:style>
  <w:style w:type="character" w:customStyle="1" w:styleId="2Char">
    <w:name w:val="正文首行缩进 2 Char"/>
    <w:basedOn w:val="Char1"/>
    <w:link w:val="BodyTextFirstIndent2"/>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4">
    <w:name w:val="Light List Accent 4"/>
    <w:basedOn w:val="TableNormal"/>
    <w:uiPriority w:val="61"/>
    <w:tblPr>
      <w:tblStyleRowBandSize w:val="1"/>
      <w:tblStyleColBandSize w:val="1"/>
      <w:tblBorders>
        <w:top w:val="single" w:sz="8" w:space="0" w:color="8064A2"/>
        <w:left w:val="single" w:sz="8" w:space="0" w:color="8064A2"/>
        <w:bottom w:val="single" w:sz="8" w:space="0" w:color="8064A2"/>
        <w:right w:val="single" w:sz="8" w:space="0" w:color="8064A2"/>
        <w:insideH w:val="none" w:sz="0" w:space="0" w:color="auto"/>
        <w:insideV w:val="none" w:sz="0" w:space="0" w:color="auto"/>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insideH w:val="nil"/>
          <w:insideV w:val="nil"/>
          <w:tl2br w:val="nil"/>
          <w:tr2bl w:val="nil"/>
        </w:tcBorders>
      </w:tcPr>
    </w:tblStylePr>
    <w:tblStylePr w:type="band1Vert">
      <w:tblPr/>
      <w:tcPr>
        <w:tcBorders>
          <w:top w:val="single" w:sz="8" w:space="0" w:color="8064A2"/>
          <w:left w:val="single" w:sz="8" w:space="0" w:color="8064A2"/>
          <w:bottom w:val="single" w:sz="8" w:space="0" w:color="8064A2"/>
          <w:right w:val="single" w:sz="8" w:space="0" w:color="8064A2"/>
          <w:insideH w:val="nil"/>
          <w:insideV w:val="nil"/>
          <w:tl2br w:val="nil"/>
          <w:tr2bl w:val="nil"/>
        </w:tcBorders>
      </w:tcPr>
    </w:tblStylePr>
    <w:tblStylePr w:type="band1Horz">
      <w:tblPr/>
      <w:tcPr>
        <w:tcBorders>
          <w:top w:val="single" w:sz="8" w:space="0" w:color="8064A2"/>
          <w:left w:val="single" w:sz="8" w:space="0" w:color="8064A2"/>
          <w:bottom w:val="single" w:sz="8" w:space="0" w:color="8064A2"/>
          <w:right w:val="single" w:sz="8" w:space="0" w:color="8064A2"/>
          <w:insideH w:val="nil"/>
          <w:insideV w:val="nil"/>
          <w:tl2br w:val="nil"/>
          <w:tr2bl w:val="nil"/>
        </w:tcBorders>
      </w:tcPr>
    </w:tblStylePr>
    <w:tblStylePr w:type="firstCol">
      <w:rPr>
        <w:b/>
        <w:bCs/>
      </w:rPr>
    </w:tblStylePr>
    <w:tblStylePr w:type="lastCol">
      <w:rPr>
        <w:b/>
        <w:bCs/>
      </w:rPr>
    </w:tblStylePr>
  </w:style>
  <w:style w:type="table" w:styleId="LightListAccent5">
    <w:name w:val="Light List Accent 5"/>
    <w:basedOn w:val="TableNormal"/>
    <w:uiPriority w:val="61"/>
    <w:tblPr>
      <w:tblStyleRowBandSize w:val="1"/>
      <w:tblStyleColBandSize w:val="1"/>
      <w:tblBorders>
        <w:top w:val="single" w:sz="8" w:space="0" w:color="4BACC6"/>
        <w:left w:val="single" w:sz="8" w:space="0" w:color="4BACC6"/>
        <w:bottom w:val="single" w:sz="8" w:space="0" w:color="4BACC6"/>
        <w:right w:val="single" w:sz="8" w:space="0" w:color="4BACC6"/>
        <w:insideH w:val="none" w:sz="0" w:space="0" w:color="auto"/>
        <w:insideV w:val="none" w:sz="0" w:space="0" w:color="auto"/>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insideH w:val="nil"/>
          <w:insideV w:val="nil"/>
          <w:tl2br w:val="nil"/>
          <w:tr2bl w:val="nil"/>
        </w:tcBorders>
      </w:tcPr>
    </w:tblStylePr>
    <w:tblStylePr w:type="band1Vert">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band1Horz">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firstCol">
      <w:rPr>
        <w:b/>
        <w:bCs/>
      </w:rPr>
    </w:tblStylePr>
    <w:tblStylePr w:type="lastCol">
      <w:rPr>
        <w:b/>
        <w:bCs/>
      </w:rPr>
    </w:tblStylePr>
  </w:style>
  <w:style w:type="character" w:styleId="PageNumber">
    <w:name w:val="page number"/>
    <w:basedOn w:val="DefaultParagraphFont"/>
  </w:style>
  <w:style w:type="character" w:styleId="Emphasis">
    <w:name w:val="Emphasis"/>
    <w:basedOn w:val="DefaultParagraphFont"/>
    <w:uiPriority w:val="20"/>
    <w:qFormat/>
    <w:rPr>
      <w:color w:val="CC0000"/>
    </w:rPr>
  </w:style>
  <w:style w:type="character" w:styleId="Hyperlink">
    <w:name w:val="Hyperlink"/>
    <w:basedOn w:val="DefaultParagraphFont"/>
    <w:uiPriority w:val="99"/>
    <w:rPr>
      <w:color w:val="0000FF"/>
      <w:u w:val="single"/>
    </w:rPr>
  </w:style>
  <w:style w:type="character" w:styleId="CommentReference">
    <w:name w:val="annotation reference"/>
    <w:basedOn w:val="DefaultParagraphFont"/>
    <w:semiHidden/>
    <w:rPr>
      <w:sz w:val="21"/>
      <w:szCs w:val="21"/>
    </w:rPr>
  </w:style>
  <w:style w:type="character" w:customStyle="1" w:styleId="Char10">
    <w:name w:val="正文缩进 Char1"/>
    <w:aliases w:val=" Char Char, Char Char Char Char Char Char Char Char Char Char, Char Char Char Char Char Char Char Char Char Char Char Char Char Char Char Char Char Char Char Char Char Char Char, Char Char Char Char Char Char Char Char Char1,正文缩进 Char Char"/>
    <w:rPr>
      <w:rFonts w:ascii="宋体" w:eastAsia="宋体" w:hAnsi="Times New Roman" w:cs="Times New Roman"/>
      <w:sz w:val="24"/>
      <w:szCs w:val="20"/>
    </w:rPr>
  </w:style>
  <w:style w:type="character" w:customStyle="1" w:styleId="Char20">
    <w:name w:val="正文缩进 Char2"/>
    <w:qFormat/>
    <w:rPr>
      <w:rFonts w:eastAsia="宋体"/>
      <w:kern w:val="2"/>
      <w:sz w:val="21"/>
      <w:lang w:val="en-US" w:eastAsia="zh-CN" w:bidi="ar-SA"/>
    </w:rPr>
  </w:style>
  <w:style w:type="character" w:customStyle="1" w:styleId="01Char">
    <w:name w:val="正文01 Char"/>
    <w:rPr>
      <w:rFonts w:eastAsia="宋体"/>
      <w:kern w:val="2"/>
      <w:sz w:val="24"/>
      <w:lang w:val="en-US" w:eastAsia="zh-CN" w:bidi="ar-SA"/>
    </w:rPr>
  </w:style>
  <w:style w:type="character" w:customStyle="1" w:styleId="Char11">
    <w:name w:val="副标题 Char1"/>
    <w:basedOn w:val="DefaultParagraphFont"/>
    <w:rPr>
      <w:rFonts w:ascii="Cambria" w:hAnsi="Cambria" w:cs="Times New Roman"/>
      <w:b/>
      <w:bCs/>
      <w:kern w:val="28"/>
      <w:sz w:val="32"/>
      <w:szCs w:val="32"/>
    </w:rPr>
  </w:style>
  <w:style w:type="character" w:customStyle="1" w:styleId="font21">
    <w:name w:val="font21"/>
    <w:basedOn w:val="DefaultParagraphFont"/>
    <w:rPr>
      <w:rFonts w:ascii="宋体" w:eastAsia="宋体" w:hAnsi="宋体" w:cs="宋体" w:hint="eastAsia"/>
      <w:i w:val="0"/>
      <w:color w:val="000000"/>
      <w:sz w:val="20"/>
      <w:szCs w:val="20"/>
      <w:u w:val="none"/>
    </w:rPr>
  </w:style>
  <w:style w:type="character" w:customStyle="1" w:styleId="1Char1">
    <w:name w:val="样式1 Char1"/>
    <w:rPr>
      <w:rFonts w:eastAsia="宋体"/>
      <w:kern w:val="2"/>
      <w:sz w:val="24"/>
      <w:lang w:val="en-US" w:eastAsia="zh-CN" w:bidi="ar-SA"/>
    </w:rPr>
  </w:style>
  <w:style w:type="character" w:customStyle="1" w:styleId="-Char">
    <w:name w:val="验收报告-正文 Char"/>
    <w:basedOn w:val="DefaultParagraphFont"/>
    <w:link w:val="-"/>
    <w:rPr>
      <w:rFonts w:ascii="宋体" w:hAnsi="宋体"/>
      <w:sz w:val="28"/>
      <w:szCs w:val="24"/>
      <w:lang w:val="en-US" w:eastAsia="zh-CN" w:bidi="ar-SA"/>
    </w:rPr>
  </w:style>
  <w:style w:type="paragraph" w:customStyle="1" w:styleId="-">
    <w:name w:val="验收报告-正文"/>
    <w:link w:val="-Char"/>
    <w:pPr>
      <w:widowControl w:val="0"/>
      <w:adjustRightInd w:val="0"/>
      <w:snapToGrid w:val="0"/>
      <w:spacing w:line="360" w:lineRule="auto"/>
      <w:ind w:firstLine="200" w:firstLineChars="200"/>
    </w:pPr>
    <w:rPr>
      <w:rFonts w:ascii="宋体" w:hAnsi="宋体"/>
      <w:sz w:val="28"/>
      <w:szCs w:val="24"/>
      <w:lang w:val="en-US" w:eastAsia="zh-CN" w:bidi="ar-SA"/>
    </w:rPr>
  </w:style>
  <w:style w:type="character" w:customStyle="1" w:styleId="1Char">
    <w:name w:val="样式1 Char"/>
    <w:link w:val="1"/>
    <w:rPr>
      <w:kern w:val="2"/>
      <w:sz w:val="24"/>
    </w:rPr>
  </w:style>
  <w:style w:type="paragraph" w:customStyle="1" w:styleId="1">
    <w:name w:val="样式1"/>
    <w:basedOn w:val="Normal"/>
    <w:link w:val="1Char"/>
    <w:pPr>
      <w:spacing w:line="560" w:lineRule="exact"/>
      <w:ind w:firstLine="567"/>
    </w:pPr>
    <w:rPr>
      <w:sz w:val="24"/>
      <w:szCs w:val="20"/>
    </w:rPr>
  </w:style>
  <w:style w:type="character" w:customStyle="1" w:styleId="-CharChar">
    <w:name w:val="报告正文-连续目录 Char Char"/>
    <w:basedOn w:val="DefaultParagraphFont"/>
    <w:link w:val="-0"/>
    <w:rPr>
      <w:rFonts w:ascii="Arial" w:hAnsi="Arial"/>
      <w:snapToGrid w:val="0"/>
      <w:sz w:val="24"/>
      <w:szCs w:val="24"/>
    </w:rPr>
  </w:style>
  <w:style w:type="paragraph" w:customStyle="1" w:styleId="-0">
    <w:name w:val="报告正文-连续目录"/>
    <w:basedOn w:val="Normal"/>
    <w:link w:val="-CharChar"/>
    <w:pPr>
      <w:spacing w:line="440" w:lineRule="exact"/>
      <w:ind w:firstLine="200" w:firstLineChars="200"/>
    </w:pPr>
    <w:rPr>
      <w:rFonts w:ascii="Arial" w:hAnsi="Arial"/>
      <w:snapToGrid w:val="0"/>
      <w:kern w:val="0"/>
      <w:sz w:val="24"/>
    </w:rPr>
  </w:style>
  <w:style w:type="character" w:customStyle="1" w:styleId="font11">
    <w:name w:val="font11"/>
    <w:basedOn w:val="DefaultParagraphFont"/>
    <w:rPr>
      <w:rFonts w:ascii="Times New Roman" w:hAnsi="Times New Roman" w:cs="Times New Roman" w:hint="default"/>
      <w:i w:val="0"/>
      <w:color w:val="000000"/>
      <w:sz w:val="20"/>
      <w:szCs w:val="20"/>
      <w:u w:val="none"/>
    </w:rPr>
  </w:style>
  <w:style w:type="character" w:customStyle="1" w:styleId="1CharChar">
    <w:name w:val="样式1 Char Char"/>
    <w:basedOn w:val="DefaultParagraphFont"/>
    <w:rPr>
      <w:rFonts w:eastAsia="宋体"/>
      <w:kern w:val="2"/>
      <w:sz w:val="24"/>
      <w:lang w:val="en-US" w:eastAsia="zh-CN" w:bidi="ar-SA"/>
    </w:rPr>
  </w:style>
  <w:style w:type="character" w:customStyle="1" w:styleId="333CharChar">
    <w:name w:val="样式333 Char Char"/>
    <w:basedOn w:val="DefaultParagraphFont"/>
    <w:link w:val="333"/>
    <w:rPr>
      <w:rFonts w:eastAsia="宋体"/>
      <w:b/>
      <w:color w:val="000000"/>
      <w:kern w:val="2"/>
      <w:sz w:val="28"/>
      <w:szCs w:val="28"/>
      <w:lang w:val="en-US" w:eastAsia="zh-CN" w:bidi="ar-SA"/>
    </w:rPr>
  </w:style>
  <w:style w:type="paragraph" w:customStyle="1" w:styleId="333">
    <w:name w:val="样式333"/>
    <w:basedOn w:val="Normal"/>
    <w:link w:val="333CharChar"/>
    <w:pPr>
      <w:spacing w:line="360" w:lineRule="auto"/>
      <w:ind w:firstLine="561" w:firstLineChars="200"/>
    </w:pPr>
    <w:rPr>
      <w:b/>
      <w:color w:val="000000"/>
      <w:sz w:val="28"/>
      <w:szCs w:val="28"/>
    </w:rPr>
  </w:style>
  <w:style w:type="character" w:customStyle="1" w:styleId="01CharChar">
    <w:name w:val="正文01 Char Char"/>
    <w:basedOn w:val="DefaultParagraphFont"/>
    <w:link w:val="01"/>
    <w:rPr>
      <w:rFonts w:eastAsia="宋体"/>
      <w:kern w:val="2"/>
      <w:sz w:val="24"/>
      <w:lang w:val="en-US" w:eastAsia="zh-CN" w:bidi="ar-SA"/>
    </w:rPr>
  </w:style>
  <w:style w:type="paragraph" w:customStyle="1" w:styleId="01">
    <w:name w:val="正文01"/>
    <w:basedOn w:val="NormalIndent"/>
    <w:link w:val="01CharChar"/>
    <w:pPr>
      <w:spacing w:line="360" w:lineRule="auto"/>
      <w:ind w:firstLine="480"/>
    </w:pPr>
    <w:rPr>
      <w:sz w:val="24"/>
      <w:szCs w:val="20"/>
    </w:rPr>
  </w:style>
  <w:style w:type="paragraph" w:customStyle="1" w:styleId="001">
    <w:name w:val="表格001"/>
    <w:basedOn w:val="Normal"/>
    <w:pPr>
      <w:jc w:val="center"/>
    </w:pPr>
    <w:rPr>
      <w:szCs w:val="20"/>
    </w:rPr>
  </w:style>
  <w:style w:type="paragraph" w:customStyle="1" w:styleId="-1">
    <w:name w:val="验收报告-款"/>
    <w:pPr>
      <w:widowControl w:val="0"/>
      <w:adjustRightInd w:val="0"/>
      <w:snapToGrid w:val="0"/>
      <w:spacing w:line="360" w:lineRule="auto"/>
      <w:ind w:firstLine="454" w:firstLineChars="100"/>
      <w:outlineLvl w:val="3"/>
    </w:pPr>
    <w:rPr>
      <w:rFonts w:ascii="宋体" w:hAnsi="宋体"/>
      <w:sz w:val="28"/>
      <w:lang w:val="en-US" w:eastAsia="zh-CN" w:bidi="ar-SA"/>
    </w:rPr>
  </w:style>
  <w:style w:type="paragraph" w:customStyle="1" w:styleId="CharCharChar">
    <w:name w:val=" Char Char Char"/>
    <w:basedOn w:val="Normal"/>
    <w:rPr>
      <w:sz w:val="24"/>
    </w:rPr>
  </w:style>
  <w:style w:type="paragraph" w:customStyle="1" w:styleId="p0">
    <w:name w:val="p0"/>
    <w:basedOn w:val="Normal"/>
    <w:pPr>
      <w:widowControl/>
    </w:pPr>
    <w:rPr>
      <w:kern w:val="0"/>
      <w:szCs w:val="21"/>
    </w:rPr>
  </w:style>
  <w:style w:type="paragraph" w:customStyle="1" w:styleId="a">
    <w:name w:val="款"/>
    <w:basedOn w:val="BodyText"/>
    <w:pPr>
      <w:ind w:firstLine="454" w:firstLineChars="0"/>
      <w:outlineLvl w:val="3"/>
    </w:pPr>
  </w:style>
  <w:style w:type="paragraph" w:customStyle="1" w:styleId="a0">
    <w:name w:val="章"/>
    <w:basedOn w:val="Normal"/>
    <w:pPr>
      <w:keepNext/>
      <w:adjustRightInd w:val="0"/>
      <w:spacing w:before="468" w:beforeLines="150" w:after="624" w:afterLines="200" w:line="360" w:lineRule="auto"/>
      <w:jc w:val="center"/>
    </w:pPr>
    <w:rPr>
      <w:b/>
      <w:bCs/>
      <w:sz w:val="32"/>
    </w:rPr>
  </w:style>
  <w:style w:type="paragraph" w:customStyle="1" w:styleId="10">
    <w:name w:val="编号1"/>
    <w:basedOn w:val="Normal"/>
    <w:pPr>
      <w:numPr>
        <w:ilvl w:val="0"/>
        <w:numId w:val="2"/>
      </w:numPr>
      <w:tabs>
        <w:tab w:val="left" w:pos="360"/>
      </w:tabs>
    </w:pPr>
    <w:rPr>
      <w:szCs w:val="20"/>
    </w:rPr>
  </w:style>
  <w:style w:type="paragraph" w:customStyle="1" w:styleId="CharCharCharChar">
    <w:name w:val=" Char Char Char Char"/>
    <w:basedOn w:val="Normal"/>
    <w:pPr>
      <w:widowControl/>
      <w:adjustRightInd w:val="0"/>
      <w:spacing w:after="160" w:afterLines="0" w:line="240" w:lineRule="exact"/>
      <w:jc w:val="left"/>
      <w:textAlignment w:val="baseline"/>
    </w:pPr>
    <w:rPr>
      <w:rFonts w:ascii="Arial" w:eastAsia="Times New Roman" w:hAnsi="Arial" w:cs="Verdana"/>
      <w:b/>
      <w:kern w:val="0"/>
      <w:sz w:val="24"/>
      <w:lang w:eastAsia="en-US"/>
    </w:rPr>
  </w:style>
  <w:style w:type="paragraph" w:customStyle="1" w:styleId="a1">
    <w:name w:val="报告"/>
    <w:basedOn w:val="Normal"/>
    <w:pPr>
      <w:spacing w:beforeLines="30" w:afterLines="30" w:line="400" w:lineRule="atLeast"/>
      <w:ind w:left="400" w:firstLine="200" w:leftChars="400" w:firstLineChars="200"/>
    </w:pPr>
    <w:rPr>
      <w:sz w:val="24"/>
      <w:szCs w:val="20"/>
    </w:rPr>
  </w:style>
  <w:style w:type="paragraph" w:customStyle="1" w:styleId="-10">
    <w:name w:val="验收报告-正文列表1."/>
    <w:basedOn w:val="-"/>
    <w:pPr>
      <w:tabs>
        <w:tab w:val="left" w:pos="630"/>
        <w:tab w:val="left" w:pos="1050"/>
      </w:tabs>
      <w:spacing w:before="156" w:beforeLines="50"/>
      <w:ind w:firstLine="560"/>
      <w:outlineLvl w:val="2"/>
    </w:pPr>
  </w:style>
  <w:style w:type="paragraph" w:customStyle="1" w:styleId="a2">
    <w:name w:val="正文+宋体"/>
    <w:basedOn w:val="-2"/>
    <w:pPr>
      <w:numPr>
        <w:ilvl w:val="0"/>
        <w:numId w:val="0"/>
      </w:numPr>
      <w:snapToGrid/>
      <w:ind w:left="34" w:firstLine="560" w:leftChars="16" w:firstLineChars="200"/>
      <w:outlineLvl w:val="9"/>
    </w:pPr>
    <w:rPr>
      <w:color w:val="000000"/>
    </w:rPr>
  </w:style>
  <w:style w:type="paragraph" w:customStyle="1" w:styleId="-2">
    <w:name w:val="验收报告-条"/>
    <w:pPr>
      <w:widowControl w:val="0"/>
      <w:adjustRightInd w:val="0"/>
      <w:snapToGrid w:val="0"/>
      <w:spacing w:line="360" w:lineRule="auto"/>
      <w:ind w:left="435" w:firstLine="227"/>
      <w:outlineLvl w:val="2"/>
    </w:pPr>
    <w:rPr>
      <w:rFonts w:ascii="宋体" w:hAnsi="宋体"/>
      <w:bCs/>
      <w:sz w:val="28"/>
      <w:szCs w:val="32"/>
      <w:lang w:val="en-US" w:eastAsia="zh-CN" w:bidi="ar-SA"/>
    </w:rPr>
  </w:style>
  <w:style w:type="paragraph" w:customStyle="1" w:styleId="Char5">
    <w:name w:val=" Char"/>
    <w:basedOn w:val="Normal"/>
    <w:pPr>
      <w:tabs>
        <w:tab w:val="left" w:pos="845"/>
      </w:tabs>
      <w:ind w:left="420"/>
    </w:pPr>
    <w:rPr>
      <w:sz w:val="24"/>
    </w:rPr>
  </w:style>
  <w:style w:type="paragraph" w:customStyle="1" w:styleId="1234">
    <w:name w:val="样式1234"/>
    <w:basedOn w:val="Normal"/>
    <w:pPr>
      <w:spacing w:line="360" w:lineRule="auto"/>
      <w:ind w:firstLine="561" w:firstLineChars="200"/>
    </w:pPr>
    <w:rPr>
      <w:rFonts w:ascii="宋体"/>
      <w:color w:val="000000"/>
      <w:kern w:val="0"/>
      <w:sz w:val="28"/>
      <w:szCs w:val="28"/>
    </w:rPr>
  </w:style>
  <w:style w:type="paragraph" w:customStyle="1" w:styleId="-3">
    <w:name w:val="验收报告-项"/>
    <w:next w:val="Normal"/>
    <w:pPr>
      <w:keepNext/>
      <w:widowControl w:val="0"/>
      <w:numPr>
        <w:ilvl w:val="1"/>
        <w:numId w:val="1"/>
      </w:numPr>
      <w:tabs>
        <w:tab w:val="left" w:pos="1035"/>
      </w:tabs>
      <w:adjustRightInd w:val="0"/>
      <w:snapToGrid w:val="0"/>
      <w:spacing w:before="624" w:beforeLines="200" w:after="312" w:afterLines="100"/>
      <w:outlineLvl w:val="1"/>
    </w:pPr>
    <w:rPr>
      <w:rFonts w:ascii="宋体" w:hAnsi="宋体"/>
      <w:b/>
      <w:sz w:val="28"/>
      <w:lang w:val="en-US" w:eastAsia="zh-CN" w:bidi="ar-SA"/>
    </w:rPr>
  </w:style>
  <w:style w:type="paragraph" w:customStyle="1" w:styleId="02">
    <w:name w:val="标题02"/>
    <w:basedOn w:val="Heading2"/>
    <w:next w:val="Normal"/>
    <w:pPr>
      <w:spacing w:before="320" w:beforeLines="0" w:line="360" w:lineRule="auto"/>
    </w:pPr>
    <w:rPr>
      <w:rFonts w:ascii="Times New Roman" w:eastAsia="宋体" w:hAnsi="Times New Roman"/>
      <w:bCs w:val="0"/>
      <w:sz w:val="36"/>
      <w:szCs w:val="20"/>
    </w:rPr>
  </w:style>
  <w:style w:type="paragraph" w:customStyle="1" w:styleId="Default">
    <w:name w:val="Default"/>
    <w:pPr>
      <w:widowControl w:val="0"/>
      <w:autoSpaceDE w:val="0"/>
      <w:autoSpaceDN w:val="0"/>
      <w:adjustRightInd w:val="0"/>
    </w:pPr>
    <w:rPr>
      <w:rFonts w:ascii="宋体" w:cs="宋体"/>
      <w:color w:val="000000"/>
      <w:sz w:val="24"/>
      <w:szCs w:val="24"/>
      <w:lang w:val="en-US" w:eastAsia="zh-CN" w:bidi="ar-SA"/>
    </w:rPr>
  </w:style>
  <w:style w:type="paragraph" w:customStyle="1" w:styleId="CharCharCharCharCharCharCharCharCharCharCharChar1Char">
    <w:name w:val=" Char Char Char Char Char Char Char Char Char Char Char Char1 Char"/>
    <w:basedOn w:val="Normal"/>
    <w:pPr>
      <w:spacing w:line="360" w:lineRule="auto"/>
      <w:ind w:firstLine="200" w:firstLineChars="200"/>
    </w:pPr>
    <w:rPr>
      <w:rFonts w:ascii="宋体" w:hAnsi="宋体" w:cs="宋体"/>
      <w:sz w:val="24"/>
    </w:rPr>
  </w:style>
  <w:style w:type="paragraph" w:customStyle="1" w:styleId="a3">
    <w:name w:val="条"/>
    <w:basedOn w:val="Heading3"/>
    <w:next w:val="BodyText"/>
    <w:pPr>
      <w:keepNext w:val="0"/>
      <w:keepLines w:val="0"/>
      <w:adjustRightInd w:val="0"/>
      <w:snapToGrid w:val="0"/>
      <w:spacing w:before="156" w:beforeLines="50" w:after="0" w:line="360" w:lineRule="auto"/>
      <w:ind w:left="-420" w:firstLine="704"/>
    </w:pPr>
    <w:rPr>
      <w:rFonts w:ascii="宋体"/>
      <w:b w:val="0"/>
      <w:sz w:val="28"/>
    </w:rPr>
  </w:style>
  <w:style w:type="paragraph" w:customStyle="1" w:styleId="-4">
    <w:name w:val="验收报告-章"/>
    <w:next w:val="Normal"/>
    <w:pPr>
      <w:keepNext/>
      <w:widowControl w:val="0"/>
      <w:numPr>
        <w:ilvl w:val="0"/>
        <w:numId w:val="1"/>
      </w:numPr>
      <w:adjustRightInd w:val="0"/>
      <w:snapToGrid w:val="0"/>
      <w:spacing w:before="1092" w:beforeLines="350" w:after="780" w:afterLines="250"/>
      <w:jc w:val="center"/>
      <w:outlineLvl w:val="0"/>
    </w:pPr>
    <w:rPr>
      <w:rFonts w:ascii="宋体" w:hAnsi="宋体"/>
      <w:b/>
      <w:sz w:val="32"/>
      <w:lang w:val="en-US" w:eastAsia="zh-CN" w:bidi="ar-SA"/>
    </w:rPr>
  </w:style>
  <w:style w:type="paragraph" w:customStyle="1" w:styleId="a4">
    <w:name w:val="项"/>
    <w:basedOn w:val="BodyText"/>
    <w:pPr>
      <w:keepNext/>
      <w:tabs>
        <w:tab w:val="left" w:pos="720"/>
      </w:tabs>
      <w:spacing w:before="312" w:beforeLines="100" w:after="312" w:afterLines="100" w:line="240" w:lineRule="auto"/>
      <w:ind w:firstLine="0" w:firstLineChars="0"/>
      <w:outlineLvl w:val="1"/>
    </w:pPr>
    <w:rPr>
      <w:b/>
      <w:bCs/>
    </w:rPr>
  </w:style>
  <w:style w:type="paragraph" w:customStyle="1" w:styleId="zzzzzzz">
    <w:name w:val="zzzzzzz"/>
    <w:basedOn w:val="PlainText"/>
    <w:next w:val="PlainText"/>
    <w:pPr>
      <w:spacing w:after="120" w:line="360" w:lineRule="auto"/>
      <w:ind w:firstLine="420" w:firstLineChars="200"/>
    </w:pPr>
    <w:rPr>
      <w:rFonts w:ascii="Times New Roman" w:hAnsi="Times New Roman"/>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header" Target="header5.xml" /><Relationship Id="rId16" Type="http://schemas.openxmlformats.org/officeDocument/2006/relationships/header" Target="head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header" Target="header9.xml" /><Relationship Id="rId24" Type="http://schemas.openxmlformats.org/officeDocument/2006/relationships/header" Target="head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header" Target="header11.xml" /><Relationship Id="rId28" Type="http://schemas.openxmlformats.org/officeDocument/2006/relationships/header" Target="header12.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footer" Target="footer14.xml" /><Relationship Id="rId31" Type="http://schemas.openxmlformats.org/officeDocument/2006/relationships/header" Target="header13.xml" /><Relationship Id="rId32" Type="http://schemas.openxmlformats.org/officeDocument/2006/relationships/header" Target="header14.xml" /><Relationship Id="rId33" Type="http://schemas.openxmlformats.org/officeDocument/2006/relationships/footer" Target="footer15.xml" /><Relationship Id="rId34" Type="http://schemas.openxmlformats.org/officeDocument/2006/relationships/footer" Target="footer16.xml" /><Relationship Id="rId35" Type="http://schemas.openxmlformats.org/officeDocument/2006/relationships/header" Target="header15.xml" /><Relationship Id="rId36" Type="http://schemas.openxmlformats.org/officeDocument/2006/relationships/header" Target="header16.xml" /><Relationship Id="rId37" Type="http://schemas.openxmlformats.org/officeDocument/2006/relationships/footer" Target="footer17.xml" /><Relationship Id="rId38" Type="http://schemas.openxmlformats.org/officeDocument/2006/relationships/footer" Target="footer18.xml" /><Relationship Id="rId39" Type="http://schemas.openxmlformats.org/officeDocument/2006/relationships/header" Target="header17.xml" /><Relationship Id="rId4" Type="http://schemas.openxmlformats.org/officeDocument/2006/relationships/image" Target="media/image1.jpeg" /><Relationship Id="rId40" Type="http://schemas.openxmlformats.org/officeDocument/2006/relationships/header" Target="header18.xml" /><Relationship Id="rId41" Type="http://schemas.openxmlformats.org/officeDocument/2006/relationships/footer" Target="footer19.xml" /><Relationship Id="rId42" Type="http://schemas.openxmlformats.org/officeDocument/2006/relationships/footer" Target="footer20.xml" /><Relationship Id="rId43" Type="http://schemas.openxmlformats.org/officeDocument/2006/relationships/header" Target="header19.xml" /><Relationship Id="rId44" Type="http://schemas.openxmlformats.org/officeDocument/2006/relationships/header" Target="header20.xml" /><Relationship Id="rId45" Type="http://schemas.openxmlformats.org/officeDocument/2006/relationships/footer" Target="footer21.xml" /><Relationship Id="rId46" Type="http://schemas.openxmlformats.org/officeDocument/2006/relationships/footer" Target="footer22.xml" /><Relationship Id="rId47" Type="http://schemas.openxmlformats.org/officeDocument/2006/relationships/header" Target="header21.xml" /><Relationship Id="rId48" Type="http://schemas.openxmlformats.org/officeDocument/2006/relationships/header" Target="header22.xml" /><Relationship Id="rId49" Type="http://schemas.openxmlformats.org/officeDocument/2006/relationships/footer" Target="footer23.xml" /><Relationship Id="rId5" Type="http://schemas.openxmlformats.org/officeDocument/2006/relationships/header" Target="header1.xml" /><Relationship Id="rId50" Type="http://schemas.openxmlformats.org/officeDocument/2006/relationships/footer" Target="footer24.xml" /><Relationship Id="rId51" Type="http://schemas.openxmlformats.org/officeDocument/2006/relationships/header" Target="header23.xml" /><Relationship Id="rId52" Type="http://schemas.openxmlformats.org/officeDocument/2006/relationships/header" Target="header24.xml" /><Relationship Id="rId53" Type="http://schemas.openxmlformats.org/officeDocument/2006/relationships/footer" Target="footer25.xml" /><Relationship Id="rId54" Type="http://schemas.openxmlformats.org/officeDocument/2006/relationships/footer" Target="footer26.xml" /><Relationship Id="rId55" Type="http://schemas.openxmlformats.org/officeDocument/2006/relationships/header" Target="header25.xml" /><Relationship Id="rId56" Type="http://schemas.openxmlformats.org/officeDocument/2006/relationships/header" Target="header26.xml" /><Relationship Id="rId57" Type="http://schemas.openxmlformats.org/officeDocument/2006/relationships/footer" Target="footer27.xml" /><Relationship Id="rId58" Type="http://schemas.openxmlformats.org/officeDocument/2006/relationships/footer" Target="footer28.xml" /><Relationship Id="rId59" Type="http://schemas.openxmlformats.org/officeDocument/2006/relationships/header" Target="header27.xml"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footer" Target="footer29.xml" /><Relationship Id="rId62" Type="http://schemas.openxmlformats.org/officeDocument/2006/relationships/footer" Target="footer30.xml" /><Relationship Id="rId63" Type="http://schemas.openxmlformats.org/officeDocument/2006/relationships/header" Target="header29.xml" /><Relationship Id="rId64" Type="http://schemas.openxmlformats.org/officeDocument/2006/relationships/header" Target="header30.xml" /><Relationship Id="rId65" Type="http://schemas.openxmlformats.org/officeDocument/2006/relationships/footer" Target="footer31.xml" /><Relationship Id="rId66" Type="http://schemas.openxmlformats.org/officeDocument/2006/relationships/footer" Target="footer32.xml" /><Relationship Id="rId67" Type="http://schemas.openxmlformats.org/officeDocument/2006/relationships/header" Target="header31.xml" /><Relationship Id="rId68" Type="http://schemas.openxmlformats.org/officeDocument/2006/relationships/header" Target="header32.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footer" Target="footer34.xml" /><Relationship Id="rId71" Type="http://schemas.openxmlformats.org/officeDocument/2006/relationships/image" Target="media/image2.emf" /><Relationship Id="rId72" Type="http://schemas.openxmlformats.org/officeDocument/2006/relationships/oleObject" Target="embeddings/oleObject1.vsd" /><Relationship Id="rId73" Type="http://schemas.openxmlformats.org/officeDocument/2006/relationships/header" Target="header33.xml" /><Relationship Id="rId74" Type="http://schemas.openxmlformats.org/officeDocument/2006/relationships/header" Target="header34.xml" /><Relationship Id="rId75" Type="http://schemas.openxmlformats.org/officeDocument/2006/relationships/footer" Target="footer35.xml" /><Relationship Id="rId76" Type="http://schemas.openxmlformats.org/officeDocument/2006/relationships/footer" Target="footer36.xml" /><Relationship Id="rId77" Type="http://schemas.openxmlformats.org/officeDocument/2006/relationships/hyperlink" Target="https://d.book118.com/206204150040010043" TargetMode="External" /><Relationship Id="rId78" Type="http://schemas.openxmlformats.org/officeDocument/2006/relationships/header" Target="header35.xml" /><Relationship Id="rId79" Type="http://schemas.openxmlformats.org/officeDocument/2006/relationships/header" Target="header36.xml" /><Relationship Id="rId8" Type="http://schemas.openxmlformats.org/officeDocument/2006/relationships/header" Target="header2.xml" /><Relationship Id="rId80" Type="http://schemas.openxmlformats.org/officeDocument/2006/relationships/footer" Target="footer37.xml" /><Relationship Id="rId81" Type="http://schemas.openxmlformats.org/officeDocument/2006/relationships/footer" Target="footer38.xml" /><Relationship Id="rId82" Type="http://schemas.openxmlformats.org/officeDocument/2006/relationships/theme" Target="theme/theme1.xml" /><Relationship Id="rId83" Type="http://schemas.openxmlformats.org/officeDocument/2006/relationships/numbering" Target="numbering.xml" /><Relationship Id="rId84" Type="http://schemas.openxmlformats.org/officeDocument/2006/relationships/styles" Target="styles.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3525</Words>
  <Characters>20093</Characters>
  <Application>Microsoft Office Word</Application>
  <DocSecurity>0</DocSecurity>
  <Lines>167</Lines>
  <Paragraphs>47</Paragraphs>
  <ScaleCrop>false</ScaleCrop>
  <Company>XiTongPan.Com</Company>
  <LinksUpToDate>false</LinksUpToDate>
  <CharactersWithSpaces>23571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温州万唯五金有限公司</dc:title>
  <dc:creator>ohjc</dc:creator>
  <cp:lastModifiedBy>委员</cp:lastModifiedBy>
  <cp:revision>4</cp:revision>
  <cp:lastPrinted>2015-07-24T01:36:00Z</cp:lastPrinted>
  <dcterms:created xsi:type="dcterms:W3CDTF">2016-07-15T04:53:00Z</dcterms:created>
  <dcterms:modified xsi:type="dcterms:W3CDTF">2023-12-25T11:31:52Z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FF95AF6E6A03452CB494ABD133257CF5_12</vt:lpwstr>
  </property>
  <property fmtid="{D5CDD505-2E9C-101B-9397-08002B2CF9AE}" pid="3" name="KSOProductBuildVer">
    <vt:lpwstr>2052-12.1.0.15712</vt:lpwstr>
  </property>
</Properties>
</file>