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4709D">
        <w:rPr>
          <w:rFonts w:ascii="微软雅黑" w:eastAsia="微软雅黑" w:hAnsi="微软雅黑"/>
          <w:b/>
          <w:sz w:val="28"/>
          <w:szCs w:val="28"/>
        </w:rPr>
        <w:t>磅秤操作规程《磅秤机操作流程(4篇)》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4709D">
        <w:rPr>
          <w:rFonts w:ascii="微软雅黑" w:eastAsia="微软雅黑" w:hAnsi="微软雅黑"/>
          <w:sz w:val="24"/>
          <w:szCs w:val="24"/>
        </w:rPr>
        <w:t xml:space="preserve">    磅秤操作规程 磅秤机操作流程篇一</w:t>
        <w:br/>
        <w:t xml:space="preserve">    根据深交所、上交所和中国结算公司联合发布的《深圳市场首次公开发行股票网上按市值申购实施办法》及《上海市场首次公开发行股票网上按市值申购实施办法》，现为方便广大投资者顺利申购新股，我公司于2014年1月3日进行系统升级，通达信独立交易系统新增了新股申购查询、配号查询和中签查询功能。</w:t>
        <w:br/>
        <w:t xml:space="preserve">    一、新股申购交易规则：</w:t>
        <w:br/>
        <w:t xml:space="preserve">    在新股申购前，沪、深交易所根据t-2日（t日为申购日）清算后客户所持有的非限售a股股份市值（不包括优先股、b</w:t>
      </w:r>
      <w:r w:rsidR="0024709D">
        <w:rPr>
          <w:rFonts w:ascii="微软雅黑" w:eastAsia="微软雅黑" w:hAnsi="微软雅黑"/>
          <w:sz w:val="24"/>
          <w:szCs w:val="24"/>
        </w:rPr>
        <w:t>股、基金、债券或其他证券）计算客户在沪、深市场的新股可申购额度（沪、深市场分别计算），有额度的客户可在t日进行新股申购。详细交易规则请见附件1和附件2。</w:t>
        <w:br/>
        <w:t xml:space="preserve">    二、通达信独立交易的相关操作说明：</w:t>
        <w:br/>
        <w:t xml:space="preserve">    1、新股申购额度查询： 操作菜单：【查询】——【新股申购额度查询】。客户可通过此菜单查询当日在沪、深交易所的新股可申购额度。如下图1所示：</w:t>
        <w:br/>
        <w:t xml:space="preserve">    图1</w:t>
        <w:br/>
        <w:t xml:space="preserve">    2、新股申购</w:t>
        <w:br/>
        <w:t xml:space="preserve">    操作菜单：【买入】。和普通交易一样，输入新股代码、买入价格和数量即可。如下图2：</w:t>
        <w:br/>
        <w:t xml:space="preserve"> </w:t>
      </w:r>
      <w:r w:rsidR="0024709D">
        <w:rPr>
          <w:rFonts w:ascii="微软雅黑" w:eastAsia="微软雅黑" w:hAnsi="微软雅黑"/>
          <w:sz w:val="24"/>
          <w:szCs w:val="24"/>
        </w:rPr>
        <w:t xml:space="preserve">   图2</w:t>
        <w:br/>
        <w:t xml:space="preserve">    3、配号查询：</w:t>
        <w:br/>
        <w:t xml:space="preserve">    操作菜单：【查询</w:t>
      </w:r>
      <w:r w:rsidR="0024709D">
        <w:rPr>
          <w:rFonts w:ascii="微软雅黑" w:eastAsia="微软雅黑" w:hAnsi="微软雅黑"/>
          <w:sz w:val="24"/>
          <w:szCs w:val="24"/>
        </w:rPr>
        <w:t>】——【配号查询】。客户可通过此菜单查询相应的配号信息。如下图3所示：</w:t>
        <w:br/>
      </w:r>
    </w:p>
    <w:p w:rsidR="00707240" w:rsidRPr="006007CE">
      <w:pPr>
        <w:rPr>
          <w:rFonts w:ascii="微软雅黑" w:eastAsia="微软雅黑" w:hAnsi="微软雅黑"/>
          <w:sz w:val="24"/>
          <w:szCs w:val="24"/>
        </w:rPr>
      </w:pP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图3</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3、中签查询：</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操作菜单：【查询】——【中签查询】。客户可通过此菜单查询相应的中签信息。如下图4所示：</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图4</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华龙证券信息工程中心</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2014年1月6日</w:t>
      </w:r>
      <w:r w:rsidR="0024709D">
        <w:rPr>
          <w:rFonts w:ascii="微软雅黑" w:eastAsia="微软雅黑" w:hAnsi="微软雅黑"/>
          <w:sz w:val="24"/>
          <w:szCs w:val="24"/>
        </w:rPr>
        <w:t xml:space="preserve"> 附件1：</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上海市场首次公开发行股票网上按市值申</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购实施办法</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第一章总则</w:t>
        <w:br/>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w:t>
      </w:r>
      <w:r w:rsidR="0024709D">
        <w:rPr>
          <w:rFonts w:ascii="微软雅黑" w:eastAsia="微软雅黑" w:hAnsi="微软雅黑"/>
          <w:sz w:val="24"/>
          <w:szCs w:val="24"/>
        </w:rPr>
        <w:t xml:space="preserve"> 第一条为规范投资者按</w:t>
      </w:r>
      <w:r w:rsidR="0024709D">
        <w:rPr>
          <w:rFonts w:ascii="微软雅黑" w:eastAsia="微软雅黑" w:hAnsi="微软雅黑"/>
          <w:sz w:val="24"/>
          <w:szCs w:val="24"/>
        </w:rPr>
        <w:t>持有的上海市场非限售a股股份市值(以下简称“市值”)参与首次公开发行股票网上资金申购业务，根据《证券发行与承销管理办法》、《中国证监会关于进一步推进新股发行体制</w:t>
      </w:r>
      <w:r w:rsidR="0024709D">
        <w:rPr>
          <w:rFonts w:ascii="微软雅黑" w:eastAsia="微软雅黑" w:hAnsi="微软雅黑"/>
          <w:sz w:val="24"/>
          <w:szCs w:val="24"/>
        </w:rPr>
        <w:t>改革的意见》和《首次公开发行股票时公司股东公开发售股份暂行规定》，制定本办法。</w:t>
        <w:br/>
        <w:t xml:space="preserve">    第二条通过上海证券交易所(以下简称“上交所”)交易系统并采用网上按市值申购方式首次公开发行股票，适用本办法。</w:t>
        <w:br/>
        <w:t xml:space="preserve">    第二章市值计算规则</w:t>
        <w:br/>
        <w:t xml:space="preserve">    第三条投资者持有的市值以投资者为单位进行计算。</w:t>
        <w:br/>
        <w:t xml:space="preserve">    第四条投资者持有多个证券账户</w:t>
      </w:r>
      <w:r w:rsidR="0024709D">
        <w:rPr>
          <w:rFonts w:ascii="微软雅黑" w:eastAsia="微软雅黑" w:hAnsi="微软雅黑"/>
          <w:sz w:val="24"/>
          <w:szCs w:val="24"/>
        </w:rPr>
        <w:t>的，多个证券账户的市值合并计算。</w:t>
        <w:br/>
        <w:t xml:space="preserve">    确认多个证券账户为同一投资者持有的原则为证券账户注册资料中的“账户持有人名称”、“有效身份证明文件号码”均相同。证券账户注册资料以发行公告确定的网上申购日(t日，下同)前两个交易日(t-</w:t>
      </w:r>
      <w:r w:rsidR="0024709D">
        <w:rPr>
          <w:rFonts w:ascii="微软雅黑" w:eastAsia="微软雅黑" w:hAnsi="微软雅黑"/>
          <w:sz w:val="24"/>
          <w:szCs w:val="24"/>
        </w:rPr>
        <w:t>2日)日终为准。</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https://d.book118.com/207001126106006053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4709D"/>
    <w:rsid w:val="006007CE"/>
    <w:rsid w:val="00707240"/>
    <w:rsid w:val="00741C9F"/>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0700112610600605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2908</Words>
  <Characters>16582</Characters>
  <Application>Microsoft Office Word</Application>
  <DocSecurity>0</DocSecurity>
  <Lines>138</Lines>
  <Paragraphs>38</Paragraphs>
  <ScaleCrop>false</ScaleCrop>
  <Company/>
  <LinksUpToDate>false</LinksUpToDate>
  <CharactersWithSpaces>19452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3171025973@qq.com</cp:lastModifiedBy>
  <cp:revision>5</cp:revision>
  <cp:lastPrinted>1899-12-30T00:00:00Z</cp:lastPrinted>
  <dcterms:created xsi:type="dcterms:W3CDTF">2012-05-16T01:05:00Z</dcterms:created>
  <dcterms:modified xsi:type="dcterms:W3CDTF">2024-01-28T06:03:00Z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