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重组人生长激素项目规划设计纲要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30" w:history="1">
        <w:r>
          <w:rPr>
            <w:rFonts w:ascii="仿宋" w:eastAsia="仿宋" w:hAnsi="仿宋" w:cs="仿宋" w:hint="eastAsia"/>
            <w:lang w:eastAsia="zh-CN"/>
          </w:rPr>
          <w:t>前言</w:t>
        </w:r>
        <w:r>
          <w:tab/>
        </w:r>
        <w:r>
          <w:fldChar w:fldCharType="begin"/>
        </w:r>
        <w:r>
          <w:instrText xml:space="preserve"> PAGEREF _Toc5430 \h </w:instrText>
        </w:r>
        <w:r>
          <w:fldChar w:fldCharType="separate"/>
        </w:r>
        <w:r>
          <w:t>3</w:t>
        </w:r>
        <w:r>
          <w:fldChar w:fldCharType="end"/>
        </w:r>
      </w:hyperlink>
    </w:p>
    <w:p>
      <w:pPr>
        <w:pStyle w:val="TOC1"/>
        <w:tabs>
          <w:tab w:val="right" w:leader="dot" w:pos="8306"/>
        </w:tabs>
      </w:pPr>
      <w:hyperlink w:anchor="_Toc8594" w:history="1">
        <w:r>
          <w:rPr>
            <w:rFonts w:ascii="仿宋" w:eastAsia="仿宋" w:hAnsi="仿宋" w:cs="仿宋" w:hint="eastAsia"/>
            <w:lang w:eastAsia="zh-CN"/>
          </w:rPr>
          <w:t>一、工艺说明</w:t>
        </w:r>
        <w:r>
          <w:tab/>
        </w:r>
        <w:r>
          <w:fldChar w:fldCharType="begin"/>
        </w:r>
        <w:r>
          <w:instrText xml:space="preserve"> PAGEREF _Toc8594 \h </w:instrText>
        </w:r>
        <w:r>
          <w:fldChar w:fldCharType="separate"/>
        </w:r>
        <w:r>
          <w:t>3</w:t>
        </w:r>
        <w:r>
          <w:fldChar w:fldCharType="end"/>
        </w:r>
      </w:hyperlink>
    </w:p>
    <w:p>
      <w:pPr>
        <w:pStyle w:val="TOC2"/>
        <w:tabs>
          <w:tab w:val="right" w:leader="dot" w:pos="8306"/>
        </w:tabs>
      </w:pPr>
      <w:hyperlink w:anchor="_Toc32241" w:history="1">
        <w:r>
          <w:rPr>
            <w:rFonts w:ascii="仿宋" w:eastAsia="仿宋" w:hAnsi="仿宋" w:cs="仿宋" w:hint="eastAsia"/>
            <w:lang w:eastAsia="zh-CN"/>
          </w:rPr>
          <w:t>(一)、技术管理特点</w:t>
        </w:r>
        <w:r>
          <w:tab/>
        </w:r>
        <w:r>
          <w:fldChar w:fldCharType="begin"/>
        </w:r>
        <w:r>
          <w:instrText xml:space="preserve"> PAGEREF _Toc32241 \h </w:instrText>
        </w:r>
        <w:r>
          <w:fldChar w:fldCharType="separate"/>
        </w:r>
        <w:r>
          <w:t>3</w:t>
        </w:r>
        <w:r>
          <w:fldChar w:fldCharType="end"/>
        </w:r>
      </w:hyperlink>
    </w:p>
    <w:p>
      <w:pPr>
        <w:pStyle w:val="TOC2"/>
        <w:tabs>
          <w:tab w:val="right" w:leader="dot" w:pos="8306"/>
        </w:tabs>
      </w:pPr>
      <w:hyperlink w:anchor="_Toc12721" w:history="1">
        <w:r>
          <w:rPr>
            <w:rFonts w:ascii="仿宋" w:eastAsia="仿宋" w:hAnsi="仿宋" w:cs="仿宋" w:hint="eastAsia"/>
            <w:lang w:eastAsia="zh-CN"/>
          </w:rPr>
          <w:t>(二)、重组人生长激素项目工艺技术设计方案</w:t>
        </w:r>
        <w:r>
          <w:tab/>
        </w:r>
        <w:r>
          <w:fldChar w:fldCharType="begin"/>
        </w:r>
        <w:r>
          <w:instrText xml:space="preserve"> PAGEREF _Toc12721 \h </w:instrText>
        </w:r>
        <w:r>
          <w:fldChar w:fldCharType="separate"/>
        </w:r>
        <w:r>
          <w:t>4</w:t>
        </w:r>
        <w:r>
          <w:fldChar w:fldCharType="end"/>
        </w:r>
      </w:hyperlink>
    </w:p>
    <w:p>
      <w:pPr>
        <w:pStyle w:val="TOC2"/>
        <w:tabs>
          <w:tab w:val="right" w:leader="dot" w:pos="8306"/>
        </w:tabs>
      </w:pPr>
      <w:hyperlink w:anchor="_Toc5198" w:history="1">
        <w:r>
          <w:rPr>
            <w:rFonts w:ascii="仿宋" w:eastAsia="仿宋" w:hAnsi="仿宋" w:cs="仿宋" w:hint="eastAsia"/>
            <w:lang w:eastAsia="zh-CN"/>
          </w:rPr>
          <w:t>(三)、设备选型方案</w:t>
        </w:r>
        <w:r>
          <w:tab/>
        </w:r>
        <w:r>
          <w:fldChar w:fldCharType="begin"/>
        </w:r>
        <w:r>
          <w:instrText xml:space="preserve"> PAGEREF _Toc5198 \h </w:instrText>
        </w:r>
        <w:r>
          <w:fldChar w:fldCharType="separate"/>
        </w:r>
        <w:r>
          <w:t>5</w:t>
        </w:r>
        <w:r>
          <w:fldChar w:fldCharType="end"/>
        </w:r>
      </w:hyperlink>
    </w:p>
    <w:p>
      <w:pPr>
        <w:pStyle w:val="TOC1"/>
        <w:tabs>
          <w:tab w:val="right" w:leader="dot" w:pos="8306"/>
        </w:tabs>
      </w:pPr>
      <w:hyperlink w:anchor="_Toc10636" w:history="1">
        <w:r>
          <w:rPr>
            <w:rFonts w:ascii="仿宋" w:eastAsia="仿宋" w:hAnsi="仿宋" w:cs="仿宋" w:hint="eastAsia"/>
            <w:lang w:eastAsia="zh-CN"/>
          </w:rPr>
          <w:t>二、重组人生长激素项目绩效评估</w:t>
        </w:r>
        <w:r>
          <w:tab/>
        </w:r>
        <w:r>
          <w:fldChar w:fldCharType="begin"/>
        </w:r>
        <w:r>
          <w:instrText xml:space="preserve"> PAGEREF _Toc10636 \h </w:instrText>
        </w:r>
        <w:r>
          <w:fldChar w:fldCharType="separate"/>
        </w:r>
        <w:r>
          <w:t>7</w:t>
        </w:r>
        <w:r>
          <w:fldChar w:fldCharType="end"/>
        </w:r>
      </w:hyperlink>
    </w:p>
    <w:p>
      <w:pPr>
        <w:pStyle w:val="TOC2"/>
        <w:tabs>
          <w:tab w:val="right" w:leader="dot" w:pos="8306"/>
        </w:tabs>
      </w:pPr>
      <w:hyperlink w:anchor="_Toc20096" w:history="1">
        <w:r>
          <w:rPr>
            <w:rFonts w:ascii="仿宋" w:eastAsia="仿宋" w:hAnsi="仿宋" w:cs="仿宋" w:hint="eastAsia"/>
            <w:lang w:eastAsia="zh-CN"/>
          </w:rPr>
          <w:t>(一)、绩效评估指标</w:t>
        </w:r>
        <w:r>
          <w:tab/>
        </w:r>
        <w:r>
          <w:fldChar w:fldCharType="begin"/>
        </w:r>
        <w:r>
          <w:instrText xml:space="preserve"> PAGEREF _Toc20096 \h </w:instrText>
        </w:r>
        <w:r>
          <w:fldChar w:fldCharType="separate"/>
        </w:r>
        <w:r>
          <w:t>7</w:t>
        </w:r>
        <w:r>
          <w:fldChar w:fldCharType="end"/>
        </w:r>
      </w:hyperlink>
    </w:p>
    <w:p>
      <w:pPr>
        <w:pStyle w:val="TOC2"/>
        <w:tabs>
          <w:tab w:val="right" w:leader="dot" w:pos="8306"/>
        </w:tabs>
      </w:pPr>
      <w:hyperlink w:anchor="_Toc7628" w:history="1">
        <w:r>
          <w:rPr>
            <w:rFonts w:ascii="仿宋" w:eastAsia="仿宋" w:hAnsi="仿宋" w:cs="仿宋" w:hint="eastAsia"/>
            <w:lang w:eastAsia="zh-CN"/>
          </w:rPr>
          <w:t>(二)、绩效评估方法</w:t>
        </w:r>
        <w:r>
          <w:tab/>
        </w:r>
        <w:r>
          <w:fldChar w:fldCharType="begin"/>
        </w:r>
        <w:r>
          <w:instrText xml:space="preserve"> PAGEREF _Toc7628 \h </w:instrText>
        </w:r>
        <w:r>
          <w:fldChar w:fldCharType="separate"/>
        </w:r>
        <w:r>
          <w:t>8</w:t>
        </w:r>
        <w:r>
          <w:fldChar w:fldCharType="end"/>
        </w:r>
      </w:hyperlink>
    </w:p>
    <w:p>
      <w:pPr>
        <w:pStyle w:val="TOC2"/>
        <w:tabs>
          <w:tab w:val="right" w:leader="dot" w:pos="8306"/>
        </w:tabs>
      </w:pPr>
      <w:hyperlink w:anchor="_Toc28894" w:history="1">
        <w:r>
          <w:rPr>
            <w:rFonts w:ascii="仿宋" w:eastAsia="仿宋" w:hAnsi="仿宋" w:cs="仿宋" w:hint="eastAsia"/>
            <w:lang w:eastAsia="zh-CN"/>
          </w:rPr>
          <w:t>(三)、绩效评估周期</w:t>
        </w:r>
        <w:r>
          <w:tab/>
        </w:r>
        <w:r>
          <w:fldChar w:fldCharType="begin"/>
        </w:r>
        <w:r>
          <w:instrText xml:space="preserve"> PAGEREF _Toc28894 \h </w:instrText>
        </w:r>
        <w:r>
          <w:fldChar w:fldCharType="separate"/>
        </w:r>
        <w:r>
          <w:t>9</w:t>
        </w:r>
        <w:r>
          <w:fldChar w:fldCharType="end"/>
        </w:r>
      </w:hyperlink>
    </w:p>
    <w:p>
      <w:pPr>
        <w:pStyle w:val="TOC1"/>
        <w:tabs>
          <w:tab w:val="right" w:leader="dot" w:pos="8306"/>
        </w:tabs>
      </w:pPr>
      <w:hyperlink w:anchor="_Toc626" w:history="1">
        <w:r>
          <w:rPr>
            <w:rFonts w:ascii="仿宋" w:eastAsia="仿宋" w:hAnsi="仿宋" w:cs="仿宋" w:hint="eastAsia"/>
            <w:lang w:eastAsia="zh-CN"/>
          </w:rPr>
          <w:t>三、重组人生长激素项目可持续发展</w:t>
        </w:r>
        <w:r>
          <w:tab/>
        </w:r>
        <w:r>
          <w:fldChar w:fldCharType="begin"/>
        </w:r>
        <w:r>
          <w:instrText xml:space="preserve"> PAGEREF _Toc626 \h </w:instrText>
        </w:r>
        <w:r>
          <w:fldChar w:fldCharType="separate"/>
        </w:r>
        <w:r>
          <w:t>10</w:t>
        </w:r>
        <w:r>
          <w:fldChar w:fldCharType="end"/>
        </w:r>
      </w:hyperlink>
    </w:p>
    <w:p>
      <w:pPr>
        <w:pStyle w:val="TOC2"/>
        <w:tabs>
          <w:tab w:val="right" w:leader="dot" w:pos="8306"/>
        </w:tabs>
      </w:pPr>
      <w:hyperlink w:anchor="_Toc1100" w:history="1">
        <w:r>
          <w:rPr>
            <w:rFonts w:ascii="仿宋" w:eastAsia="仿宋" w:hAnsi="仿宋" w:cs="仿宋" w:hint="eastAsia"/>
            <w:lang w:eastAsia="zh-CN"/>
          </w:rPr>
          <w:t>(一)、可持续战略与实践</w:t>
        </w:r>
        <w:r>
          <w:tab/>
        </w:r>
        <w:r>
          <w:fldChar w:fldCharType="begin"/>
        </w:r>
        <w:r>
          <w:instrText xml:space="preserve"> PAGEREF _Toc1100 \h </w:instrText>
        </w:r>
        <w:r>
          <w:fldChar w:fldCharType="separate"/>
        </w:r>
        <w:r>
          <w:t>10</w:t>
        </w:r>
        <w:r>
          <w:fldChar w:fldCharType="end"/>
        </w:r>
      </w:hyperlink>
    </w:p>
    <w:p>
      <w:pPr>
        <w:pStyle w:val="TOC2"/>
        <w:tabs>
          <w:tab w:val="right" w:leader="dot" w:pos="8306"/>
        </w:tabs>
      </w:pPr>
      <w:hyperlink w:anchor="_Toc5679" w:history="1">
        <w:r>
          <w:rPr>
            <w:rFonts w:ascii="仿宋" w:eastAsia="仿宋" w:hAnsi="仿宋" w:cs="仿宋" w:hint="eastAsia"/>
            <w:lang w:eastAsia="zh-CN"/>
          </w:rPr>
          <w:t>(二)、环保与社会责任</w:t>
        </w:r>
        <w:r>
          <w:tab/>
        </w:r>
        <w:r>
          <w:fldChar w:fldCharType="begin"/>
        </w:r>
        <w:r>
          <w:instrText xml:space="preserve"> PAGEREF _Toc5679 \h </w:instrText>
        </w:r>
        <w:r>
          <w:fldChar w:fldCharType="separate"/>
        </w:r>
        <w:r>
          <w:t>11</w:t>
        </w:r>
        <w:r>
          <w:fldChar w:fldCharType="end"/>
        </w:r>
      </w:hyperlink>
    </w:p>
    <w:p>
      <w:pPr>
        <w:pStyle w:val="TOC1"/>
        <w:tabs>
          <w:tab w:val="right" w:leader="dot" w:pos="8306"/>
        </w:tabs>
      </w:pPr>
      <w:hyperlink w:anchor="_Toc10404" w:history="1">
        <w:r>
          <w:rPr>
            <w:rFonts w:ascii="仿宋" w:eastAsia="仿宋" w:hAnsi="仿宋" w:cs="仿宋" w:hint="eastAsia"/>
            <w:lang w:eastAsia="zh-CN"/>
          </w:rPr>
          <w:t>四、重组人生长激素项目概论</w:t>
        </w:r>
        <w:r>
          <w:tab/>
        </w:r>
        <w:r>
          <w:fldChar w:fldCharType="begin"/>
        </w:r>
        <w:r>
          <w:instrText xml:space="preserve"> PAGEREF _Toc10404 \h </w:instrText>
        </w:r>
        <w:r>
          <w:fldChar w:fldCharType="separate"/>
        </w:r>
        <w:r>
          <w:t>12</w:t>
        </w:r>
        <w:r>
          <w:fldChar w:fldCharType="end"/>
        </w:r>
      </w:hyperlink>
    </w:p>
    <w:p>
      <w:pPr>
        <w:pStyle w:val="TOC2"/>
        <w:tabs>
          <w:tab w:val="right" w:leader="dot" w:pos="8306"/>
        </w:tabs>
      </w:pPr>
      <w:hyperlink w:anchor="_Toc11676" w:history="1">
        <w:r>
          <w:rPr>
            <w:rFonts w:ascii="仿宋" w:eastAsia="仿宋" w:hAnsi="仿宋" w:cs="仿宋" w:hint="eastAsia"/>
            <w:lang w:eastAsia="zh-CN"/>
          </w:rPr>
          <w:t>(一)、重组人生长激素项目概况</w:t>
        </w:r>
        <w:r>
          <w:tab/>
        </w:r>
        <w:r>
          <w:fldChar w:fldCharType="begin"/>
        </w:r>
        <w:r>
          <w:instrText xml:space="preserve"> PAGEREF _Toc11676 \h </w:instrText>
        </w:r>
        <w:r>
          <w:fldChar w:fldCharType="separate"/>
        </w:r>
        <w:r>
          <w:t>12</w:t>
        </w:r>
        <w:r>
          <w:fldChar w:fldCharType="end"/>
        </w:r>
      </w:hyperlink>
    </w:p>
    <w:p>
      <w:pPr>
        <w:pStyle w:val="TOC2"/>
        <w:tabs>
          <w:tab w:val="right" w:leader="dot" w:pos="8306"/>
        </w:tabs>
      </w:pPr>
      <w:hyperlink w:anchor="_Toc27549" w:history="1">
        <w:r>
          <w:rPr>
            <w:rFonts w:ascii="仿宋" w:eastAsia="仿宋" w:hAnsi="仿宋" w:cs="仿宋" w:hint="eastAsia"/>
            <w:lang w:eastAsia="zh-CN"/>
          </w:rPr>
          <w:t>(二)、重组人生长激素项目目标</w:t>
        </w:r>
        <w:r>
          <w:tab/>
        </w:r>
        <w:r>
          <w:fldChar w:fldCharType="begin"/>
        </w:r>
        <w:r>
          <w:instrText xml:space="preserve"> PAGEREF _Toc27549 \h </w:instrText>
        </w:r>
        <w:r>
          <w:fldChar w:fldCharType="separate"/>
        </w:r>
        <w:r>
          <w:t>14</w:t>
        </w:r>
        <w:r>
          <w:fldChar w:fldCharType="end"/>
        </w:r>
      </w:hyperlink>
    </w:p>
    <w:p>
      <w:pPr>
        <w:pStyle w:val="TOC2"/>
        <w:tabs>
          <w:tab w:val="right" w:leader="dot" w:pos="8306"/>
        </w:tabs>
      </w:pPr>
      <w:hyperlink w:anchor="_Toc1294" w:history="1">
        <w:r>
          <w:rPr>
            <w:rFonts w:ascii="仿宋" w:eastAsia="仿宋" w:hAnsi="仿宋" w:cs="仿宋" w:hint="eastAsia"/>
            <w:lang w:eastAsia="zh-CN"/>
          </w:rPr>
          <w:t>(三)、重组人生长激素项目提出的理由</w:t>
        </w:r>
        <w:r>
          <w:tab/>
        </w:r>
        <w:r>
          <w:fldChar w:fldCharType="begin"/>
        </w:r>
        <w:r>
          <w:instrText xml:space="preserve"> PAGEREF _Toc1294 \h </w:instrText>
        </w:r>
        <w:r>
          <w:fldChar w:fldCharType="separate"/>
        </w:r>
        <w:r>
          <w:t>15</w:t>
        </w:r>
        <w:r>
          <w:fldChar w:fldCharType="end"/>
        </w:r>
      </w:hyperlink>
    </w:p>
    <w:p>
      <w:pPr>
        <w:pStyle w:val="TOC2"/>
        <w:tabs>
          <w:tab w:val="right" w:leader="dot" w:pos="8306"/>
        </w:tabs>
      </w:pPr>
      <w:hyperlink w:anchor="_Toc20428" w:history="1">
        <w:r>
          <w:rPr>
            <w:rFonts w:ascii="仿宋" w:eastAsia="仿宋" w:hAnsi="仿宋" w:cs="仿宋" w:hint="eastAsia"/>
            <w:lang w:eastAsia="zh-CN"/>
          </w:rPr>
          <w:t>(四)、重组人生长激素项目意义</w:t>
        </w:r>
        <w:r>
          <w:tab/>
        </w:r>
        <w:r>
          <w:fldChar w:fldCharType="begin"/>
        </w:r>
        <w:r>
          <w:instrText xml:space="preserve"> PAGEREF _Toc20428 \h </w:instrText>
        </w:r>
        <w:r>
          <w:fldChar w:fldCharType="separate"/>
        </w:r>
        <w:r>
          <w:t>17</w:t>
        </w:r>
        <w:r>
          <w:fldChar w:fldCharType="end"/>
        </w:r>
      </w:hyperlink>
    </w:p>
    <w:p>
      <w:pPr>
        <w:pStyle w:val="TOC2"/>
        <w:tabs>
          <w:tab w:val="right" w:leader="dot" w:pos="8306"/>
        </w:tabs>
      </w:pPr>
      <w:hyperlink w:anchor="_Toc13843" w:history="1">
        <w:r>
          <w:rPr>
            <w:rFonts w:ascii="仿宋" w:eastAsia="仿宋" w:hAnsi="仿宋" w:cs="仿宋" w:hint="eastAsia"/>
            <w:lang w:eastAsia="zh-CN"/>
          </w:rPr>
          <w:t>(五)、重组人生长激素项目背景</w:t>
        </w:r>
        <w:r>
          <w:tab/>
        </w:r>
        <w:r>
          <w:fldChar w:fldCharType="begin"/>
        </w:r>
        <w:r>
          <w:instrText xml:space="preserve"> PAGEREF _Toc13843 \h </w:instrText>
        </w:r>
        <w:r>
          <w:fldChar w:fldCharType="separate"/>
        </w:r>
        <w:r>
          <w:t>18</w:t>
        </w:r>
        <w:r>
          <w:fldChar w:fldCharType="end"/>
        </w:r>
      </w:hyperlink>
    </w:p>
    <w:p>
      <w:pPr>
        <w:pStyle w:val="TOC1"/>
        <w:tabs>
          <w:tab w:val="right" w:leader="dot" w:pos="8306"/>
        </w:tabs>
      </w:pPr>
      <w:hyperlink w:anchor="_Toc19622" w:history="1">
        <w:r>
          <w:rPr>
            <w:rFonts w:ascii="仿宋" w:eastAsia="仿宋" w:hAnsi="仿宋" w:cs="仿宋" w:hint="eastAsia"/>
            <w:lang w:eastAsia="zh-CN"/>
          </w:rPr>
          <w:t>五、市场分析、调研</w:t>
        </w:r>
        <w:r>
          <w:tab/>
        </w:r>
        <w:r>
          <w:fldChar w:fldCharType="begin"/>
        </w:r>
        <w:r>
          <w:instrText xml:space="preserve"> PAGEREF _Toc19622 \h </w:instrText>
        </w:r>
        <w:r>
          <w:fldChar w:fldCharType="separate"/>
        </w:r>
        <w:r>
          <w:t>19</w:t>
        </w:r>
        <w:r>
          <w:fldChar w:fldCharType="end"/>
        </w:r>
      </w:hyperlink>
    </w:p>
    <w:p>
      <w:pPr>
        <w:pStyle w:val="TOC2"/>
        <w:tabs>
          <w:tab w:val="right" w:leader="dot" w:pos="8306"/>
        </w:tabs>
      </w:pPr>
      <w:hyperlink w:anchor="_Toc5604" w:history="1">
        <w:r>
          <w:rPr>
            <w:rFonts w:ascii="仿宋" w:eastAsia="仿宋" w:hAnsi="仿宋" w:cs="仿宋" w:hint="eastAsia"/>
            <w:lang w:eastAsia="zh-CN"/>
          </w:rPr>
          <w:t>(一)、重组人生长激素行业分析</w:t>
        </w:r>
        <w:r>
          <w:tab/>
        </w:r>
        <w:r>
          <w:fldChar w:fldCharType="begin"/>
        </w:r>
        <w:r>
          <w:instrText xml:space="preserve"> PAGEREF _Toc5604 \h </w:instrText>
        </w:r>
        <w:r>
          <w:fldChar w:fldCharType="separate"/>
        </w:r>
        <w:r>
          <w:t>19</w:t>
        </w:r>
        <w:r>
          <w:fldChar w:fldCharType="end"/>
        </w:r>
      </w:hyperlink>
    </w:p>
    <w:p>
      <w:pPr>
        <w:pStyle w:val="TOC2"/>
        <w:tabs>
          <w:tab w:val="right" w:leader="dot" w:pos="8306"/>
        </w:tabs>
      </w:pPr>
      <w:hyperlink w:anchor="_Toc6070" w:history="1">
        <w:r>
          <w:rPr>
            <w:rFonts w:ascii="仿宋" w:eastAsia="仿宋" w:hAnsi="仿宋" w:cs="仿宋" w:hint="eastAsia"/>
            <w:lang w:eastAsia="zh-CN"/>
          </w:rPr>
          <w:t>(二)、重组人生长激素市场分析预测</w:t>
        </w:r>
        <w:r>
          <w:tab/>
        </w:r>
        <w:r>
          <w:fldChar w:fldCharType="begin"/>
        </w:r>
        <w:r>
          <w:instrText xml:space="preserve"> PAGEREF _Toc6070 \h </w:instrText>
        </w:r>
        <w:r>
          <w:fldChar w:fldCharType="separate"/>
        </w:r>
        <w:r>
          <w:t>19</w:t>
        </w:r>
        <w:r>
          <w:fldChar w:fldCharType="end"/>
        </w:r>
      </w:hyperlink>
    </w:p>
    <w:p>
      <w:pPr>
        <w:pStyle w:val="TOC1"/>
        <w:tabs>
          <w:tab w:val="right" w:leader="dot" w:pos="8306"/>
        </w:tabs>
      </w:pPr>
      <w:hyperlink w:anchor="_Toc11337" w:history="1">
        <w:r>
          <w:rPr>
            <w:rFonts w:ascii="仿宋" w:eastAsia="仿宋" w:hAnsi="仿宋" w:cs="仿宋" w:hint="eastAsia"/>
            <w:lang w:eastAsia="zh-CN"/>
          </w:rPr>
          <w:t>六、重组人生长激素项目建设单位说明</w:t>
        </w:r>
        <w:r>
          <w:tab/>
        </w:r>
        <w:r>
          <w:fldChar w:fldCharType="begin"/>
        </w:r>
        <w:r>
          <w:instrText xml:space="preserve"> PAGEREF _Toc11337 \h </w:instrText>
        </w:r>
        <w:r>
          <w:fldChar w:fldCharType="separate"/>
        </w:r>
        <w:r>
          <w:t>20</w:t>
        </w:r>
        <w:r>
          <w:fldChar w:fldCharType="end"/>
        </w:r>
      </w:hyperlink>
    </w:p>
    <w:p>
      <w:pPr>
        <w:pStyle w:val="TOC2"/>
        <w:tabs>
          <w:tab w:val="right" w:leader="dot" w:pos="8306"/>
        </w:tabs>
      </w:pPr>
      <w:hyperlink w:anchor="_Toc18533" w:history="1">
        <w:r>
          <w:rPr>
            <w:rFonts w:ascii="仿宋" w:eastAsia="仿宋" w:hAnsi="仿宋" w:cs="仿宋" w:hint="eastAsia"/>
            <w:lang w:eastAsia="zh-CN"/>
          </w:rPr>
          <w:t>(一)、重组人生长激素项目承办单位基本情况</w:t>
        </w:r>
        <w:r>
          <w:tab/>
        </w:r>
        <w:r>
          <w:fldChar w:fldCharType="begin"/>
        </w:r>
        <w:r>
          <w:instrText xml:space="preserve"> PAGEREF _Toc18533 \h </w:instrText>
        </w:r>
        <w:r>
          <w:fldChar w:fldCharType="separate"/>
        </w:r>
        <w:r>
          <w:t>20</w:t>
        </w:r>
        <w:r>
          <w:fldChar w:fldCharType="end"/>
        </w:r>
      </w:hyperlink>
    </w:p>
    <w:p>
      <w:pPr>
        <w:pStyle w:val="TOC2"/>
        <w:tabs>
          <w:tab w:val="right" w:leader="dot" w:pos="8306"/>
        </w:tabs>
      </w:pPr>
      <w:hyperlink w:anchor="_Toc11974" w:history="1">
        <w:r>
          <w:rPr>
            <w:rFonts w:ascii="仿宋" w:eastAsia="仿宋" w:hAnsi="仿宋" w:cs="仿宋" w:hint="eastAsia"/>
            <w:lang w:eastAsia="zh-CN"/>
          </w:rPr>
          <w:t>(二)、公司经济效益分析</w:t>
        </w:r>
        <w:r>
          <w:tab/>
        </w:r>
        <w:r>
          <w:fldChar w:fldCharType="begin"/>
        </w:r>
        <w:r>
          <w:instrText xml:space="preserve"> PAGEREF _Toc11974 \h </w:instrText>
        </w:r>
        <w:r>
          <w:fldChar w:fldCharType="separate"/>
        </w:r>
        <w:r>
          <w:t>21</w:t>
        </w:r>
        <w:r>
          <w:fldChar w:fldCharType="end"/>
        </w:r>
      </w:hyperlink>
    </w:p>
    <w:p>
      <w:pPr>
        <w:pStyle w:val="TOC1"/>
        <w:tabs>
          <w:tab w:val="right" w:leader="dot" w:pos="8306"/>
        </w:tabs>
      </w:pPr>
      <w:hyperlink w:anchor="_Toc13050" w:history="1">
        <w:r>
          <w:rPr>
            <w:rFonts w:ascii="仿宋" w:eastAsia="仿宋" w:hAnsi="仿宋" w:cs="仿宋" w:hint="eastAsia"/>
            <w:lang w:eastAsia="zh-CN"/>
          </w:rPr>
          <w:t>七、重组人生长激素项目创新与研发</w:t>
        </w:r>
        <w:r>
          <w:tab/>
        </w:r>
        <w:r>
          <w:fldChar w:fldCharType="begin"/>
        </w:r>
        <w:r>
          <w:instrText xml:space="preserve"> PAGEREF _Toc13050 \h </w:instrText>
        </w:r>
        <w:r>
          <w:fldChar w:fldCharType="separate"/>
        </w:r>
        <w:r>
          <w:t>22</w:t>
        </w:r>
        <w:r>
          <w:fldChar w:fldCharType="end"/>
        </w:r>
      </w:hyperlink>
    </w:p>
    <w:p>
      <w:pPr>
        <w:pStyle w:val="TOC2"/>
        <w:tabs>
          <w:tab w:val="right" w:leader="dot" w:pos="8306"/>
        </w:tabs>
      </w:pPr>
      <w:hyperlink w:anchor="_Toc2568" w:history="1">
        <w:r>
          <w:rPr>
            <w:rFonts w:ascii="仿宋" w:eastAsia="仿宋" w:hAnsi="仿宋" w:cs="仿宋" w:hint="eastAsia"/>
            <w:lang w:eastAsia="zh-CN"/>
          </w:rPr>
          <w:t>(一)、创新策略与方向</w:t>
        </w:r>
        <w:r>
          <w:tab/>
        </w:r>
        <w:r>
          <w:fldChar w:fldCharType="begin"/>
        </w:r>
        <w:r>
          <w:instrText xml:space="preserve"> PAGEREF _Toc2568 \h </w:instrText>
        </w:r>
        <w:r>
          <w:fldChar w:fldCharType="separate"/>
        </w:r>
        <w:r>
          <w:t>22</w:t>
        </w:r>
        <w:r>
          <w:fldChar w:fldCharType="end"/>
        </w:r>
      </w:hyperlink>
    </w:p>
    <w:p>
      <w:pPr>
        <w:pStyle w:val="TOC2"/>
        <w:tabs>
          <w:tab w:val="right" w:leader="dot" w:pos="8306"/>
        </w:tabs>
      </w:pPr>
      <w:hyperlink w:anchor="_Toc31946" w:history="1">
        <w:r>
          <w:rPr>
            <w:rFonts w:ascii="仿宋" w:eastAsia="仿宋" w:hAnsi="仿宋" w:cs="仿宋" w:hint="eastAsia"/>
            <w:lang w:eastAsia="zh-CN"/>
          </w:rPr>
          <w:t>(二)、研发规划与投入</w:t>
        </w:r>
        <w:r>
          <w:tab/>
        </w:r>
        <w:r>
          <w:fldChar w:fldCharType="begin"/>
        </w:r>
        <w:r>
          <w:instrText xml:space="preserve"> PAGEREF _Toc31946 \h </w:instrText>
        </w:r>
        <w:r>
          <w:fldChar w:fldCharType="separate"/>
        </w:r>
        <w:r>
          <w:t>23</w:t>
        </w:r>
        <w:r>
          <w:fldChar w:fldCharType="end"/>
        </w:r>
      </w:hyperlink>
    </w:p>
    <w:p>
      <w:pPr>
        <w:pStyle w:val="TOC1"/>
        <w:tabs>
          <w:tab w:val="right" w:leader="dot" w:pos="8306"/>
        </w:tabs>
      </w:pPr>
      <w:hyperlink w:anchor="_Toc5104" w:history="1">
        <w:r>
          <w:rPr>
            <w:rFonts w:ascii="仿宋" w:eastAsia="仿宋" w:hAnsi="仿宋" w:cs="仿宋" w:hint="eastAsia"/>
            <w:lang w:eastAsia="zh-CN"/>
          </w:rPr>
          <w:t>八、重组人生长激素项目人力资源管理</w:t>
        </w:r>
        <w:r>
          <w:tab/>
        </w:r>
        <w:r>
          <w:fldChar w:fldCharType="begin"/>
        </w:r>
        <w:r>
          <w:instrText xml:space="preserve"> PAGEREF _Toc5104 \h </w:instrText>
        </w:r>
        <w:r>
          <w:fldChar w:fldCharType="separate"/>
        </w:r>
        <w:r>
          <w:t>25</w:t>
        </w:r>
        <w:r>
          <w:fldChar w:fldCharType="end"/>
        </w:r>
      </w:hyperlink>
    </w:p>
    <w:p>
      <w:pPr>
        <w:pStyle w:val="TOC2"/>
        <w:tabs>
          <w:tab w:val="right" w:leader="dot" w:pos="8306"/>
        </w:tabs>
      </w:pPr>
      <w:hyperlink w:anchor="_Toc15018" w:history="1">
        <w:r>
          <w:rPr>
            <w:rFonts w:ascii="仿宋" w:eastAsia="仿宋" w:hAnsi="仿宋" w:cs="仿宋" w:hint="eastAsia"/>
            <w:lang w:eastAsia="zh-CN"/>
          </w:rPr>
          <w:t>(一)、建立健全的预算管理制度</w:t>
        </w:r>
        <w:r>
          <w:tab/>
        </w:r>
        <w:r>
          <w:fldChar w:fldCharType="begin"/>
        </w:r>
        <w:r>
          <w:instrText xml:space="preserve"> PAGEREF _Toc15018 \h </w:instrText>
        </w:r>
        <w:r>
          <w:fldChar w:fldCharType="separate"/>
        </w:r>
        <w:r>
          <w:t>25</w:t>
        </w:r>
        <w:r>
          <w:fldChar w:fldCharType="end"/>
        </w:r>
      </w:hyperlink>
    </w:p>
    <w:p>
      <w:pPr>
        <w:pStyle w:val="TOC2"/>
        <w:tabs>
          <w:tab w:val="right" w:leader="dot" w:pos="8306"/>
        </w:tabs>
      </w:pPr>
      <w:hyperlink w:anchor="_Toc4777" w:history="1">
        <w:r>
          <w:rPr>
            <w:rFonts w:ascii="仿宋" w:eastAsia="仿宋" w:hAnsi="仿宋" w:cs="仿宋" w:hint="eastAsia"/>
            <w:lang w:eastAsia="zh-CN"/>
          </w:rPr>
          <w:t>(二)、加强资金流动监控</w:t>
        </w:r>
        <w:r>
          <w:tab/>
        </w:r>
        <w:r>
          <w:fldChar w:fldCharType="begin"/>
        </w:r>
        <w:r>
          <w:instrText xml:space="preserve"> PAGEREF _Toc4777 \h </w:instrText>
        </w:r>
        <w:r>
          <w:fldChar w:fldCharType="separate"/>
        </w:r>
        <w:r>
          <w:t>27</w:t>
        </w:r>
        <w:r>
          <w:fldChar w:fldCharType="end"/>
        </w:r>
      </w:hyperlink>
    </w:p>
    <w:p>
      <w:pPr>
        <w:pStyle w:val="TOC2"/>
        <w:tabs>
          <w:tab w:val="right" w:leader="dot" w:pos="8306"/>
        </w:tabs>
      </w:pPr>
      <w:hyperlink w:anchor="_Toc13339" w:history="1">
        <w:r>
          <w:rPr>
            <w:rFonts w:ascii="仿宋" w:eastAsia="仿宋" w:hAnsi="仿宋" w:cs="仿宋" w:hint="eastAsia"/>
            <w:lang w:eastAsia="zh-CN"/>
          </w:rPr>
          <w:t>(三)、制定完善的风险控制机制</w:t>
        </w:r>
        <w:r>
          <w:tab/>
        </w:r>
        <w:r>
          <w:fldChar w:fldCharType="begin"/>
        </w:r>
        <w:r>
          <w:instrText xml:space="preserve"> PAGEREF _Toc13339 \h </w:instrText>
        </w:r>
        <w:r>
          <w:fldChar w:fldCharType="separate"/>
        </w:r>
        <w:r>
          <w:t>28</w:t>
        </w:r>
        <w:r>
          <w:fldChar w:fldCharType="end"/>
        </w:r>
      </w:hyperlink>
    </w:p>
    <w:p>
      <w:pPr>
        <w:pStyle w:val="TOC2"/>
        <w:tabs>
          <w:tab w:val="right" w:leader="dot" w:pos="8306"/>
        </w:tabs>
      </w:pPr>
      <w:hyperlink w:anchor="_Toc27045" w:history="1">
        <w:r>
          <w:rPr>
            <w:rFonts w:ascii="仿宋" w:eastAsia="仿宋" w:hAnsi="仿宋" w:cs="仿宋" w:hint="eastAsia"/>
            <w:lang w:eastAsia="zh-CN"/>
          </w:rPr>
          <w:t>(四)、优化成本管理</w:t>
        </w:r>
        <w:r>
          <w:tab/>
        </w:r>
        <w:r>
          <w:fldChar w:fldCharType="begin"/>
        </w:r>
        <w:r>
          <w:instrText xml:space="preserve"> PAGEREF _Toc27045 \h </w:instrText>
        </w:r>
        <w:r>
          <w:fldChar w:fldCharType="separate"/>
        </w:r>
        <w:r>
          <w:t>29</w:t>
        </w:r>
        <w:r>
          <w:fldChar w:fldCharType="end"/>
        </w:r>
      </w:hyperlink>
    </w:p>
    <w:p>
      <w:pPr>
        <w:pStyle w:val="TOC1"/>
        <w:tabs>
          <w:tab w:val="right" w:leader="dot" w:pos="8306"/>
        </w:tabs>
      </w:pPr>
      <w:hyperlink w:anchor="_Toc30935" w:history="1">
        <w:r>
          <w:rPr>
            <w:rFonts w:ascii="仿宋" w:eastAsia="仿宋" w:hAnsi="仿宋" w:cs="仿宋" w:hint="eastAsia"/>
            <w:lang w:eastAsia="zh-CN"/>
          </w:rPr>
          <w:t>九、重组人生长激素项目计划安排</w:t>
        </w:r>
        <w:r>
          <w:tab/>
        </w:r>
        <w:r>
          <w:fldChar w:fldCharType="begin"/>
        </w:r>
        <w:r>
          <w:instrText xml:space="preserve"> PAGEREF _Toc30935 \h </w:instrText>
        </w:r>
        <w:r>
          <w:fldChar w:fldCharType="separate"/>
        </w:r>
        <w:r>
          <w:t>31</w:t>
        </w:r>
        <w:r>
          <w:fldChar w:fldCharType="end"/>
        </w:r>
      </w:hyperlink>
    </w:p>
    <w:p>
      <w:pPr>
        <w:pStyle w:val="TOC2"/>
        <w:tabs>
          <w:tab w:val="right" w:leader="dot" w:pos="8306"/>
        </w:tabs>
      </w:pPr>
      <w:hyperlink w:anchor="_Toc902" w:history="1">
        <w:r>
          <w:rPr>
            <w:rFonts w:ascii="仿宋" w:eastAsia="仿宋" w:hAnsi="仿宋" w:cs="仿宋" w:hint="eastAsia"/>
            <w:lang w:eastAsia="zh-CN"/>
          </w:rPr>
          <w:t>(一)、建设周期</w:t>
        </w:r>
        <w:r>
          <w:tab/>
        </w:r>
        <w:r>
          <w:fldChar w:fldCharType="begin"/>
        </w:r>
        <w:r>
          <w:instrText xml:space="preserve"> PAGEREF _Toc902 \h </w:instrText>
        </w:r>
        <w:r>
          <w:fldChar w:fldCharType="separate"/>
        </w:r>
        <w:r>
          <w:t>31</w:t>
        </w:r>
        <w:r>
          <w:fldChar w:fldCharType="end"/>
        </w:r>
      </w:hyperlink>
    </w:p>
    <w:p>
      <w:pPr>
        <w:pStyle w:val="TOC2"/>
        <w:tabs>
          <w:tab w:val="right" w:leader="dot" w:pos="8306"/>
        </w:tabs>
      </w:pPr>
      <w:hyperlink w:anchor="_Toc9111" w:history="1">
        <w:r>
          <w:rPr>
            <w:rFonts w:ascii="仿宋" w:eastAsia="仿宋" w:hAnsi="仿宋" w:cs="仿宋" w:hint="eastAsia"/>
            <w:lang w:eastAsia="zh-CN"/>
          </w:rPr>
          <w:t>(二)、建设进度</w:t>
        </w:r>
        <w:r>
          <w:tab/>
        </w:r>
        <w:r>
          <w:fldChar w:fldCharType="begin"/>
        </w:r>
        <w:r>
          <w:instrText xml:space="preserve"> PAGEREF _Toc9111 \h </w:instrText>
        </w:r>
        <w:r>
          <w:fldChar w:fldCharType="separate"/>
        </w:r>
        <w:r>
          <w:t>32</w:t>
        </w:r>
        <w:r>
          <w:fldChar w:fldCharType="end"/>
        </w:r>
      </w:hyperlink>
    </w:p>
    <w:p>
      <w:pPr>
        <w:pStyle w:val="TOC2"/>
        <w:tabs>
          <w:tab w:val="right" w:leader="dot" w:pos="8306"/>
        </w:tabs>
      </w:pPr>
      <w:hyperlink w:anchor="_Toc2102" w:history="1">
        <w:r>
          <w:rPr>
            <w:rFonts w:ascii="仿宋" w:eastAsia="仿宋" w:hAnsi="仿宋" w:cs="仿宋" w:hint="eastAsia"/>
            <w:lang w:eastAsia="zh-CN"/>
          </w:rPr>
          <w:t>(三)、进度安排注意事项</w:t>
        </w:r>
        <w:r>
          <w:tab/>
        </w:r>
        <w:r>
          <w:fldChar w:fldCharType="begin"/>
        </w:r>
        <w:r>
          <w:instrText xml:space="preserve"> PAGEREF _Toc2102 \h </w:instrText>
        </w:r>
        <w:r>
          <w:fldChar w:fldCharType="separate"/>
        </w:r>
        <w:r>
          <w:t>33</w:t>
        </w:r>
        <w:r>
          <w:fldChar w:fldCharType="end"/>
        </w:r>
      </w:hyperlink>
    </w:p>
    <w:p>
      <w:pPr>
        <w:pStyle w:val="TOC2"/>
        <w:tabs>
          <w:tab w:val="right" w:leader="dot" w:pos="8306"/>
        </w:tabs>
      </w:pPr>
      <w:hyperlink w:anchor="_Toc15446" w:history="1">
        <w:r>
          <w:rPr>
            <w:rFonts w:ascii="仿宋" w:eastAsia="仿宋" w:hAnsi="仿宋" w:cs="仿宋" w:hint="eastAsia"/>
            <w:lang w:eastAsia="zh-CN"/>
          </w:rPr>
          <w:t>(四)、人力资源配置</w:t>
        </w:r>
        <w:r>
          <w:tab/>
        </w:r>
        <w:r>
          <w:fldChar w:fldCharType="begin"/>
        </w:r>
        <w:r>
          <w:instrText xml:space="preserve"> PAGEREF _Toc15446 \h </w:instrText>
        </w:r>
        <w:r>
          <w:fldChar w:fldCharType="separate"/>
        </w:r>
        <w:r>
          <w:t>34</w:t>
        </w:r>
        <w:r>
          <w:fldChar w:fldCharType="end"/>
        </w:r>
      </w:hyperlink>
    </w:p>
    <w:p>
      <w:pPr>
        <w:pStyle w:val="TOC1"/>
        <w:tabs>
          <w:tab w:val="right" w:leader="dot" w:pos="8306"/>
        </w:tabs>
      </w:pPr>
      <w:hyperlink w:anchor="_Toc10418" w:history="1">
        <w:r>
          <w:rPr>
            <w:rFonts w:ascii="仿宋" w:eastAsia="仿宋" w:hAnsi="仿宋" w:cs="仿宋" w:hint="eastAsia"/>
            <w:lang w:eastAsia="zh-CN"/>
          </w:rPr>
          <w:t>十、重组人生长激素项目风险管理</w:t>
        </w:r>
        <w:r>
          <w:tab/>
        </w:r>
        <w:r>
          <w:fldChar w:fldCharType="begin"/>
        </w:r>
        <w:r>
          <w:instrText xml:space="preserve"> PAGEREF _Toc10418 \h </w:instrText>
        </w:r>
        <w:r>
          <w:fldChar w:fldCharType="separate"/>
        </w:r>
        <w:r>
          <w:t>35</w:t>
        </w:r>
        <w:r>
          <w:fldChar w:fldCharType="end"/>
        </w:r>
      </w:hyperlink>
    </w:p>
    <w:p>
      <w:pPr>
        <w:pStyle w:val="TOC2"/>
        <w:tabs>
          <w:tab w:val="right" w:leader="dot" w:pos="8306"/>
        </w:tabs>
      </w:pPr>
      <w:hyperlink w:anchor="_Toc32090" w:history="1">
        <w:r>
          <w:rPr>
            <w:rFonts w:ascii="仿宋" w:eastAsia="仿宋" w:hAnsi="仿宋" w:cs="仿宋" w:hint="eastAsia"/>
            <w:lang w:eastAsia="zh-CN"/>
          </w:rPr>
          <w:t>(一)、风险识别与评估</w:t>
        </w:r>
        <w:r>
          <w:tab/>
        </w:r>
        <w:r>
          <w:fldChar w:fldCharType="begin"/>
        </w:r>
        <w:r>
          <w:instrText xml:space="preserve"> PAGEREF _Toc32090 \h </w:instrText>
        </w:r>
        <w:r>
          <w:fldChar w:fldCharType="separate"/>
        </w:r>
        <w:r>
          <w:t>35</w:t>
        </w:r>
        <w:r>
          <w:fldChar w:fldCharType="end"/>
        </w:r>
      </w:hyperlink>
    </w:p>
    <w:p>
      <w:pPr>
        <w:pStyle w:val="TOC2"/>
        <w:tabs>
          <w:tab w:val="right" w:leader="dot" w:pos="8306"/>
        </w:tabs>
      </w:pPr>
      <w:hyperlink w:anchor="_Toc22112" w:history="1">
        <w:r>
          <w:rPr>
            <w:rFonts w:ascii="仿宋" w:eastAsia="仿宋" w:hAnsi="仿宋" w:cs="仿宋" w:hint="eastAsia"/>
            <w:lang w:eastAsia="zh-CN"/>
          </w:rPr>
          <w:t>(二)、风险应对策略</w:t>
        </w:r>
        <w:r>
          <w:tab/>
        </w:r>
        <w:r>
          <w:fldChar w:fldCharType="begin"/>
        </w:r>
        <w:r>
          <w:instrText xml:space="preserve"> PAGEREF _Toc22112 \h </w:instrText>
        </w:r>
        <w:r>
          <w:fldChar w:fldCharType="separate"/>
        </w:r>
        <w:r>
          <w:t>36</w:t>
        </w:r>
        <w:r>
          <w:fldChar w:fldCharType="end"/>
        </w:r>
      </w:hyperlink>
    </w:p>
    <w:p>
      <w:pPr>
        <w:pStyle w:val="TOC2"/>
        <w:tabs>
          <w:tab w:val="right" w:leader="dot" w:pos="8306"/>
        </w:tabs>
      </w:pPr>
      <w:hyperlink w:anchor="_Toc6595" w:history="1">
        <w:r>
          <w:rPr>
            <w:rFonts w:ascii="仿宋" w:eastAsia="仿宋" w:hAnsi="仿宋" w:cs="仿宋" w:hint="eastAsia"/>
            <w:lang w:eastAsia="zh-CN"/>
          </w:rPr>
          <w:t>(三)、风险监控与控制</w:t>
        </w:r>
        <w:r>
          <w:tab/>
        </w:r>
        <w:r>
          <w:fldChar w:fldCharType="begin"/>
        </w:r>
        <w:r>
          <w:instrText xml:space="preserve"> PAGEREF _Toc6595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27" w:history="1">
        <w:r>
          <w:rPr>
            <w:rFonts w:ascii="仿宋" w:eastAsia="仿宋" w:hAnsi="仿宋" w:cs="仿宋" w:hint="eastAsia"/>
            <w:lang w:eastAsia="zh-CN"/>
          </w:rPr>
          <w:t>十一、生产安全保护</w:t>
        </w:r>
        <w:r>
          <w:tab/>
        </w:r>
        <w:r>
          <w:fldChar w:fldCharType="begin"/>
        </w:r>
        <w:r>
          <w:instrText xml:space="preserve"> PAGEREF _Toc10727 \h </w:instrText>
        </w:r>
        <w:r>
          <w:fldChar w:fldCharType="separate"/>
        </w:r>
        <w:r>
          <w:t>39</w:t>
        </w:r>
        <w:r>
          <w:fldChar w:fldCharType="end"/>
        </w:r>
      </w:hyperlink>
    </w:p>
    <w:p>
      <w:pPr>
        <w:pStyle w:val="TOC2"/>
        <w:tabs>
          <w:tab w:val="right" w:leader="dot" w:pos="8306"/>
        </w:tabs>
      </w:pPr>
      <w:hyperlink w:anchor="_Toc22912" w:history="1">
        <w:r>
          <w:rPr>
            <w:rFonts w:ascii="仿宋" w:eastAsia="仿宋" w:hAnsi="仿宋" w:cs="仿宋" w:hint="eastAsia"/>
            <w:lang w:eastAsia="zh-CN"/>
          </w:rPr>
          <w:t>(一)、消防安全</w:t>
        </w:r>
        <w:r>
          <w:tab/>
        </w:r>
        <w:r>
          <w:fldChar w:fldCharType="begin"/>
        </w:r>
        <w:r>
          <w:instrText xml:space="preserve"> PAGEREF _Toc22912 \h </w:instrText>
        </w:r>
        <w:r>
          <w:fldChar w:fldCharType="separate"/>
        </w:r>
        <w:r>
          <w:t>39</w:t>
        </w:r>
        <w:r>
          <w:fldChar w:fldCharType="end"/>
        </w:r>
      </w:hyperlink>
    </w:p>
    <w:p>
      <w:pPr>
        <w:pStyle w:val="TOC2"/>
        <w:tabs>
          <w:tab w:val="right" w:leader="dot" w:pos="8306"/>
        </w:tabs>
      </w:pPr>
      <w:hyperlink w:anchor="_Toc7642" w:history="1">
        <w:r>
          <w:rPr>
            <w:rFonts w:ascii="仿宋" w:eastAsia="仿宋" w:hAnsi="仿宋" w:cs="仿宋" w:hint="eastAsia"/>
            <w:lang w:eastAsia="zh-CN"/>
          </w:rPr>
          <w:t>(二)、防火防爆总图布置措施</w:t>
        </w:r>
        <w:r>
          <w:tab/>
        </w:r>
        <w:r>
          <w:fldChar w:fldCharType="begin"/>
        </w:r>
        <w:r>
          <w:instrText xml:space="preserve"> PAGEREF _Toc7642 \h </w:instrText>
        </w:r>
        <w:r>
          <w:fldChar w:fldCharType="separate"/>
        </w:r>
        <w:r>
          <w:t>41</w:t>
        </w:r>
        <w:r>
          <w:fldChar w:fldCharType="end"/>
        </w:r>
      </w:hyperlink>
    </w:p>
    <w:p>
      <w:pPr>
        <w:pStyle w:val="TOC2"/>
        <w:tabs>
          <w:tab w:val="right" w:leader="dot" w:pos="8306"/>
        </w:tabs>
      </w:pPr>
      <w:hyperlink w:anchor="_Toc15815" w:history="1">
        <w:r>
          <w:rPr>
            <w:rFonts w:ascii="仿宋" w:eastAsia="仿宋" w:hAnsi="仿宋" w:cs="仿宋" w:hint="eastAsia"/>
            <w:lang w:eastAsia="zh-CN"/>
          </w:rPr>
          <w:t>(三)、自然灾害防范措施</w:t>
        </w:r>
        <w:r>
          <w:tab/>
        </w:r>
        <w:r>
          <w:fldChar w:fldCharType="begin"/>
        </w:r>
        <w:r>
          <w:instrText xml:space="preserve"> PAGEREF _Toc15815 \h </w:instrText>
        </w:r>
        <w:r>
          <w:fldChar w:fldCharType="separate"/>
        </w:r>
        <w:r>
          <w:t>41</w:t>
        </w:r>
        <w:r>
          <w:fldChar w:fldCharType="end"/>
        </w:r>
      </w:hyperlink>
    </w:p>
    <w:p>
      <w:pPr>
        <w:pStyle w:val="TOC2"/>
        <w:tabs>
          <w:tab w:val="right" w:leader="dot" w:pos="8306"/>
        </w:tabs>
      </w:pPr>
      <w:hyperlink w:anchor="_Toc9151" w:history="1">
        <w:r>
          <w:rPr>
            <w:rFonts w:ascii="仿宋" w:eastAsia="仿宋" w:hAnsi="仿宋" w:cs="仿宋" w:hint="eastAsia"/>
            <w:lang w:eastAsia="zh-CN"/>
          </w:rPr>
          <w:t>(四)、安全色及安全标志使用要求</w:t>
        </w:r>
        <w:r>
          <w:tab/>
        </w:r>
        <w:r>
          <w:fldChar w:fldCharType="begin"/>
        </w:r>
        <w:r>
          <w:instrText xml:space="preserve"> PAGEREF _Toc9151 \h </w:instrText>
        </w:r>
        <w:r>
          <w:fldChar w:fldCharType="separate"/>
        </w:r>
        <w:r>
          <w:t>42</w:t>
        </w:r>
        <w:r>
          <w:fldChar w:fldCharType="end"/>
        </w:r>
      </w:hyperlink>
    </w:p>
    <w:p>
      <w:pPr>
        <w:pStyle w:val="TOC2"/>
        <w:tabs>
          <w:tab w:val="right" w:leader="dot" w:pos="8306"/>
        </w:tabs>
      </w:pPr>
      <w:hyperlink w:anchor="_Toc14989" w:history="1">
        <w:r>
          <w:rPr>
            <w:rFonts w:ascii="仿宋" w:eastAsia="仿宋" w:hAnsi="仿宋" w:cs="仿宋" w:hint="eastAsia"/>
            <w:lang w:eastAsia="zh-CN"/>
          </w:rPr>
          <w:t>(五)、防尘防毒措施</w:t>
        </w:r>
        <w:r>
          <w:tab/>
        </w:r>
        <w:r>
          <w:fldChar w:fldCharType="begin"/>
        </w:r>
        <w:r>
          <w:instrText xml:space="preserve"> PAGEREF _Toc14989 \h </w:instrText>
        </w:r>
        <w:r>
          <w:fldChar w:fldCharType="separate"/>
        </w:r>
        <w:r>
          <w:t>43</w:t>
        </w:r>
        <w:r>
          <w:fldChar w:fldCharType="end"/>
        </w:r>
      </w:hyperlink>
    </w:p>
    <w:p>
      <w:pPr>
        <w:pStyle w:val="TOC2"/>
        <w:tabs>
          <w:tab w:val="right" w:leader="dot" w:pos="8306"/>
        </w:tabs>
      </w:pPr>
      <w:hyperlink w:anchor="_Toc3631" w:history="1">
        <w:r>
          <w:rPr>
            <w:rFonts w:ascii="仿宋" w:eastAsia="仿宋" w:hAnsi="仿宋" w:cs="仿宋" w:hint="eastAsia"/>
            <w:lang w:eastAsia="zh-CN"/>
          </w:rPr>
          <w:t>(六)、防静电、触电防护及防雷措施</w:t>
        </w:r>
        <w:r>
          <w:tab/>
        </w:r>
        <w:r>
          <w:fldChar w:fldCharType="begin"/>
        </w:r>
        <w:r>
          <w:instrText xml:space="preserve"> PAGEREF _Toc3631 \h </w:instrText>
        </w:r>
        <w:r>
          <w:fldChar w:fldCharType="separate"/>
        </w:r>
        <w:r>
          <w:t>44</w:t>
        </w:r>
        <w:r>
          <w:fldChar w:fldCharType="end"/>
        </w:r>
      </w:hyperlink>
    </w:p>
    <w:p>
      <w:pPr>
        <w:pStyle w:val="TOC2"/>
        <w:tabs>
          <w:tab w:val="right" w:leader="dot" w:pos="8306"/>
        </w:tabs>
      </w:pPr>
      <w:hyperlink w:anchor="_Toc13463" w:history="1">
        <w:r>
          <w:rPr>
            <w:rFonts w:ascii="仿宋" w:eastAsia="仿宋" w:hAnsi="仿宋" w:cs="仿宋" w:hint="eastAsia"/>
            <w:lang w:eastAsia="zh-CN"/>
          </w:rPr>
          <w:t>(七)、机械设备安全保障措施</w:t>
        </w:r>
        <w:r>
          <w:tab/>
        </w:r>
        <w:r>
          <w:fldChar w:fldCharType="begin"/>
        </w:r>
        <w:r>
          <w:instrText xml:space="preserve"> PAGEREF _Toc13463 \h </w:instrText>
        </w:r>
        <w:r>
          <w:fldChar w:fldCharType="separate"/>
        </w:r>
        <w:r>
          <w:t>46</w:t>
        </w:r>
        <w:r>
          <w:fldChar w:fldCharType="end"/>
        </w:r>
      </w:hyperlink>
    </w:p>
    <w:p>
      <w:pPr>
        <w:pStyle w:val="TOC1"/>
        <w:tabs>
          <w:tab w:val="right" w:leader="dot" w:pos="8306"/>
        </w:tabs>
      </w:pPr>
      <w:hyperlink w:anchor="_Toc24871" w:history="1">
        <w:r>
          <w:rPr>
            <w:rFonts w:ascii="仿宋" w:eastAsia="仿宋" w:hAnsi="仿宋" w:cs="仿宋" w:hint="eastAsia"/>
            <w:lang w:eastAsia="zh-CN"/>
          </w:rPr>
          <w:t>十二、重组人生长激素项目经营效益</w:t>
        </w:r>
        <w:r>
          <w:tab/>
        </w:r>
        <w:r>
          <w:fldChar w:fldCharType="begin"/>
        </w:r>
        <w:r>
          <w:instrText xml:space="preserve"> PAGEREF _Toc24871 \h </w:instrText>
        </w:r>
        <w:r>
          <w:fldChar w:fldCharType="separate"/>
        </w:r>
        <w:r>
          <w:t>47</w:t>
        </w:r>
        <w:r>
          <w:fldChar w:fldCharType="end"/>
        </w:r>
      </w:hyperlink>
    </w:p>
    <w:p>
      <w:pPr>
        <w:pStyle w:val="TOC2"/>
        <w:tabs>
          <w:tab w:val="right" w:leader="dot" w:pos="8306"/>
        </w:tabs>
      </w:pPr>
      <w:hyperlink w:anchor="_Toc12557" w:history="1">
        <w:r>
          <w:rPr>
            <w:rFonts w:ascii="仿宋" w:eastAsia="仿宋" w:hAnsi="仿宋" w:cs="仿宋" w:hint="eastAsia"/>
            <w:lang w:eastAsia="zh-CN"/>
          </w:rPr>
          <w:t>(一)、经济评价财务测算</w:t>
        </w:r>
        <w:r>
          <w:tab/>
        </w:r>
        <w:r>
          <w:fldChar w:fldCharType="begin"/>
        </w:r>
        <w:r>
          <w:instrText xml:space="preserve"> PAGEREF _Toc12557 \h </w:instrText>
        </w:r>
        <w:r>
          <w:fldChar w:fldCharType="separate"/>
        </w:r>
        <w:r>
          <w:t>47</w:t>
        </w:r>
        <w:r>
          <w:fldChar w:fldCharType="end"/>
        </w:r>
      </w:hyperlink>
    </w:p>
    <w:p>
      <w:pPr>
        <w:pStyle w:val="TOC2"/>
        <w:tabs>
          <w:tab w:val="right" w:leader="dot" w:pos="8306"/>
        </w:tabs>
      </w:pPr>
      <w:hyperlink w:anchor="_Toc25034" w:history="1">
        <w:r>
          <w:rPr>
            <w:rFonts w:ascii="仿宋" w:eastAsia="仿宋" w:hAnsi="仿宋" w:cs="仿宋" w:hint="eastAsia"/>
            <w:lang w:eastAsia="zh-CN"/>
          </w:rPr>
          <w:t>(二)、重组人生长激素项目盈利能力分析</w:t>
        </w:r>
        <w:r>
          <w:tab/>
        </w:r>
        <w:r>
          <w:fldChar w:fldCharType="begin"/>
        </w:r>
        <w:r>
          <w:instrText xml:space="preserve"> PAGEREF _Toc25034 \h </w:instrText>
        </w:r>
        <w:r>
          <w:fldChar w:fldCharType="separate"/>
        </w:r>
        <w:r>
          <w:t>49</w:t>
        </w:r>
        <w:r>
          <w:fldChar w:fldCharType="end"/>
        </w:r>
      </w:hyperlink>
    </w:p>
    <w:p>
      <w:pPr>
        <w:pStyle w:val="TOC1"/>
        <w:tabs>
          <w:tab w:val="right" w:leader="dot" w:pos="8306"/>
        </w:tabs>
      </w:pPr>
      <w:hyperlink w:anchor="_Toc19133" w:history="1">
        <w:r>
          <w:rPr>
            <w:rFonts w:ascii="仿宋" w:eastAsia="仿宋" w:hAnsi="仿宋" w:cs="仿宋" w:hint="eastAsia"/>
            <w:lang w:eastAsia="zh-CN"/>
          </w:rPr>
          <w:t>十三、重组人生长激素项目实施保障措施</w:t>
        </w:r>
        <w:r>
          <w:tab/>
        </w:r>
        <w:r>
          <w:fldChar w:fldCharType="begin"/>
        </w:r>
        <w:r>
          <w:instrText xml:space="preserve"> PAGEREF _Toc19133 \h </w:instrText>
        </w:r>
        <w:r>
          <w:fldChar w:fldCharType="separate"/>
        </w:r>
        <w:r>
          <w:t>49</w:t>
        </w:r>
        <w:r>
          <w:fldChar w:fldCharType="end"/>
        </w:r>
      </w:hyperlink>
    </w:p>
    <w:p>
      <w:pPr>
        <w:pStyle w:val="TOC2"/>
        <w:tabs>
          <w:tab w:val="right" w:leader="dot" w:pos="8306"/>
        </w:tabs>
      </w:pPr>
      <w:hyperlink w:anchor="_Toc18705" w:history="1">
        <w:r>
          <w:rPr>
            <w:rFonts w:ascii="仿宋" w:eastAsia="仿宋" w:hAnsi="仿宋" w:cs="仿宋" w:hint="eastAsia"/>
            <w:lang w:eastAsia="zh-CN"/>
          </w:rPr>
          <w:t>(一)、重组人生长激素项目实施保障机制</w:t>
        </w:r>
        <w:r>
          <w:tab/>
        </w:r>
        <w:r>
          <w:fldChar w:fldCharType="begin"/>
        </w:r>
        <w:r>
          <w:instrText xml:space="preserve"> PAGEREF _Toc18705 \h </w:instrText>
        </w:r>
        <w:r>
          <w:fldChar w:fldCharType="separate"/>
        </w:r>
        <w:r>
          <w:t>49</w:t>
        </w:r>
        <w:r>
          <w:fldChar w:fldCharType="end"/>
        </w:r>
      </w:hyperlink>
    </w:p>
    <w:p>
      <w:pPr>
        <w:pStyle w:val="TOC2"/>
        <w:tabs>
          <w:tab w:val="right" w:leader="dot" w:pos="8306"/>
        </w:tabs>
      </w:pPr>
      <w:hyperlink w:anchor="_Toc25207" w:history="1">
        <w:r>
          <w:rPr>
            <w:rFonts w:ascii="仿宋" w:eastAsia="仿宋" w:hAnsi="仿宋" w:cs="仿宋" w:hint="eastAsia"/>
            <w:lang w:eastAsia="zh-CN"/>
          </w:rPr>
          <w:t>(二)、重组人生长激素项目法律合规要求</w:t>
        </w:r>
        <w:r>
          <w:tab/>
        </w:r>
        <w:r>
          <w:fldChar w:fldCharType="begin"/>
        </w:r>
        <w:r>
          <w:instrText xml:space="preserve"> PAGEREF _Toc25207 \h </w:instrText>
        </w:r>
        <w:r>
          <w:fldChar w:fldCharType="separate"/>
        </w:r>
        <w:r>
          <w:t>53</w:t>
        </w:r>
        <w:r>
          <w:fldChar w:fldCharType="end"/>
        </w:r>
      </w:hyperlink>
    </w:p>
    <w:p>
      <w:pPr>
        <w:pStyle w:val="TOC2"/>
        <w:tabs>
          <w:tab w:val="right" w:leader="dot" w:pos="8306"/>
        </w:tabs>
      </w:pPr>
      <w:hyperlink w:anchor="_Toc22863" w:history="1">
        <w:r>
          <w:rPr>
            <w:rFonts w:ascii="仿宋" w:eastAsia="仿宋" w:hAnsi="仿宋" w:cs="仿宋" w:hint="eastAsia"/>
            <w:lang w:eastAsia="zh-CN"/>
          </w:rPr>
          <w:t>(三)、重组人生长激素项目合同管理与法律事务</w:t>
        </w:r>
        <w:r>
          <w:tab/>
        </w:r>
        <w:r>
          <w:fldChar w:fldCharType="begin"/>
        </w:r>
        <w:r>
          <w:instrText xml:space="preserve"> PAGEREF _Toc22863 \h </w:instrText>
        </w:r>
        <w:r>
          <w:fldChar w:fldCharType="separate"/>
        </w:r>
        <w:r>
          <w:t>58</w:t>
        </w:r>
        <w:r>
          <w:fldChar w:fldCharType="end"/>
        </w:r>
      </w:hyperlink>
    </w:p>
    <w:p>
      <w:pPr>
        <w:pStyle w:val="TOC2"/>
        <w:tabs>
          <w:tab w:val="right" w:leader="dot" w:pos="8306"/>
        </w:tabs>
      </w:pPr>
      <w:hyperlink w:anchor="_Toc27419" w:history="1">
        <w:r>
          <w:rPr>
            <w:rFonts w:ascii="仿宋" w:eastAsia="仿宋" w:hAnsi="仿宋" w:cs="仿宋" w:hint="eastAsia"/>
            <w:lang w:eastAsia="zh-CN"/>
          </w:rPr>
          <w:t>(四)、重组人生长激素项目知识产权保护策略</w:t>
        </w:r>
        <w:r>
          <w:tab/>
        </w:r>
        <w:r>
          <w:fldChar w:fldCharType="begin"/>
        </w:r>
        <w:r>
          <w:instrText xml:space="preserve"> PAGEREF _Toc27419 \h </w:instrText>
        </w:r>
        <w:r>
          <w:fldChar w:fldCharType="separate"/>
        </w:r>
        <w:r>
          <w:t>64</w:t>
        </w:r>
        <w:r>
          <w:fldChar w:fldCharType="end"/>
        </w:r>
      </w:hyperlink>
    </w:p>
    <w:p>
      <w:pPr>
        <w:pStyle w:val="TOC1"/>
        <w:tabs>
          <w:tab w:val="right" w:leader="dot" w:pos="8306"/>
        </w:tabs>
      </w:pPr>
      <w:hyperlink w:anchor="_Toc21610" w:history="1">
        <w:r>
          <w:rPr>
            <w:rFonts w:ascii="仿宋" w:eastAsia="仿宋" w:hAnsi="仿宋" w:cs="仿宋" w:hint="eastAsia"/>
            <w:lang w:eastAsia="zh-CN"/>
          </w:rPr>
          <w:t>十四、利益相关者分析与沟通计划</w:t>
        </w:r>
        <w:r>
          <w:tab/>
        </w:r>
        <w:r>
          <w:fldChar w:fldCharType="begin"/>
        </w:r>
        <w:r>
          <w:instrText xml:space="preserve"> PAGEREF _Toc21610 \h </w:instrText>
        </w:r>
        <w:r>
          <w:fldChar w:fldCharType="separate"/>
        </w:r>
        <w:r>
          <w:t>67</w:t>
        </w:r>
        <w:r>
          <w:fldChar w:fldCharType="end"/>
        </w:r>
      </w:hyperlink>
    </w:p>
    <w:p>
      <w:pPr>
        <w:pStyle w:val="TOC2"/>
        <w:tabs>
          <w:tab w:val="right" w:leader="dot" w:pos="8306"/>
        </w:tabs>
      </w:pPr>
      <w:hyperlink w:anchor="_Toc30551" w:history="1">
        <w:r>
          <w:rPr>
            <w:rFonts w:ascii="仿宋" w:eastAsia="仿宋" w:hAnsi="仿宋" w:cs="仿宋" w:hint="eastAsia"/>
            <w:lang w:eastAsia="zh-CN"/>
          </w:rPr>
          <w:t>(一)、利益相关者分析</w:t>
        </w:r>
        <w:r>
          <w:tab/>
        </w:r>
        <w:r>
          <w:fldChar w:fldCharType="begin"/>
        </w:r>
        <w:r>
          <w:instrText xml:space="preserve"> PAGEREF _Toc30551 \h </w:instrText>
        </w:r>
        <w:r>
          <w:fldChar w:fldCharType="separate"/>
        </w:r>
        <w:r>
          <w:t>67</w:t>
        </w:r>
        <w:r>
          <w:fldChar w:fldCharType="end"/>
        </w:r>
      </w:hyperlink>
    </w:p>
    <w:p>
      <w:pPr>
        <w:pStyle w:val="TOC2"/>
        <w:tabs>
          <w:tab w:val="right" w:leader="dot" w:pos="8306"/>
        </w:tabs>
      </w:pPr>
      <w:hyperlink w:anchor="_Toc306" w:history="1">
        <w:r>
          <w:rPr>
            <w:rFonts w:ascii="仿宋" w:eastAsia="仿宋" w:hAnsi="仿宋" w:cs="仿宋" w:hint="eastAsia"/>
            <w:lang w:eastAsia="zh-CN"/>
          </w:rPr>
          <w:t>(二)、沟通计划</w:t>
        </w:r>
        <w:r>
          <w:tab/>
        </w:r>
        <w:r>
          <w:fldChar w:fldCharType="begin"/>
        </w:r>
        <w:r>
          <w:instrText xml:space="preserve"> PAGEREF _Toc306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2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技术管理特点体现在其创新导向。通过引入最先进的技术趋势和解决方案，重组人生长激素项目致力于提升科技含量、提高质量和效率水平。这意味着我们将采用最新的工具和方法，确保重组人生长激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组人生长激素项目技术管理的显著特征。通过整合不同领域的技术资源，我们实现了跨学科的协同工作。这有助于优化技术架构，提高整体效能。此外，整合性策略还促进了不同技术团队之间的紧密沟通和高效合作，确保重组人生长激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组人生长激素项目所采用的技术。通过不断优化技术方案，重组人生长激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组人生长激素项目团队将在重组人生长激素项目初期识别可能的技术风险，并采取相应的预防和应对措施。通过建立健全的风险评估机制，重组人生长激素项目能够在实施过程中及时发现并解决潜在的技术问题，保障重组人生长激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组人生长激素项目中，技术将成为重组人生长激素项目成功的有力支持。这一深度剖析揭示了技术管理在重组人生长激素项目实施中的关键作用，为重组人生长激素项目的技术基础奠定了坚实的基础。</w:t>
      </w:r>
    </w:p>
    <w:p>
      <w:pPr>
        <w:pStyle w:val="Heading2"/>
        <w:ind w:firstLine="560" w:firstLineChars="200"/>
        <w:rPr>
          <w:rFonts w:ascii="仿宋" w:eastAsia="仿宋" w:hAnsi="仿宋" w:cs="仿宋" w:hint="eastAsia"/>
          <w:sz w:val="28"/>
          <w:lang w:eastAsia="zh-CN"/>
        </w:rPr>
      </w:pPr>
      <w:bookmarkStart w:id="4" w:name="_Toc12721"/>
      <w:r>
        <w:rPr>
          <w:rFonts w:ascii="仿宋" w:eastAsia="仿宋" w:hAnsi="仿宋" w:cs="仿宋" w:hint="eastAsia"/>
          <w:sz w:val="28"/>
          <w:lang w:eastAsia="zh-CN"/>
        </w:rPr>
        <w:t>(二)、重组人生长激素项目工艺技术设计方案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组人生长激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组人生长激素项目将严格按照相关行业规范要求进行组织。通过有效控制产品质量，重组人生长激素项目将致力于为顾客提供优质的重组人生长激素项目产品和良好的服务。这体现了重组人生长激素项目对于生产活动合规性和质量标准的高度重视，为重组人生长激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组人生长激素项目注重生态效益和清洁生产原则。重组人生长激素项目建设将紧密结合地方特色经济发展，与社会经济发展规划和区域环境保护规划方案相协调一致。通过与当地区域自然生态系统的结合，重组人生长激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组人生长激素项目产品具有多样化的客户需求和个性化的特点。因此，重组人生长激素项目产品规格品种多样，且单批生产数量较小。为满足这一特点，重组人生长激素项目承办单位将建设先进的柔性制造生产线。通过广泛应用柔性制造技术，重组人生长激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组人生长激素项目采用的技术具有较高的技术含量和自动化水平，处于国内先进水平。这一技术选用不仅体现了对生产效率、质量和环境友好性的高标准要求，同时为重组人生长激素项目的可持续发展奠定了坚实的基础。</w:t>
      </w:r>
    </w:p>
    <w:p>
      <w:pPr>
        <w:pStyle w:val="Heading2"/>
        <w:ind w:firstLine="560" w:firstLineChars="200"/>
        <w:rPr>
          <w:rFonts w:ascii="仿宋" w:eastAsia="仿宋" w:hAnsi="仿宋" w:cs="仿宋" w:hint="eastAsia"/>
          <w:sz w:val="28"/>
          <w:lang w:eastAsia="zh-CN"/>
        </w:rPr>
      </w:pPr>
      <w:bookmarkStart w:id="5" w:name="_Toc51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为确保重组人生长激素项目的高效生产和技术实施，我们制定了一套精心设计的设备选型方案，以满足重组人生长激素项目生产、质量和环保的要求。该方案的主要特点如下：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组人生长激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针对重组人生长激素项目产品的多样性和小批量生产的特点，我们将建设柔性制造生产线。通过在设备选型中考虑柔性制造技术，可以灵活应对不同产品规格和生产需求，实现生产线的高度灵活性和适应性。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636"/>
      <w:r>
        <w:rPr>
          <w:rFonts w:ascii="仿宋" w:eastAsia="仿宋" w:hAnsi="仿宋" w:cs="仿宋" w:hint="eastAsia"/>
          <w:sz w:val="28"/>
          <w:lang w:eastAsia="zh-CN"/>
        </w:rPr>
        <w:t>二、重组人生长激素项目绩效评估</w:t>
      </w:r>
      <w:bookmarkEnd w:id="6"/>
    </w:p>
    <w:p>
      <w:pPr>
        <w:pStyle w:val="Heading2"/>
        <w:rPr>
          <w:rFonts w:ascii="仿宋" w:eastAsia="仿宋" w:hAnsi="仿宋" w:cs="仿宋" w:hint="eastAsia"/>
          <w:lang w:eastAsia="zh-CN"/>
        </w:rPr>
      </w:pPr>
      <w:bookmarkStart w:id="7" w:name="_Toc2009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生长激素项目中，我们设计了一套全面的绩效评估指标，以确保重组人生长激素项目的可控和成功交付。这些指标跨足重组人生长激素项目目标、成本、进度和质量等多个维度，为我们提供了全面洞察重组人生长激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目标达成率是我们关注的首要指标。我们设定了明确的目标，并通过定期监测和评估，迅速发现并应对潜在的目标偏差。这为重组人生长激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成本绩效是另一个核心关注点。通过实际成本与预算成本的对比分析，我们深入了解成本差异的原因，及时调整资源分配，保持重组人生长激素项目在经济效益方面的合理水平。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重组人生长激素项目进度作为关键的绩效指标之一，得到了精心的关注。我们制定了详细的重组人生长激素项目进度计划，并设立了进度符合度指标，确保实际进度与计划进度保持一致。这使我们能够快速发现和解决潜在的进度问题，保持重组人生长激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组人生长激素项目绩效的不可或缺的一环。我们引入了一系列的质量标准和客户满意度指标，以确保重组人生长激素项目交付的成果在质量上达到或超越预期水平。通过持续监测这些指标，我们努力提升重组人生长激素项目整体质量水平，为重组人生长激素项目的成功交付提供有力保障。通过这些科学且全面的绩效评估，我们能够更好地引导重组人生长激素项目的持续改进，确保重组人生长激素项目目标的顺利达成。</w:t>
      </w:r>
    </w:p>
    <w:p>
      <w:pPr>
        <w:pStyle w:val="Heading2"/>
        <w:ind w:firstLine="560" w:firstLineChars="200"/>
        <w:rPr>
          <w:rFonts w:ascii="仿宋" w:eastAsia="仿宋" w:hAnsi="仿宋" w:cs="仿宋" w:hint="eastAsia"/>
          <w:sz w:val="28"/>
          <w:lang w:eastAsia="zh-CN"/>
        </w:rPr>
      </w:pPr>
      <w:bookmarkStart w:id="8" w:name="_Toc762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绩效评估是重组人生长激素项目中的关键环节，为确保重组人生长激素项目达到预期目标，我们采用了多层次、多维度的绩效评估方法。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组人生长激素项目的战略目标对齐，确保每个决策和行动都与重组人生长激素项目整体目标保持一致。团队会定期召开战略对齐会议，审视当前工作与重组人生长激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组人生长激素项目进度、质量、成本和风险等方面。这些指标通过数据收集和分析，为重组人生长激素项目管理团队提供了客观的评估依据。例如，我们通过重组人生长激素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组人生长激素项目内部，还考虑了重组人生长激素项目对外部环境的影响。我们定期进行干系人满意度调查，以了解各利益相关方对重组人生长激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这种多层次、多角度的绩效评估方法，使得我们能够全面了解重组人生长激素项目的运行状态，及时做出调整，确保重组人生长激素项目在不断变化的环境中保持稳健前行。</w:t>
      </w:r>
    </w:p>
    <w:p>
      <w:pPr>
        <w:pStyle w:val="Heading2"/>
        <w:ind w:firstLine="560" w:firstLineChars="200"/>
        <w:rPr>
          <w:rFonts w:ascii="仿宋" w:eastAsia="仿宋" w:hAnsi="仿宋" w:cs="仿宋" w:hint="eastAsia"/>
          <w:sz w:val="28"/>
          <w:lang w:eastAsia="zh-CN"/>
        </w:rPr>
      </w:pPr>
      <w:bookmarkStart w:id="9" w:name="_Toc2889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为了确保重组人生长激素项目的有效管理和不断优化，我们采用了精心设计的绩效评估周期。这个周期旨在实现灵活、实时和全面的评估，以适应重组人生长激素项目执行中的各种挑战。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组人生长激素项目的不同需求，分为短期、中期和长期。短期评估关注每个迭代或工作周期，以及时发现和解决当前任务中的问题。中期评估涵盖几个迭代，深入了解整体重组人生长激素项目的趋势和性能。长期评估则着眼于整个重组人生长激素项目阶段，确保重组人生长激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组人生长激素项目管理工具和协作平台，团队成员能够随时更新和分享重组人生长激素项目数据。这种实时性的反馈机制使我们能够及时察觉潜在问题，快速调整，保持重组人生长激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组人生长激素项目的决策制定密不可分。每个周期的重组人生长激素项目回顾会议成为集体总结经验、识别问题深层次原因并找到创新解决方案的平台。这种定期的反思与调整机制使重组人生长激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26"/>
      <w:r>
        <w:rPr>
          <w:rFonts w:ascii="仿宋" w:eastAsia="仿宋" w:hAnsi="仿宋" w:cs="仿宋" w:hint="eastAsia"/>
          <w:sz w:val="28"/>
          <w:lang w:eastAsia="zh-CN"/>
        </w:rPr>
        <w:t>三、重组人生长激素项目可持续发展</w:t>
      </w:r>
      <w:bookmarkEnd w:id="10"/>
    </w:p>
    <w:p>
      <w:pPr>
        <w:pStyle w:val="Heading2"/>
        <w:rPr>
          <w:rFonts w:ascii="仿宋" w:eastAsia="仿宋" w:hAnsi="仿宋" w:cs="仿宋" w:hint="eastAsia"/>
          <w:lang w:eastAsia="zh-CN"/>
        </w:rPr>
      </w:pPr>
      <w:bookmarkStart w:id="11" w:name="_Toc110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生长激素项目中，重组人生长激素项目团队着眼于未来，明确了可持续发展的战略方向。制定的具体可持续发展目标包括降低资源使用、采用环保技术、最大化社会效益等。这一步骤不仅有助于重组人生长激素项目在环保和社会责任方面达到最高标准，也为未来提供了明确的指引，确保重组人生长激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可持续实践的融入重组人生长激素项目管理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组人生长激素项目管理周期。从重组人生长激素项目规划开始，重组人生长激素项目团队就考虑了环境和社会的因素。在执行阶段，重组人生长激素项目团队积极推动绿色技术的应用，优化资源利用。此外，关注员工的社会责任，通过培训和沟通活动提高员工对可持续发展的认知，使他们能够在日常工作中践行可持续实践。这些举措不仅为重组人生长激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567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扎根于重组人生长激素项目的可持续发展理念，我们深信环保与社会责任是重组人生长激素项目成功的关键支柱。在重组人生长激素项目的每一步，我们都致力于通过创新和实践，履行对环境和社会的坚定责任。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团队通过引入先进的环保技术、建立高效的废物处理系统以及推动能源节约措施，积极履行环保责任。定期的环保监测和评估确保重组人生长激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不仅致力于自身可持续发展，还注重对社会的回馈。通过支持社区重组人生长激素项目、参与慈善事业、提供培训机会等方式，重组人生长激素项目积极履行社会责任。与当地社区建立积极互动，关注员工的工作与生活平衡，以及员工的身心健康，是重组人生长激素项目在社会责任层面的关键举措。这样的实践不仅增强了重组人生长激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0404"/>
      <w:r>
        <w:rPr>
          <w:rFonts w:ascii="仿宋" w:eastAsia="仿宋" w:hAnsi="仿宋" w:cs="仿宋" w:hint="eastAsia"/>
          <w:sz w:val="28"/>
          <w:lang w:eastAsia="zh-CN"/>
        </w:rPr>
        <w:t>四、重组人生长激素项目概论</w:t>
      </w:r>
      <w:bookmarkEnd w:id="13"/>
    </w:p>
    <w:p>
      <w:pPr>
        <w:pStyle w:val="Heading2"/>
        <w:rPr>
          <w:rFonts w:ascii="仿宋" w:eastAsia="仿宋" w:hAnsi="仿宋" w:cs="仿宋" w:hint="eastAsia"/>
          <w:lang w:eastAsia="zh-CN"/>
        </w:rPr>
      </w:pPr>
      <w:bookmarkStart w:id="14" w:name="_Toc11676"/>
      <w:r>
        <w:rPr>
          <w:rFonts w:ascii="仿宋" w:eastAsia="仿宋" w:hAnsi="仿宋" w:cs="仿宋" w:hint="eastAsia"/>
          <w:lang w:eastAsia="zh-CN"/>
        </w:rPr>
        <w:t>(一)、重组人生长激素项目概况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起源追溯至对市场的深入洞察。市场的不断演变与变革为重组人生长激素项目提供了难得的机遇。当前市场存在的需求缺口和变革的大环境共同构成了重组人生长激素项目的背景。这个重组人生长激素项目旨在充分利用市场机遇，填补行业中尚未满足的需求，为客户提供全新的解决方案。市场的变革和需求的增长使得这个重组人生长激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重组人生长激素项目名称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正式命名为重组人生长激素。这个名称不仅仅是一个标识，更代表了重组人生长激素项目的核心理念和愿景。它蕴含着重组人生长激素项目所要解决问题的关键字，具有强烈的表达和辨识度，为重组人生长激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重组人生长激素项目目标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核心目标是提供一种全新、高效的解决方案，满足客户日益增长的需求。重组人生长激素项目追求的不仅仅是满足市场需求，更是在市场中获得卓越的竞争优势。通过不断提升产品或服务的质量和创新水平，重组人生长激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重组人生长激素项目范围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全面涵盖了产品研发、制造、市场推广和售后服务，确保从产品设计到最终用户体验的全方位关注。这一全面的重组人生长激素项目范围是为了确保重组人生长激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重组人生长激素项目时间表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重组人生长激素项目计划在未来18个月内完成，包括研发、测试、市场试点和正式推出等不同阶段。这个时间表的合理设计是为了确保重组人生长激素项目各个阶段的顺利推进，以便按时交付高质量的成果。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重组人生长激素项目预算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总预算估算为XX百万美元，主要分配在研发、市场推广、人员培训和运营等方面。这一充足的预算为重组人生长激素项目提供了充足的资源，确保重组人生长激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重组人生长激素项目风险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可能面临的风险包括市场接受度低、技术难题、竞争激烈等。重组人生长激素项目团队已经制定了相应的风险应对计划，通过前瞻性的风险管理，确保重组人生长激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重组人生长激素项目团队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重组人生长激素项目汇聚了一支经验丰富、多领域专业素养的核心团队，确保重组人生长激素项目在各个方面都能拥有高水平的执行力。团队的协同作战是重组人生长激素项目成功的关键因素之一。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重组人生长激素项目背景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重组人生长激素项目的背景根植于市场对更高效、创新产品的渴望，同时也受到科技发展对行业格局的深刻改变的影响。这为重组人生长激素项目提供了广阔的发展空间和市场需求。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重组人生长激素项目现状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截至目前，重组人生长激素项目已完成市场调研和技术验证，取得了初步的成功。这为重组人生长激素项目在未来的发展奠定了坚实的基础，为更远大的目标打下了坚实的基石。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7549"/>
      <w:r>
        <w:rPr>
          <w:rFonts w:ascii="仿宋" w:eastAsia="仿宋" w:hAnsi="仿宋" w:cs="仿宋" w:hint="eastAsia"/>
          <w:sz w:val="28"/>
          <w:lang w:eastAsia="zh-CN"/>
        </w:rPr>
        <w:t>(二)、重组人生长激素项目目标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keyword》重组人生长激素项目首要业务目标是在市场中占据有利地位，实现产品/服务的成功推广和销售。通过不断提升产品质量、创新性，重组人生长激素项目追求成为行业中的领导者，赢得更多客户的青睐。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在科技迅速发展的时代，重组人生长激素项目着眼于技术创新。通过持续的研发和技术升级，重组人生长激素项目旨在推出更具创新性的产品或服务，以满足市场对新鲜、先进解决方案的需求。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为了建立可持续的客户关系，重组人生长激素项目设定了客户满意度目标。通过提供卓越的产品质量和优质的客户服务，重组人生长激素项目追求赢得客户的信任和忠诚度，确保他们的满意度达到行业领先水平。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重组人生长激素项目注重社会责任和可持续发展。通过实施环保、社会责任重组人生长激素项目，重组人生长激素项目致力于在经济发展的同时保护环境，促进社会公平，实现可持续经营。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重组人生长激素项目的团队是实现目标的核心驱动力。因此，重组人生长激素项目设定了团队发展目标，包括提升团队成员的专业技能、培养领导力，以及搭建协同高效的团队工作氛围。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94"/>
      <w:r>
        <w:rPr>
          <w:rFonts w:ascii="仿宋" w:eastAsia="仿宋" w:hAnsi="仿宋" w:cs="仿宋" w:hint="eastAsia"/>
          <w:sz w:val="28"/>
          <w:lang w:eastAsia="zh-CN"/>
        </w:rPr>
        <w:t>(三)、重组人生长激素项目提出的理由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重组人生长激素项目提出的理由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提出源于对市场机遇的深刻洞察。当前市场中存在的需求缺口和行业发展趋势表明，有巨大的商业机会等待被开发。通过准确捕捉市场机遇，重组人生长激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理念基于对技术创新的信仰。通过持续的研发和技术投入，重组人生长激素项目有望推出更具创新性的产品或服务。在科技飞速发展的当下，重组人生长激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提出是为了增强企业的行业竞争力。通过提升产品或服务的质量和独特性，重组人生长激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响应了消费者需求的变化。随着社会和科技的不断发展，消费者对产品和服务的需求也在发生变化。通过深入了解并及时回应消费者的新需求，重组人生长激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提出是企业战略发展规划的一部分。在面对日益激烈的市场竞争和不断变化的商业环境中，重组人生长激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提出不仅仅是基于商业考量，还注重社会责任。通过推出环保、社会责任等方面的重组人生长激素项目，重组人生长激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https://d.book118.com/207040031062006045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CA4B75"/>
    <w:rsid w:val="61CA4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4003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2024-02-21T07:54:00Z</dcterms:created>
  <dcterms:modified xsi:type="dcterms:W3CDTF">2024-02-21T07:55:01Z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8F12C8D1FE3B431DA4FCB36AE39712FD_11</vt:lpwstr>
  </property>
  <property fmtid="{D5CDD505-2E9C-101B-9397-08002B2CF9AE}" pid="3" name="KSOProductBuildVer">
    <vt:lpwstr>2052-12.1.0.16250</vt:lpwstr>
  </property>
</Properties>
</file>