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2018-2023年上海交通职业技术学院高职单招（数学／语文／英语）历年常考试题库含答案解析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《苦恼》中，人与马的对比体现在（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A.人像“幽灵”，马像“蜜糖饼”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B.姚纳挨“脖儿拐”，马挨鞭子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C.姚纳死了儿子，马死了崽儿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D.没有人听姚纳诉说，马却听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战国后期产生的一种新诗体是（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A.《诗经》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B.乐府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C.《楚辞》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D.五言诗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《米龙老爹》的故事背景是（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A.1848年革命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B.1870年的普法战争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C.1914年第一次世界大战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D.1830年七月革命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司马迁用“桃李不言，下自成蹊”赞美（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A.冯谖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B.孟尝君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C.李广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D.程不识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“人有悲欢离合，月有阴晴圆缺”这两句诗出自（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A.李煜《虞美人》（春花秋月何时了）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B.柳永《八声甘州》（对潇潇暮雨洒江天）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C.苏轼《水调歌头》（明月几时有）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D.李清照《声声慢》（寻寻觅觅）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《苦恼》中，人与马的对比体现在（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A.人像“幽灵”，马像“蜜糖饼”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B.姚纳挨“脖儿拐”，马挨鞭子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C.姚纳死了儿子，马死了崽儿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D.没有人听姚纳诉说，马却听其诉说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《箱子岩》一文重点描写了大端阳节什么场面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A.狮子舞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B.社戏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C.灯会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D.赛龙舟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8.</w:t>
      </w:r>
      <w:r>
        <w:rPr>
          <w:rFonts w:ascii="黑体" w:eastAsia="黑体" w:hAnsi="黑体" w:cs="Times New Roman"/>
          <w:sz w:val="24"/>
          <w:lang w:val="en-US" w:eastAsia="ja-JP" w:bidi="ar-SA"/>
        </w:rPr>
        <w:t>五四以后，郁达夫是哪个社团的发起人之一（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A.创造社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B.文学研究会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C.新月诗社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D.左联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7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李商隐《无题》中，写对方的诗句是（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A.相见时难别亦难，东风无力百花残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B.春蚕到死丝方尽，蜡炬成灰泪始干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C.晓镜但愁云鬓改，夜吟应觉月光寒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D.蓬山此去多无路，青鸟殷勤为探看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“知识就是力量”这句名言是出自（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A.富兰克林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C.拉封丹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D.伏尔泰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下列各组句子中，加点字意思相同的一组是（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2705384" cy="2105246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05384" cy="2105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下列关于《礼记·大同》的表述，不正确的一项是（）。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A.论述了“大同”与“小康”的不同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B.为增强说理气势，多处使用夸张、比喻等修辞手法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C.间接反映了对现实的不满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D.表达了孔子对原始共产主义社会的向往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巴金的散文集有（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A.《华盖集》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B.《龙·虎·狗》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C.《朝花夕拾》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D.《闲书》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https://d.book118.com/207046054156006044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1.png" /><Relationship Id="rId9" Type="http://schemas.openxmlformats.org/officeDocument/2006/relationships/hyperlink" Target="https://d.book118.com/207046054156006044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