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7"/>
        </w:rPr>
      </w:pPr>
    </w:p>
    <w:p>
      <w:pPr>
        <w:pStyle w:val="Title"/>
      </w:pPr>
      <w:r>
        <w:rPr>
          <w:w w:val="105"/>
        </w:rPr>
        <w:t>塔吊常见问题预防控制手册</w:t>
      </w:r>
    </w:p>
    <w:p>
      <w:pPr>
        <w:spacing w:after="0"/>
        <w:sectPr>
          <w:type w:val="continuous"/>
          <w:pgSz w:w="11910" w:h="16840"/>
          <w:pgMar w:top="1580" w:right="1459" w:bottom="280" w:left="1520" w:header="708" w:footer="708"/>
          <w:cols w:space="708"/>
        </w:sectPr>
      </w:pPr>
    </w:p>
    <w:p>
      <w:pPr>
        <w:tabs>
          <w:tab w:val="left" w:pos="1120"/>
        </w:tabs>
        <w:spacing w:before="75"/>
        <w:ind w:left="0" w:right="60" w:firstLine="0"/>
        <w:jc w:val="center"/>
        <w:rPr>
          <w:b/>
          <w:sz w:val="32"/>
        </w:rPr>
      </w:pPr>
      <w:r>
        <w:rPr>
          <w:b/>
          <w:sz w:val="32"/>
        </w:rPr>
        <w:t>目</w:t>
        <w:tab/>
        <w:t>录</w:t>
      </w:r>
    </w:p>
    <w:sdt>
      <w:sdtPr>
        <w:id w:val="1862728104"/>
        <w:docPartObj>
          <w:docPartGallery w:val="Table of Contents"/>
          <w:docPartUnique/>
        </w:docPartObj>
      </w:sdtPr>
      <w:sdtContent>
        <w:p>
          <w:pPr>
            <w:pStyle w:val="TOC1"/>
            <w:tabs>
              <w:tab w:val="left" w:leader="dot" w:pos="8164"/>
            </w:tabs>
            <w:rPr>
              <w:rFonts w:ascii="Times New Roman" w:eastAsia="Times New Roman"/>
            </w:rPr>
          </w:pPr>
          <w:hyperlink w:anchor="_bookmark0" w:history="1">
            <w:r>
              <w:rPr>
                <w:rFonts w:ascii="Times New Roman" w:eastAsia="Times New Roman"/>
              </w:rPr>
              <w:t>1</w:t>
            </w:r>
            <w:r>
              <w:t>、塔式起重机钢结构构组成</w:t>
              <w:tab/>
            </w:r>
            <w:r>
              <w:rPr>
                <w:rFonts w:ascii="Times New Roman" w:eastAsia="Times New Roman"/>
              </w:rPr>
              <w:t>1</w:t>
            </w:r>
          </w:hyperlink>
        </w:p>
        <w:p>
          <w:pPr>
            <w:pStyle w:val="TOC1"/>
            <w:tabs>
              <w:tab w:val="left" w:leader="dot" w:pos="8164"/>
            </w:tabs>
            <w:spacing w:before="266"/>
            <w:rPr>
              <w:rFonts w:ascii="Times New Roman" w:eastAsia="Times New Roman"/>
            </w:rPr>
          </w:pPr>
          <w:hyperlink w:anchor="_bookmark0" w:history="1">
            <w:r>
              <w:rPr>
                <w:rFonts w:ascii="Times New Roman" w:eastAsia="Times New Roman"/>
              </w:rPr>
              <w:t>2</w:t>
            </w:r>
            <w:r>
              <w:t>、</w:t>
            </w:r>
            <w:r>
              <w:rPr>
                <w:spacing w:val="-7"/>
              </w:rPr>
              <w:t xml:space="preserve"> </w:t>
            </w:r>
            <w:r>
              <w:t>建筑工地常用型号的塔式起重机的使用年限规定</w:t>
              <w:tab/>
            </w:r>
            <w:r>
              <w:rPr>
                <w:rFonts w:ascii="Times New Roman" w:eastAsia="Times New Roman"/>
              </w:rPr>
              <w:t>1</w:t>
            </w:r>
          </w:hyperlink>
        </w:p>
        <w:p>
          <w:pPr>
            <w:pStyle w:val="TOC1"/>
            <w:tabs>
              <w:tab w:val="left" w:pos="700"/>
              <w:tab w:val="left" w:leader="dot" w:pos="8164"/>
            </w:tabs>
            <w:spacing w:before="265"/>
            <w:rPr>
              <w:rFonts w:ascii="Times New Roman" w:eastAsia="Times New Roman"/>
            </w:rPr>
          </w:pPr>
          <w:hyperlink w:anchor="_bookmark1" w:history="1">
            <w:r>
              <w:rPr>
                <w:rFonts w:ascii="Times New Roman" w:eastAsia="Times New Roman"/>
              </w:rPr>
              <w:t>3</w:t>
            </w:r>
            <w:r>
              <w:t>、</w:t>
              <w:tab/>
              <w:t>塔式起重机常见问题及原因分析</w:t>
              <w:tab/>
            </w:r>
            <w:r>
              <w:rPr>
                <w:rFonts w:ascii="Times New Roman" w:eastAsia="Times New Roman"/>
              </w:rPr>
              <w:t>2</w:t>
            </w:r>
          </w:hyperlink>
        </w:p>
        <w:p>
          <w:pPr>
            <w:pStyle w:val="TOC2"/>
            <w:numPr>
              <w:ilvl w:val="1"/>
              <w:numId w:val="4"/>
            </w:numPr>
            <w:tabs>
              <w:tab w:val="left" w:pos="1328"/>
              <w:tab w:val="left" w:pos="1329"/>
              <w:tab w:val="left" w:leader="dot" w:pos="8444"/>
            </w:tabs>
            <w:spacing w:before="265" w:after="0" w:line="240" w:lineRule="auto"/>
            <w:ind w:left="1328" w:right="0" w:hanging="629"/>
            <w:jc w:val="left"/>
            <w:rPr>
              <w:rFonts w:ascii="Times New Roman" w:eastAsia="Times New Roman"/>
            </w:rPr>
          </w:pPr>
          <w:hyperlink w:anchor="_bookmark1" w:history="1">
            <w:r>
              <w:t>基础部分</w:t>
              <w:tab/>
            </w:r>
            <w:r>
              <w:rPr>
                <w:rFonts w:ascii="Times New Roman" w:eastAsia="Times New Roman"/>
              </w:rPr>
              <w:t>2</w:t>
            </w:r>
          </w:hyperlink>
        </w:p>
        <w:p>
          <w:pPr>
            <w:pStyle w:val="TOC2"/>
            <w:numPr>
              <w:ilvl w:val="1"/>
              <w:numId w:val="4"/>
            </w:numPr>
            <w:tabs>
              <w:tab w:val="left" w:pos="1328"/>
              <w:tab w:val="left" w:pos="1329"/>
              <w:tab w:val="left" w:leader="dot" w:pos="8444"/>
            </w:tabs>
            <w:spacing w:before="265" w:after="0" w:line="240" w:lineRule="auto"/>
            <w:ind w:left="1328" w:right="0" w:hanging="629"/>
            <w:jc w:val="left"/>
            <w:rPr>
              <w:rFonts w:ascii="Times New Roman" w:eastAsia="Times New Roman"/>
            </w:rPr>
          </w:pPr>
          <w:hyperlink w:anchor="_bookmark2" w:history="1">
            <w:r>
              <w:t>塔身部分</w:t>
              <w:tab/>
            </w:r>
            <w:r>
              <w:rPr>
                <w:rFonts w:ascii="Times New Roman" w:eastAsia="Times New Roman"/>
              </w:rPr>
              <w:t>5</w:t>
            </w:r>
          </w:hyperlink>
        </w:p>
        <w:p>
          <w:pPr>
            <w:pStyle w:val="TOC2"/>
            <w:numPr>
              <w:ilvl w:val="1"/>
              <w:numId w:val="4"/>
            </w:numPr>
            <w:tabs>
              <w:tab w:val="left" w:pos="1328"/>
              <w:tab w:val="left" w:pos="1329"/>
              <w:tab w:val="left" w:leader="dot" w:pos="8444"/>
            </w:tabs>
            <w:spacing w:before="266" w:after="0" w:line="240" w:lineRule="auto"/>
            <w:ind w:left="1328" w:right="0" w:hanging="629"/>
            <w:jc w:val="left"/>
            <w:rPr>
              <w:rFonts w:ascii="Times New Roman" w:eastAsia="Times New Roman"/>
            </w:rPr>
          </w:pPr>
          <w:hyperlink w:anchor="_bookmark3" w:history="1">
            <w:r>
              <w:t>顶升装置部分</w:t>
              <w:tab/>
            </w:r>
            <w:r>
              <w:rPr>
                <w:rFonts w:ascii="Times New Roman" w:eastAsia="Times New Roman"/>
              </w:rPr>
              <w:t>7</w:t>
            </w:r>
          </w:hyperlink>
        </w:p>
        <w:p>
          <w:pPr>
            <w:pStyle w:val="TOC2"/>
            <w:numPr>
              <w:ilvl w:val="1"/>
              <w:numId w:val="4"/>
            </w:numPr>
            <w:tabs>
              <w:tab w:val="left" w:pos="1328"/>
              <w:tab w:val="left" w:pos="1329"/>
              <w:tab w:val="left" w:leader="dot" w:pos="8305"/>
            </w:tabs>
            <w:spacing w:before="265" w:after="0" w:line="240" w:lineRule="auto"/>
            <w:ind w:left="1328" w:right="0" w:hanging="629"/>
            <w:jc w:val="left"/>
            <w:rPr>
              <w:rFonts w:ascii="Times New Roman" w:eastAsia="Times New Roman"/>
            </w:rPr>
          </w:pPr>
          <w:hyperlink w:anchor="_bookmark4" w:history="1">
            <w:r>
              <w:t>回转机构与驾驶室部分</w:t>
              <w:tab/>
            </w:r>
            <w:r>
              <w:rPr>
                <w:rFonts w:ascii="Times New Roman" w:eastAsia="Times New Roman"/>
              </w:rPr>
              <w:t>12</w:t>
            </w:r>
          </w:hyperlink>
        </w:p>
        <w:p>
          <w:pPr>
            <w:pStyle w:val="TOC2"/>
            <w:numPr>
              <w:ilvl w:val="1"/>
              <w:numId w:val="4"/>
            </w:numPr>
            <w:tabs>
              <w:tab w:val="left" w:pos="1328"/>
              <w:tab w:val="left" w:pos="1329"/>
              <w:tab w:val="left" w:leader="dot" w:pos="8305"/>
            </w:tabs>
            <w:spacing w:before="265" w:after="0" w:line="240" w:lineRule="auto"/>
            <w:ind w:left="1328" w:right="0" w:hanging="629"/>
            <w:jc w:val="left"/>
            <w:rPr>
              <w:rFonts w:ascii="Times New Roman" w:eastAsia="Times New Roman"/>
            </w:rPr>
          </w:pPr>
          <w:hyperlink w:anchor="_bookmark5" w:history="1">
            <w:r>
              <w:t>平衡臂配电部分</w:t>
              <w:tab/>
            </w:r>
            <w:r>
              <w:rPr>
                <w:rFonts w:ascii="Times New Roman" w:eastAsia="Times New Roman"/>
              </w:rPr>
              <w:t>14</w:t>
            </w:r>
          </w:hyperlink>
        </w:p>
        <w:p>
          <w:pPr>
            <w:pStyle w:val="TOC2"/>
            <w:numPr>
              <w:ilvl w:val="1"/>
              <w:numId w:val="4"/>
            </w:numPr>
            <w:tabs>
              <w:tab w:val="left" w:pos="1328"/>
              <w:tab w:val="left" w:pos="1329"/>
              <w:tab w:val="left" w:leader="dot" w:pos="8305"/>
            </w:tabs>
            <w:spacing w:before="265" w:after="0" w:line="240" w:lineRule="auto"/>
            <w:ind w:left="1328" w:right="0" w:hanging="629"/>
            <w:jc w:val="left"/>
            <w:rPr>
              <w:rFonts w:ascii="Times New Roman" w:eastAsia="Times New Roman"/>
            </w:rPr>
          </w:pPr>
          <w:hyperlink w:anchor="_bookmark6" w:history="1">
            <w:r>
              <w:t>起升机构与配重部分</w:t>
              <w:tab/>
            </w:r>
            <w:r>
              <w:rPr>
                <w:rFonts w:ascii="Times New Roman" w:eastAsia="Times New Roman"/>
              </w:rPr>
              <w:t>15</w:t>
            </w:r>
          </w:hyperlink>
        </w:p>
        <w:p>
          <w:pPr>
            <w:pStyle w:val="TOC2"/>
            <w:numPr>
              <w:ilvl w:val="1"/>
              <w:numId w:val="4"/>
            </w:numPr>
            <w:tabs>
              <w:tab w:val="left" w:pos="1328"/>
              <w:tab w:val="left" w:pos="1329"/>
              <w:tab w:val="left" w:leader="dot" w:pos="8305"/>
            </w:tabs>
            <w:spacing w:before="266" w:after="0" w:line="240" w:lineRule="auto"/>
            <w:ind w:left="1328" w:right="0" w:hanging="629"/>
            <w:jc w:val="left"/>
            <w:rPr>
              <w:rFonts w:ascii="Times New Roman" w:eastAsia="Times New Roman"/>
            </w:rPr>
          </w:pPr>
          <w:hyperlink w:anchor="_bookmark7" w:history="1">
            <w:r>
              <w:t>各个限位部分</w:t>
              <w:tab/>
            </w:r>
            <w:r>
              <w:rPr>
                <w:rFonts w:ascii="Times New Roman" w:eastAsia="Times New Roman"/>
              </w:rPr>
              <w:t>18</w:t>
            </w:r>
          </w:hyperlink>
        </w:p>
        <w:p>
          <w:pPr>
            <w:pStyle w:val="TOC2"/>
            <w:numPr>
              <w:ilvl w:val="1"/>
              <w:numId w:val="4"/>
            </w:numPr>
            <w:tabs>
              <w:tab w:val="left" w:pos="1328"/>
              <w:tab w:val="left" w:pos="1329"/>
              <w:tab w:val="left" w:leader="dot" w:pos="8305"/>
            </w:tabs>
            <w:spacing w:before="265" w:after="0" w:line="240" w:lineRule="auto"/>
            <w:ind w:left="1328" w:right="0" w:hanging="629"/>
            <w:jc w:val="left"/>
            <w:rPr>
              <w:rFonts w:ascii="Times New Roman" w:eastAsia="Times New Roman"/>
            </w:rPr>
          </w:pPr>
          <w:hyperlink w:anchor="_bookmark8" w:history="1">
            <w:r>
              <w:t>各个保险部分</w:t>
              <w:tab/>
            </w:r>
            <w:r>
              <w:rPr>
                <w:rFonts w:ascii="Times New Roman" w:eastAsia="Times New Roman"/>
              </w:rPr>
              <w:t>23</w:t>
            </w:r>
          </w:hyperlink>
        </w:p>
        <w:p>
          <w:pPr>
            <w:pStyle w:val="TOC2"/>
            <w:numPr>
              <w:ilvl w:val="1"/>
              <w:numId w:val="4"/>
            </w:numPr>
            <w:tabs>
              <w:tab w:val="left" w:pos="1328"/>
              <w:tab w:val="left" w:pos="1329"/>
              <w:tab w:val="left" w:leader="dot" w:pos="8305"/>
            </w:tabs>
            <w:spacing w:before="265" w:after="0" w:line="240" w:lineRule="auto"/>
            <w:ind w:left="1328" w:right="0" w:hanging="629"/>
            <w:jc w:val="left"/>
            <w:rPr>
              <w:rFonts w:ascii="Times New Roman" w:eastAsia="Times New Roman"/>
            </w:rPr>
          </w:pPr>
          <w:hyperlink w:anchor="_bookmark9" w:history="1">
            <w:r>
              <w:t>钢丝绳部分</w:t>
              <w:tab/>
            </w:r>
            <w:r>
              <w:rPr>
                <w:rFonts w:ascii="Times New Roman" w:eastAsia="Times New Roman"/>
              </w:rPr>
              <w:t>25</w:t>
            </w:r>
          </w:hyperlink>
        </w:p>
        <w:p>
          <w:pPr>
            <w:pStyle w:val="TOC2"/>
            <w:numPr>
              <w:ilvl w:val="1"/>
              <w:numId w:val="4"/>
            </w:numPr>
            <w:tabs>
              <w:tab w:val="left" w:pos="1470"/>
              <w:tab w:val="left" w:pos="1471"/>
              <w:tab w:val="left" w:leader="dot" w:pos="8305"/>
            </w:tabs>
            <w:spacing w:before="266" w:after="0" w:line="240" w:lineRule="auto"/>
            <w:ind w:left="1470" w:right="0" w:hanging="771"/>
            <w:jc w:val="left"/>
            <w:rPr>
              <w:rFonts w:ascii="Times New Roman" w:eastAsia="Times New Roman"/>
            </w:rPr>
          </w:pPr>
          <w:hyperlink w:anchor="_bookmark10" w:history="1">
            <w:r>
              <w:t>结构联接部分</w:t>
              <w:tab/>
            </w:r>
            <w:r>
              <w:rPr>
                <w:rFonts w:ascii="Times New Roman" w:eastAsia="Times New Roman"/>
              </w:rPr>
              <w:t>28</w:t>
            </w:r>
          </w:hyperlink>
        </w:p>
        <w:p>
          <w:pPr>
            <w:pStyle w:val="TOC2"/>
            <w:numPr>
              <w:ilvl w:val="1"/>
              <w:numId w:val="4"/>
            </w:numPr>
            <w:tabs>
              <w:tab w:val="left" w:pos="1470"/>
              <w:tab w:val="left" w:pos="1471"/>
              <w:tab w:val="left" w:leader="dot" w:pos="8305"/>
            </w:tabs>
            <w:spacing w:before="265" w:after="0" w:line="240" w:lineRule="auto"/>
            <w:ind w:left="1470" w:right="0" w:hanging="771"/>
            <w:jc w:val="left"/>
            <w:rPr>
              <w:rFonts w:ascii="Times New Roman" w:eastAsia="Times New Roman"/>
            </w:rPr>
          </w:pPr>
          <w:hyperlink w:anchor="_bookmark11" w:history="1">
            <w:r>
              <w:t>附墙部分</w:t>
              <w:tab/>
            </w:r>
            <w:r>
              <w:rPr>
                <w:rFonts w:ascii="Times New Roman" w:eastAsia="Times New Roman"/>
              </w:rPr>
              <w:t>33</w:t>
            </w:r>
          </w:hyperlink>
        </w:p>
        <w:p>
          <w:pPr>
            <w:pStyle w:val="TOC2"/>
            <w:numPr>
              <w:ilvl w:val="1"/>
              <w:numId w:val="4"/>
            </w:numPr>
            <w:tabs>
              <w:tab w:val="left" w:pos="1470"/>
              <w:tab w:val="left" w:pos="1471"/>
              <w:tab w:val="left" w:leader="dot" w:pos="8305"/>
            </w:tabs>
            <w:spacing w:before="265" w:after="0" w:line="240" w:lineRule="auto"/>
            <w:ind w:left="1470" w:right="0" w:hanging="771"/>
            <w:jc w:val="left"/>
            <w:rPr>
              <w:rFonts w:ascii="Times New Roman" w:eastAsia="Times New Roman"/>
            </w:rPr>
          </w:pPr>
          <w:hyperlink w:anchor="_bookmark12" w:history="1">
            <w:r>
              <w:t>吊钩与通道</w:t>
              <w:tab/>
            </w:r>
            <w:r>
              <w:rPr>
                <w:rFonts w:ascii="Times New Roman" w:eastAsia="Times New Roman"/>
              </w:rPr>
              <w:t>36</w:t>
            </w:r>
          </w:hyperlink>
        </w:p>
        <w:p>
          <w:pPr>
            <w:pStyle w:val="TOC2"/>
            <w:numPr>
              <w:ilvl w:val="1"/>
              <w:numId w:val="4"/>
            </w:numPr>
            <w:tabs>
              <w:tab w:val="left" w:pos="1470"/>
              <w:tab w:val="left" w:pos="1471"/>
              <w:tab w:val="left" w:leader="dot" w:pos="8305"/>
            </w:tabs>
            <w:spacing w:before="265" w:after="0" w:line="240" w:lineRule="auto"/>
            <w:ind w:left="1470" w:right="0" w:hanging="771"/>
            <w:jc w:val="left"/>
            <w:rPr>
              <w:rFonts w:ascii="Times New Roman" w:eastAsia="Times New Roman"/>
            </w:rPr>
          </w:pPr>
          <w:hyperlink w:anchor="_bookmark12" w:history="1">
            <w:r>
              <w:t>专用电箱与电缆</w:t>
              <w:tab/>
            </w:r>
            <w:r>
              <w:rPr>
                <w:rFonts w:ascii="Times New Roman" w:eastAsia="Times New Roman"/>
              </w:rPr>
              <w:t>36</w:t>
            </w:r>
          </w:hyperlink>
        </w:p>
      </w:sdtContent>
    </w:sdt>
    <w:p>
      <w:pPr>
        <w:spacing w:after="0" w:line="240" w:lineRule="auto"/>
        <w:jc w:val="left"/>
        <w:rPr>
          <w:rFonts w:ascii="Times New Roman" w:eastAsia="Times New Roman"/>
        </w:rPr>
        <w:sectPr>
          <w:headerReference w:type="default" r:id="rId4"/>
          <w:pgSz w:w="11910" w:h="16840"/>
          <w:pgMar w:top="1460" w:right="1460" w:bottom="280" w:left="1520" w:header="882" w:footer="0"/>
          <w:pgNumType w:start="2"/>
          <w:cols w:space="708"/>
        </w:sectPr>
      </w:pPr>
    </w:p>
    <w:p>
      <w:pPr>
        <w:pStyle w:val="Heading1"/>
        <w:spacing w:before="110"/>
        <w:ind w:left="280" w:firstLine="0"/>
      </w:pPr>
      <w:bookmarkStart w:id="0" w:name="_bookmark0"/>
      <w:bookmarkEnd w:id="0"/>
      <w:r>
        <w:rPr>
          <w:rFonts w:ascii="Times New Roman" w:eastAsia="Times New Roman"/>
        </w:rPr>
        <w:t>1</w:t>
      </w:r>
      <w:r>
        <w:t>、塔式起重机钢结构构组成</w:t>
      </w:r>
    </w:p>
    <w:p>
      <w:pPr>
        <w:pStyle w:val="BodyText"/>
        <w:rPr>
          <w:b/>
          <w:sz w:val="20"/>
        </w:rPr>
      </w:pPr>
    </w:p>
    <w:p>
      <w:pPr>
        <w:pStyle w:val="BodyText"/>
        <w:spacing w:before="1"/>
        <w:rPr>
          <w:b/>
          <w:sz w:val="20"/>
        </w:rPr>
      </w:pPr>
      <w:r>
        <w:drawing>
          <wp:anchor distT="0" distB="0" distL="0" distR="0" simplePos="0" relativeHeight="251658240" behindDoc="0" locked="0" layoutInCell="1" allowOverlap="1">
            <wp:simplePos x="0" y="0"/>
            <wp:positionH relativeFrom="page">
              <wp:posOffset>1143000</wp:posOffset>
            </wp:positionH>
            <wp:positionV relativeFrom="paragraph">
              <wp:posOffset>188595</wp:posOffset>
            </wp:positionV>
            <wp:extent cx="5237449" cy="3231832"/>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5237449" cy="3231832"/>
                    </a:xfrm>
                    <a:prstGeom prst="rect">
                      <a:avLst/>
                    </a:prstGeom>
                  </pic:spPr>
                </pic:pic>
              </a:graphicData>
            </a:graphic>
          </wp:anchor>
        </w:drawing>
      </w:r>
    </w:p>
    <w:p>
      <w:pPr>
        <w:pStyle w:val="BodyText"/>
        <w:rPr>
          <w:b/>
          <w:sz w:val="30"/>
        </w:rPr>
      </w:pPr>
    </w:p>
    <w:p>
      <w:pPr>
        <w:pStyle w:val="BodyText"/>
        <w:rPr>
          <w:b/>
          <w:sz w:val="30"/>
        </w:rPr>
      </w:pPr>
    </w:p>
    <w:p>
      <w:pPr>
        <w:pStyle w:val="BodyText"/>
        <w:spacing w:before="12"/>
        <w:rPr>
          <w:b/>
          <w:sz w:val="32"/>
        </w:rPr>
      </w:pPr>
    </w:p>
    <w:p>
      <w:pPr>
        <w:pStyle w:val="Heading1"/>
        <w:ind w:left="280" w:firstLine="0"/>
      </w:pPr>
      <w:r>
        <w:rPr>
          <w:rFonts w:ascii="Times New Roman" w:eastAsia="Times New Roman"/>
        </w:rPr>
        <w:t>2</w:t>
      </w:r>
      <w:r>
        <w:t>、 建筑工地常用型号的塔式起重机的使用年限规定</w:t>
      </w:r>
    </w:p>
    <w:p>
      <w:pPr>
        <w:pStyle w:val="BodyText"/>
        <w:rPr>
          <w:b/>
          <w:sz w:val="30"/>
        </w:rPr>
      </w:pPr>
    </w:p>
    <w:p>
      <w:pPr>
        <w:pStyle w:val="BodyText"/>
        <w:spacing w:before="210" w:line="417" w:lineRule="auto"/>
        <w:ind w:left="280" w:right="198" w:firstLine="559"/>
      </w:pPr>
      <w:r>
        <w:rPr>
          <w:spacing w:val="1"/>
          <w:w w:val="100"/>
        </w:rPr>
        <w:t>6</w:t>
      </w:r>
      <w:r>
        <w:rPr>
          <w:spacing w:val="-2"/>
          <w:w w:val="100"/>
        </w:rPr>
        <w:t>30</w:t>
      </w:r>
      <w:r>
        <w:rPr>
          <w:spacing w:val="1"/>
          <w:w w:val="100"/>
        </w:rPr>
        <w:t>k</w:t>
      </w:r>
      <w:r>
        <w:rPr>
          <w:spacing w:val="-2"/>
          <w:w w:val="100"/>
        </w:rPr>
        <w:t>N.</w:t>
      </w:r>
      <w:r>
        <w:rPr>
          <w:w w:val="100"/>
        </w:rPr>
        <w:t>m</w:t>
      </w:r>
      <w:r>
        <w:rPr>
          <w:spacing w:val="-70"/>
        </w:rPr>
        <w:t xml:space="preserve"> </w:t>
      </w:r>
      <w:r>
        <w:rPr>
          <w:spacing w:val="-41"/>
          <w:w w:val="100"/>
        </w:rPr>
        <w:t>以下</w:t>
      </w:r>
      <w:r>
        <w:rPr>
          <w:spacing w:val="-3"/>
          <w:w w:val="100"/>
        </w:rPr>
        <w:t>（</w:t>
      </w:r>
      <w:r>
        <w:rPr>
          <w:spacing w:val="-1"/>
          <w:w w:val="100"/>
        </w:rPr>
        <w:t>不含</w:t>
      </w:r>
      <w:r>
        <w:rPr>
          <w:spacing w:val="-71"/>
        </w:rPr>
        <w:t xml:space="preserve"> </w:t>
      </w:r>
      <w:r>
        <w:rPr>
          <w:spacing w:val="1"/>
          <w:w w:val="100"/>
        </w:rPr>
        <w:t>6</w:t>
      </w:r>
      <w:r>
        <w:rPr>
          <w:spacing w:val="-2"/>
          <w:w w:val="100"/>
        </w:rPr>
        <w:t>30</w:t>
      </w:r>
      <w:r>
        <w:rPr>
          <w:spacing w:val="1"/>
          <w:w w:val="100"/>
        </w:rPr>
        <w:t>k</w:t>
      </w:r>
      <w:r>
        <w:rPr>
          <w:spacing w:val="-2"/>
          <w:w w:val="100"/>
        </w:rPr>
        <w:t>N.m</w:t>
      </w:r>
      <w:r>
        <w:rPr>
          <w:spacing w:val="-142"/>
          <w:w w:val="100"/>
        </w:rPr>
        <w:t>）</w:t>
      </w:r>
      <w:r>
        <w:rPr>
          <w:spacing w:val="-13"/>
          <w:w w:val="100"/>
        </w:rPr>
        <w:t>、出厂年限超过</w:t>
      </w:r>
      <w:r>
        <w:rPr>
          <w:spacing w:val="-71"/>
        </w:rPr>
        <w:t xml:space="preserve"> </w:t>
      </w:r>
      <w:r>
        <w:rPr>
          <w:spacing w:val="1"/>
          <w:w w:val="100"/>
        </w:rPr>
        <w:t>1</w:t>
      </w:r>
      <w:r>
        <w:rPr>
          <w:w w:val="100"/>
        </w:rPr>
        <w:t>0</w:t>
      </w:r>
      <w:r>
        <w:rPr>
          <w:spacing w:val="-72"/>
        </w:rPr>
        <w:t xml:space="preserve"> </w:t>
      </w:r>
      <w:r>
        <w:rPr>
          <w:spacing w:val="-80"/>
          <w:w w:val="100"/>
        </w:rPr>
        <w:t>年</w:t>
      </w:r>
      <w:r>
        <w:rPr>
          <w:spacing w:val="-3"/>
          <w:w w:val="100"/>
        </w:rPr>
        <w:t>（</w:t>
      </w:r>
      <w:r>
        <w:rPr>
          <w:spacing w:val="-1"/>
          <w:w w:val="100"/>
        </w:rPr>
        <w:t>不含</w:t>
      </w:r>
      <w:r>
        <w:rPr>
          <w:spacing w:val="-71"/>
        </w:rPr>
        <w:t xml:space="preserve"> </w:t>
      </w:r>
      <w:r>
        <w:rPr>
          <w:spacing w:val="1"/>
          <w:w w:val="100"/>
        </w:rPr>
        <w:t>1</w:t>
      </w:r>
      <w:r>
        <w:rPr>
          <w:w w:val="100"/>
        </w:rPr>
        <w:t>0</w:t>
      </w:r>
      <w:r>
        <w:rPr>
          <w:spacing w:val="-72"/>
        </w:rPr>
        <w:t xml:space="preserve"> </w:t>
      </w:r>
      <w:r>
        <w:rPr>
          <w:spacing w:val="-3"/>
          <w:w w:val="100"/>
        </w:rPr>
        <w:t>年</w:t>
      </w:r>
      <w:r>
        <w:rPr>
          <w:w w:val="100"/>
        </w:rPr>
        <w:t>）</w:t>
      </w:r>
      <w:r>
        <w:rPr>
          <w:spacing w:val="-15"/>
          <w:w w:val="100"/>
        </w:rPr>
        <w:t>的；</w:t>
      </w:r>
      <w:r>
        <w:rPr>
          <w:spacing w:val="1"/>
          <w:w w:val="100"/>
        </w:rPr>
        <w:t>6</w:t>
      </w:r>
      <w:r>
        <w:rPr>
          <w:spacing w:val="-2"/>
          <w:w w:val="100"/>
        </w:rPr>
        <w:t>30</w:t>
      </w:r>
      <w:r>
        <w:rPr>
          <w:spacing w:val="-1"/>
          <w:w w:val="100"/>
        </w:rPr>
        <w:t>—</w:t>
      </w:r>
      <w:r>
        <w:rPr>
          <w:spacing w:val="1"/>
          <w:w w:val="100"/>
        </w:rPr>
        <w:t>1</w:t>
      </w:r>
      <w:r>
        <w:rPr>
          <w:spacing w:val="-2"/>
          <w:w w:val="100"/>
        </w:rPr>
        <w:t>25</w:t>
      </w:r>
      <w:r>
        <w:rPr>
          <w:spacing w:val="1"/>
          <w:w w:val="100"/>
        </w:rPr>
        <w:t>0</w:t>
      </w:r>
      <w:r>
        <w:rPr>
          <w:spacing w:val="-2"/>
          <w:w w:val="100"/>
        </w:rPr>
        <w:t>kN</w:t>
      </w:r>
      <w:r>
        <w:rPr>
          <w:spacing w:val="1"/>
          <w:w w:val="100"/>
        </w:rPr>
        <w:t>.</w:t>
      </w:r>
      <w:r>
        <w:rPr>
          <w:spacing w:val="-26"/>
          <w:w w:val="100"/>
        </w:rPr>
        <w:t>m</w:t>
      </w:r>
      <w:r>
        <w:rPr>
          <w:spacing w:val="-1"/>
          <w:w w:val="100"/>
        </w:rPr>
        <w:t>（不含</w:t>
      </w:r>
      <w:r>
        <w:rPr>
          <w:spacing w:val="-73"/>
        </w:rPr>
        <w:t xml:space="preserve"> </w:t>
      </w:r>
      <w:r>
        <w:rPr>
          <w:spacing w:val="1"/>
          <w:w w:val="100"/>
        </w:rPr>
        <w:t>1</w:t>
      </w:r>
      <w:r>
        <w:rPr>
          <w:spacing w:val="-2"/>
          <w:w w:val="100"/>
        </w:rPr>
        <w:t>25</w:t>
      </w:r>
      <w:r>
        <w:rPr>
          <w:spacing w:val="1"/>
          <w:w w:val="100"/>
        </w:rPr>
        <w:t>0</w:t>
      </w:r>
      <w:r>
        <w:rPr>
          <w:spacing w:val="-2"/>
          <w:w w:val="100"/>
        </w:rPr>
        <w:t>kN</w:t>
      </w:r>
      <w:r>
        <w:rPr>
          <w:spacing w:val="1"/>
          <w:w w:val="100"/>
        </w:rPr>
        <w:t>.</w:t>
      </w:r>
      <w:r>
        <w:rPr>
          <w:spacing w:val="-2"/>
          <w:w w:val="100"/>
        </w:rPr>
        <w:t>m</w:t>
      </w:r>
      <w:r>
        <w:rPr>
          <w:spacing w:val="-142"/>
          <w:w w:val="100"/>
        </w:rPr>
        <w:t>）</w:t>
      </w:r>
      <w:r>
        <w:rPr>
          <w:spacing w:val="-6"/>
          <w:w w:val="100"/>
        </w:rPr>
        <w:t>、出厂年限超过</w:t>
      </w:r>
      <w:r>
        <w:rPr>
          <w:spacing w:val="-71"/>
        </w:rPr>
        <w:t xml:space="preserve"> </w:t>
      </w:r>
      <w:r>
        <w:rPr>
          <w:spacing w:val="1"/>
          <w:w w:val="100"/>
        </w:rPr>
        <w:t>1</w:t>
      </w:r>
      <w:r>
        <w:rPr>
          <w:w w:val="100"/>
        </w:rPr>
        <w:t>5</w:t>
      </w:r>
      <w:r>
        <w:rPr>
          <w:spacing w:val="-72"/>
        </w:rPr>
        <w:t xml:space="preserve"> </w:t>
      </w:r>
      <w:r>
        <w:rPr>
          <w:spacing w:val="-25"/>
          <w:w w:val="100"/>
        </w:rPr>
        <w:t>年</w:t>
      </w:r>
      <w:r>
        <w:rPr>
          <w:spacing w:val="-3"/>
          <w:w w:val="100"/>
        </w:rPr>
        <w:t>（</w:t>
      </w:r>
      <w:r>
        <w:rPr>
          <w:spacing w:val="-1"/>
          <w:w w:val="100"/>
        </w:rPr>
        <w:t>不含</w:t>
      </w:r>
      <w:r>
        <w:rPr>
          <w:spacing w:val="-71"/>
        </w:rPr>
        <w:t xml:space="preserve"> </w:t>
      </w:r>
      <w:r>
        <w:rPr>
          <w:spacing w:val="-2"/>
          <w:w w:val="100"/>
        </w:rPr>
        <w:t>1</w:t>
      </w:r>
      <w:r>
        <w:rPr>
          <w:w w:val="100"/>
        </w:rPr>
        <w:t>5</w:t>
      </w:r>
      <w:r>
        <w:rPr>
          <w:spacing w:val="4"/>
        </w:rPr>
        <w:t>年</w:t>
      </w:r>
      <w:r>
        <w:t>）</w:t>
      </w:r>
      <w:r>
        <w:rPr>
          <w:spacing w:val="2"/>
        </w:rPr>
        <w:t>的；</w:t>
      </w:r>
      <w:r>
        <w:t>1250kN.m</w:t>
      </w:r>
      <w:r>
        <w:rPr>
          <w:spacing w:val="-12"/>
        </w:rPr>
        <w:t xml:space="preserve"> 以上、出厂年限超过 </w:t>
      </w:r>
      <w:r>
        <w:t>20</w:t>
      </w:r>
      <w:r>
        <w:rPr>
          <w:spacing w:val="-29"/>
        </w:rPr>
        <w:t xml:space="preserve"> 年</w:t>
      </w:r>
      <w:r>
        <w:t>（</w:t>
      </w:r>
      <w:r>
        <w:rPr>
          <w:spacing w:val="-19"/>
        </w:rPr>
        <w:t xml:space="preserve">不含 </w:t>
      </w:r>
      <w:r>
        <w:t>20</w:t>
      </w:r>
      <w:r>
        <w:rPr>
          <w:spacing w:val="-29"/>
        </w:rPr>
        <w:t xml:space="preserve"> 年</w:t>
      </w:r>
      <w:r>
        <w:t>）</w:t>
      </w:r>
      <w:r>
        <w:rPr>
          <w:spacing w:val="2"/>
        </w:rPr>
        <w:t>的。设</w:t>
      </w:r>
      <w:r>
        <w:rPr>
          <w:spacing w:val="-7"/>
        </w:rPr>
        <w:t>备使用到该规定年限的必须经有资质的评估单位进行评估，评估合格</w:t>
      </w:r>
      <w:r>
        <w:rPr>
          <w:spacing w:val="-3"/>
        </w:rPr>
        <w:t>后方可使用且以后每年要进行评估一次直至报废。</w:t>
      </w:r>
    </w:p>
    <w:p>
      <w:pPr>
        <w:pStyle w:val="BodyText"/>
        <w:spacing w:line="417" w:lineRule="auto"/>
        <w:ind w:left="280" w:right="337" w:firstLine="559"/>
      </w:pPr>
      <w:r>
        <w:rPr>
          <w:spacing w:val="-10"/>
        </w:rPr>
        <w:t>根据集团公司大型设备高配、新配使用要求，塔机尽可能选用在</w:t>
      </w:r>
      <w:r>
        <w:rPr>
          <w:spacing w:val="-4"/>
        </w:rPr>
        <w:t>规定年限内的较新设备使用,驰名生产厂家的设备使用。</w:t>
      </w:r>
    </w:p>
    <w:p>
      <w:pPr>
        <w:spacing w:after="0" w:line="417" w:lineRule="auto"/>
        <w:sectPr>
          <w:headerReference w:type="default" r:id="rId6"/>
          <w:footerReference w:type="default" r:id="rId7"/>
          <w:pgSz w:w="11910" w:h="16840"/>
          <w:pgMar w:top="1460" w:right="1460" w:bottom="1180" w:left="1520" w:header="882" w:footer="985"/>
          <w:pgNumType w:start="1"/>
          <w:cols w:space="708"/>
        </w:sectPr>
      </w:pPr>
    </w:p>
    <w:p>
      <w:pPr>
        <w:pStyle w:val="Heading1"/>
        <w:tabs>
          <w:tab w:val="left" w:pos="980"/>
        </w:tabs>
        <w:spacing w:before="100"/>
        <w:ind w:left="280" w:firstLine="0"/>
      </w:pPr>
      <w:bookmarkStart w:id="1" w:name="_bookmark1"/>
      <w:bookmarkEnd w:id="1"/>
      <w:r>
        <w:rPr>
          <w:rFonts w:ascii="Times New Roman" w:eastAsia="Times New Roman"/>
        </w:rPr>
        <w:t>3</w:t>
      </w:r>
      <w:r>
        <w:t>、</w:t>
        <w:tab/>
        <w:t>塔式起重机常见问题及原因分析</w:t>
      </w:r>
    </w:p>
    <w:p>
      <w:pPr>
        <w:pStyle w:val="BodyText"/>
        <w:rPr>
          <w:b/>
          <w:sz w:val="30"/>
        </w:rPr>
      </w:pPr>
    </w:p>
    <w:p>
      <w:pPr>
        <w:pStyle w:val="Heading1"/>
        <w:numPr>
          <w:ilvl w:val="1"/>
          <w:numId w:val="2"/>
        </w:numPr>
        <w:tabs>
          <w:tab w:val="left" w:pos="949"/>
          <w:tab w:val="left" w:pos="950"/>
        </w:tabs>
        <w:spacing w:before="210" w:after="0" w:line="240" w:lineRule="auto"/>
        <w:ind w:left="949" w:right="0" w:hanging="670"/>
        <w:jc w:val="left"/>
      </w:pPr>
      <w:r>
        <w:t>基础部分</w:t>
      </w:r>
    </w:p>
    <w:p>
      <w:pPr>
        <w:pStyle w:val="BodyText"/>
        <w:rPr>
          <w:b/>
          <w:sz w:val="20"/>
        </w:rPr>
      </w:pPr>
    </w:p>
    <w:p>
      <w:pPr>
        <w:pStyle w:val="BodyText"/>
        <w:spacing w:before="9"/>
        <w:rPr>
          <w:b/>
          <w:sz w:val="18"/>
        </w:rPr>
      </w:pPr>
      <w:r>
        <w:drawing>
          <wp:anchor distT="0" distB="0" distL="0" distR="0" simplePos="0" relativeHeight="251659264" behindDoc="0" locked="0" layoutInCell="1" allowOverlap="1">
            <wp:simplePos x="0" y="0"/>
            <wp:positionH relativeFrom="page">
              <wp:posOffset>1320800</wp:posOffset>
            </wp:positionH>
            <wp:positionV relativeFrom="paragraph">
              <wp:posOffset>177085</wp:posOffset>
            </wp:positionV>
            <wp:extent cx="4935894" cy="377190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8" cstate="print"/>
                    <a:stretch>
                      <a:fillRect/>
                    </a:stretch>
                  </pic:blipFill>
                  <pic:spPr>
                    <a:xfrm>
                      <a:off x="0" y="0"/>
                      <a:ext cx="4935894" cy="3771900"/>
                    </a:xfrm>
                    <a:prstGeom prst="rect">
                      <a:avLst/>
                    </a:prstGeom>
                  </pic:spPr>
                </pic:pic>
              </a:graphicData>
            </a:graphic>
          </wp:anchor>
        </w:drawing>
      </w:r>
    </w:p>
    <w:p>
      <w:pPr>
        <w:pStyle w:val="BodyText"/>
        <w:spacing w:before="7"/>
        <w:rPr>
          <w:b/>
          <w:sz w:val="15"/>
        </w:rPr>
      </w:pPr>
    </w:p>
    <w:p>
      <w:pPr>
        <w:pStyle w:val="BodyText"/>
        <w:spacing w:before="61" w:line="417" w:lineRule="auto"/>
        <w:ind w:left="839" w:right="337"/>
      </w:pPr>
      <w:r>
        <w:rPr>
          <w:spacing w:val="-35"/>
        </w:rPr>
        <w:t xml:space="preserve">图 </w:t>
      </w:r>
      <w:r>
        <w:t>1</w:t>
      </w:r>
      <w:r>
        <w:rPr>
          <w:spacing w:val="-23"/>
        </w:rPr>
        <w:t xml:space="preserve">、图 </w:t>
      </w:r>
      <w:r>
        <w:t>2</w:t>
      </w:r>
      <w:r>
        <w:rPr>
          <w:spacing w:val="-3"/>
        </w:rPr>
        <w:t>，基础积水、垃圾杂物较多，基础螺栓的检查困难。</w:t>
      </w:r>
      <w:r>
        <w:rPr>
          <w:spacing w:val="-11"/>
        </w:rPr>
        <w:t>出现原因：塔吊基坑往往低于回填土地面，挡土墙外围缺少排水</w:t>
      </w:r>
    </w:p>
    <w:p>
      <w:pPr>
        <w:pStyle w:val="BodyText"/>
        <w:spacing w:line="417" w:lineRule="auto"/>
        <w:ind w:left="280" w:right="243"/>
      </w:pPr>
      <w:r>
        <w:rPr>
          <w:spacing w:val="-10"/>
        </w:rPr>
        <w:t>措施，致使地面上的积水容易汇集到塔吊基坑中。从图中水泵放置的</w:t>
      </w:r>
      <w:r>
        <w:rPr>
          <w:spacing w:val="-3"/>
        </w:rPr>
        <w:t>位置可以看出，该基坑未设置积水坑导致积水无法及时完全的排出， 基础四周没有设置防护栏杆或围挡，许多建筑垃圾掉入基础内。</w:t>
      </w:r>
    </w:p>
    <w:p>
      <w:pPr>
        <w:pStyle w:val="BodyText"/>
        <w:spacing w:line="417" w:lineRule="auto"/>
        <w:ind w:left="280" w:right="198" w:firstLine="559"/>
      </w:pPr>
      <w:r>
        <w:rPr>
          <w:spacing w:val="-35"/>
        </w:rPr>
        <w:t xml:space="preserve">图 </w:t>
      </w:r>
      <w:r>
        <w:t>1</w:t>
      </w:r>
      <w:r>
        <w:rPr>
          <w:spacing w:val="-26"/>
        </w:rPr>
        <w:t xml:space="preserve">、图 </w:t>
      </w:r>
      <w:r>
        <w:t>2</w:t>
      </w:r>
      <w:r>
        <w:rPr>
          <w:spacing w:val="-10"/>
        </w:rPr>
        <w:t xml:space="preserve"> 可能产生的后果：塔吊基础长期得不到检查，螺栓松</w:t>
      </w:r>
      <w:r>
        <w:rPr>
          <w:spacing w:val="-18"/>
        </w:rPr>
        <w:t>动未能及时发现和处理，螺栓和塔机基础解构件锈蚀，造成塔吊倾覆。</w:t>
      </w:r>
    </w:p>
    <w:p>
      <w:pPr>
        <w:pStyle w:val="BodyText"/>
        <w:spacing w:line="417" w:lineRule="auto"/>
        <w:ind w:left="280" w:right="337" w:firstLine="559"/>
      </w:pPr>
      <w:r>
        <w:rPr>
          <w:spacing w:val="-33"/>
        </w:rPr>
        <w:t xml:space="preserve">图 </w:t>
      </w:r>
      <w:r>
        <w:t>3</w:t>
      </w:r>
      <w:r>
        <w:rPr>
          <w:spacing w:val="-15"/>
        </w:rPr>
        <w:t xml:space="preserve"> 基础四周没有设置防护栏杆与盖板。可能产生的后果：建筑</w:t>
      </w:r>
      <w:r>
        <w:rPr>
          <w:spacing w:val="-5"/>
        </w:rPr>
        <w:t>垃圾会掉入基础内，对基础螺栓的检查带来影响。</w:t>
      </w:r>
    </w:p>
    <w:p>
      <w:pPr>
        <w:spacing w:after="0" w:line="417" w:lineRule="auto"/>
        <w:sectPr>
          <w:headerReference w:type="default" r:id="rId9"/>
          <w:footerReference w:type="default" r:id="rId10"/>
          <w:pgSz w:w="11910" w:h="16840"/>
          <w:pgMar w:top="1460" w:right="1460" w:bottom="1180" w:left="1520" w:header="882" w:footer="985"/>
          <w:pgNumType w:start="2"/>
          <w:cols w:space="708"/>
        </w:sectPr>
      </w:pPr>
    </w:p>
    <w:p>
      <w:pPr>
        <w:pStyle w:val="BodyText"/>
        <w:spacing w:before="100" w:line="417" w:lineRule="auto"/>
        <w:ind w:left="280" w:right="198" w:firstLine="559"/>
        <w:jc w:val="both"/>
      </w:pPr>
      <w:r>
        <w:rPr>
          <w:spacing w:val="-29"/>
        </w:rPr>
        <w:t xml:space="preserve">图 </w:t>
      </w:r>
      <w:r>
        <w:t xml:space="preserve">4 接地电阻与基础节进行焊接导致对防雷接地的测试困难； </w:t>
      </w:r>
      <w:r>
        <w:rPr>
          <w:spacing w:val="-12"/>
        </w:rPr>
        <w:t>出现的原因：接地电阻的做法不正确，不应该使用焊接应该使用螺栓连接，要测电阻的时候将螺栓松开测好后再将扁铁用螺栓紧固到位。</w:t>
      </w:r>
    </w:p>
    <w:p>
      <w:pPr>
        <w:pStyle w:val="BodyText"/>
        <w:spacing w:after="11" w:line="417" w:lineRule="auto"/>
        <w:ind w:left="280" w:right="337"/>
        <w:jc w:val="both"/>
      </w:pPr>
      <w:r>
        <w:rPr>
          <w:spacing w:val="-1"/>
        </w:rPr>
        <w:t>（</w:t>
      </w:r>
      <w:r>
        <w:rPr>
          <w:spacing w:val="-8"/>
        </w:rPr>
        <w:t>一般使用焊接的做法接地电阻是不测量的，很少有人做一次割一次</w:t>
      </w:r>
      <w:r>
        <w:rPr>
          <w:spacing w:val="-2"/>
        </w:rPr>
        <w:t>再焊一次</w:t>
      </w:r>
      <w:r>
        <w:rPr>
          <w:spacing w:val="-49"/>
        </w:rPr>
        <w:t>）</w:t>
      </w:r>
      <w:r>
        <w:rPr>
          <w:spacing w:val="-6"/>
        </w:rPr>
        <w:t>另外防雷接地体不能直接埋在混凝土基础里面，要埋设在</w:t>
      </w:r>
      <w:r>
        <w:rPr>
          <w:spacing w:val="-3"/>
        </w:rPr>
        <w:t>其外面土体里。</w:t>
      </w:r>
    </w:p>
    <w:p>
      <w:pPr>
        <w:pStyle w:val="BodyText"/>
        <w:ind w:left="420"/>
        <w:rPr>
          <w:sz w:val="20"/>
        </w:rPr>
      </w:pPr>
      <w:r>
        <w:rPr>
          <w:sz w:val="20"/>
        </w:rPr>
        <w:drawing>
          <wp:inline distT="0" distB="0" distL="0" distR="0">
            <wp:extent cx="5107290" cy="3793331"/>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1" cstate="print"/>
                    <a:stretch>
                      <a:fillRect/>
                    </a:stretch>
                  </pic:blipFill>
                  <pic:spPr>
                    <a:xfrm>
                      <a:off x="0" y="0"/>
                      <a:ext cx="5107290" cy="3793331"/>
                    </a:xfrm>
                    <a:prstGeom prst="rect">
                      <a:avLst/>
                    </a:prstGeom>
                  </pic:spPr>
                </pic:pic>
              </a:graphicData>
            </a:graphic>
          </wp:inline>
        </w:drawing>
      </w:r>
    </w:p>
    <w:p>
      <w:pPr>
        <w:pStyle w:val="BodyText"/>
        <w:spacing w:before="11"/>
        <w:rPr>
          <w:sz w:val="19"/>
        </w:rPr>
      </w:pPr>
    </w:p>
    <w:p>
      <w:pPr>
        <w:pStyle w:val="BodyText"/>
        <w:spacing w:line="417" w:lineRule="auto"/>
        <w:ind w:left="280" w:right="337" w:firstLine="559"/>
        <w:jc w:val="both"/>
      </w:pPr>
      <w:r>
        <w:rPr>
          <w:spacing w:val="-26"/>
        </w:rPr>
        <w:t xml:space="preserve">图 </w:t>
      </w:r>
      <w:r>
        <w:t xml:space="preserve">5 标准节与基础节使用螺纹钢进行焊接加固；出现的原因： </w:t>
      </w:r>
      <w:r>
        <w:rPr>
          <w:spacing w:val="3"/>
        </w:rPr>
        <w:t>基础螺栓缺少或者基础螺栓断裂使用焊接的方法进行来将标准节进</w:t>
      </w:r>
      <w:r>
        <w:rPr>
          <w:spacing w:val="-33"/>
        </w:rPr>
        <w:t>行固定。</w:t>
      </w:r>
      <w:r>
        <w:t>（在偏远地区常见如安徽、贵州等地）可能产生的后果：塔</w:t>
      </w:r>
      <w:r>
        <w:rPr>
          <w:spacing w:val="-3"/>
        </w:rPr>
        <w:t>吊在旋转过程中受力螺纹钢断裂塔吊倾覆。</w:t>
      </w:r>
    </w:p>
    <w:p>
      <w:pPr>
        <w:pStyle w:val="BodyText"/>
        <w:spacing w:line="417" w:lineRule="auto"/>
        <w:ind w:left="280" w:right="335" w:firstLine="559"/>
        <w:jc w:val="both"/>
      </w:pPr>
      <w:r>
        <w:rPr>
          <w:spacing w:val="-28"/>
        </w:rPr>
        <w:t xml:space="preserve">图 </w:t>
      </w:r>
      <w:r>
        <w:t>6</w:t>
      </w:r>
      <w:r>
        <w:rPr>
          <w:spacing w:val="-8"/>
        </w:rPr>
        <w:t xml:space="preserve"> 基础螺栓防松螺母未紧固到位。出现的原因：</w:t>
      </w:r>
      <w:r>
        <w:t>1）安装单位比较马虎没有安装到位；2）该螺母丝牙有问题紧固不到位。可能产</w:t>
      </w:r>
    </w:p>
    <w:p>
      <w:pPr>
        <w:spacing w:after="0" w:line="417" w:lineRule="auto"/>
        <w:jc w:val="both"/>
        <w:sectPr>
          <w:headerReference w:type="default" r:id="rId12"/>
          <w:footerReference w:type="default" r:id="rId13"/>
          <w:pgSz w:w="11910" w:h="16840"/>
          <w:pgMar w:top="1460" w:right="1460" w:bottom="1180" w:left="1520" w:header="882" w:footer="985"/>
          <w:pgNumType w:start="3"/>
          <w:cols w:space="708"/>
        </w:sectPr>
      </w:pPr>
    </w:p>
    <w:p>
      <w:pPr>
        <w:pStyle w:val="BodyText"/>
        <w:spacing w:before="100" w:line="417" w:lineRule="auto"/>
        <w:ind w:left="280" w:right="337"/>
        <w:jc w:val="both"/>
      </w:pPr>
      <w:r>
        <w:rPr>
          <w:spacing w:val="-10"/>
        </w:rPr>
        <w:t>生的后果：放松螺母紧固不到位导致该螺栓经常松动，对另外三个基</w:t>
      </w:r>
      <w:r>
        <w:rPr>
          <w:spacing w:val="3"/>
        </w:rPr>
        <w:t>础脚螺栓受力不均匀易造成另外三个基础脚螺栓断裂而导致塔吊倾覆。</w:t>
      </w:r>
    </w:p>
    <w:p>
      <w:pPr>
        <w:pStyle w:val="BodyText"/>
        <w:spacing w:line="417" w:lineRule="auto"/>
        <w:ind w:left="280" w:right="337" w:firstLine="559"/>
        <w:jc w:val="both"/>
      </w:pPr>
      <w:r>
        <w:rPr>
          <w:spacing w:val="-26"/>
        </w:rPr>
        <w:t xml:space="preserve">图 </w:t>
      </w:r>
      <w:r>
        <w:t>7 基础螺栓单螺母。出现的原因：制作基础的时候预埋的螺</w:t>
      </w:r>
      <w:r>
        <w:rPr>
          <w:spacing w:val="-8"/>
        </w:rPr>
        <w:t>栓过短导致没有丝牙提供防松螺母来紧固。可能产生的后果：单螺母</w:t>
      </w:r>
      <w:r>
        <w:rPr>
          <w:spacing w:val="-3"/>
        </w:rPr>
        <w:t>的地方经常松动影响整个基础脚的稳定性。</w:t>
      </w:r>
    </w:p>
    <w:p>
      <w:pPr>
        <w:pStyle w:val="BodyText"/>
        <w:spacing w:after="8" w:line="417" w:lineRule="auto"/>
        <w:ind w:left="280" w:right="337" w:firstLine="559"/>
        <w:jc w:val="both"/>
      </w:pPr>
      <w:r>
        <w:rPr>
          <w:spacing w:val="-26"/>
        </w:rPr>
        <w:t xml:space="preserve">图 </w:t>
      </w:r>
      <w:r>
        <w:t>8 十字梁基础缺少压板固定。出现的原因：多数是安装队伍</w:t>
      </w:r>
      <w:r>
        <w:rPr>
          <w:spacing w:val="-11"/>
        </w:rPr>
        <w:t>不负责任没有安装到位；可能产生的后果：塔吊再旋转过程中梁受力</w:t>
      </w:r>
      <w:r>
        <w:rPr>
          <w:spacing w:val="-5"/>
        </w:rPr>
        <w:t>起拱影响基础的稳定性。</w:t>
      </w:r>
    </w:p>
    <w:p>
      <w:pPr>
        <w:pStyle w:val="BodyText"/>
        <w:ind w:left="560"/>
        <w:rPr>
          <w:sz w:val="20"/>
        </w:rPr>
      </w:pPr>
      <w:r>
        <w:rPr>
          <w:sz w:val="20"/>
        </w:rPr>
        <w:drawing>
          <wp:inline distT="0" distB="0" distL="0" distR="0">
            <wp:extent cx="4839616" cy="3754754"/>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4" cstate="print"/>
                    <a:stretch>
                      <a:fillRect/>
                    </a:stretch>
                  </pic:blipFill>
                  <pic:spPr>
                    <a:xfrm>
                      <a:off x="0" y="0"/>
                      <a:ext cx="4839616" cy="3754754"/>
                    </a:xfrm>
                    <a:prstGeom prst="rect">
                      <a:avLst/>
                    </a:prstGeom>
                  </pic:spPr>
                </pic:pic>
              </a:graphicData>
            </a:graphic>
          </wp:inline>
        </w:drawing>
      </w:r>
    </w:p>
    <w:p>
      <w:pPr>
        <w:pStyle w:val="BodyText"/>
        <w:spacing w:before="10"/>
        <w:rPr>
          <w:sz w:val="24"/>
        </w:rPr>
      </w:pPr>
    </w:p>
    <w:p>
      <w:pPr>
        <w:pStyle w:val="BodyText"/>
        <w:spacing w:line="417" w:lineRule="auto"/>
        <w:ind w:left="280" w:right="337" w:firstLine="559"/>
        <w:jc w:val="both"/>
      </w:pPr>
      <w:r>
        <w:rPr>
          <w:spacing w:val="-35"/>
        </w:rPr>
        <w:t xml:space="preserve">图 </w:t>
      </w:r>
      <w:r>
        <w:t>9</w:t>
      </w:r>
      <w:r>
        <w:rPr>
          <w:spacing w:val="-35"/>
        </w:rPr>
        <w:t xml:space="preserve"> 与图 </w:t>
      </w:r>
      <w:r>
        <w:t>10</w:t>
      </w:r>
      <w:r>
        <w:rPr>
          <w:spacing w:val="-5"/>
        </w:rPr>
        <w:t xml:space="preserve"> 是两种常见塔吊基础预埋方式，基础必须按照塔吊</w:t>
      </w:r>
      <w:r>
        <w:rPr>
          <w:spacing w:val="-8"/>
        </w:rPr>
        <w:t xml:space="preserve">的说明书进行制作并且不少于 </w:t>
      </w:r>
      <w:r>
        <w:t>10</w:t>
      </w:r>
      <w:r>
        <w:rPr>
          <w:spacing w:val="-14"/>
        </w:rPr>
        <w:t xml:space="preserve"> 天的养护。</w:t>
      </w:r>
    </w:p>
    <w:p>
      <w:pPr>
        <w:pStyle w:val="BodyText"/>
        <w:spacing w:line="358" w:lineRule="exact"/>
        <w:ind w:left="839"/>
      </w:pPr>
      <w:r>
        <w:t>图 11 与图 12 是两种比较经济的基坑围护，既起到相应的作用</w:t>
      </w:r>
    </w:p>
    <w:p>
      <w:pPr>
        <w:spacing w:after="0" w:line="358" w:lineRule="exact"/>
        <w:sectPr>
          <w:headerReference w:type="default" r:id="rId15"/>
          <w:footerReference w:type="default" r:id="rId16"/>
          <w:pgSz w:w="11910" w:h="16840"/>
          <w:pgMar w:top="1460" w:right="1460" w:bottom="1180" w:left="1520" w:header="882" w:footer="985"/>
          <w:pgNumType w:start="4"/>
          <w:cols w:space="708"/>
        </w:sectPr>
      </w:pPr>
    </w:p>
    <w:p>
      <w:pPr>
        <w:pStyle w:val="BodyText"/>
        <w:spacing w:before="100"/>
        <w:ind w:left="280"/>
      </w:pPr>
      <w:bookmarkStart w:id="2" w:name="_bookmark2"/>
      <w:bookmarkEnd w:id="2"/>
      <w:r>
        <w:t>又节省了成本。</w:t>
      </w:r>
    </w:p>
    <w:p>
      <w:pPr>
        <w:pStyle w:val="BodyText"/>
        <w:spacing w:before="12"/>
        <w:rPr>
          <w:sz w:val="40"/>
        </w:rPr>
      </w:pPr>
    </w:p>
    <w:p>
      <w:pPr>
        <w:pStyle w:val="Heading1"/>
        <w:numPr>
          <w:ilvl w:val="1"/>
          <w:numId w:val="2"/>
        </w:numPr>
        <w:tabs>
          <w:tab w:val="left" w:pos="949"/>
          <w:tab w:val="left" w:pos="950"/>
        </w:tabs>
        <w:spacing w:before="0" w:after="0" w:line="240" w:lineRule="auto"/>
        <w:ind w:left="949" w:right="0" w:hanging="670"/>
        <w:jc w:val="left"/>
      </w:pPr>
      <w:r>
        <w:t>塔身部分</w:t>
      </w:r>
    </w:p>
    <w:p>
      <w:pPr>
        <w:pStyle w:val="BodyText"/>
        <w:rPr>
          <w:b/>
          <w:sz w:val="20"/>
        </w:rPr>
      </w:pPr>
    </w:p>
    <w:p>
      <w:pPr>
        <w:pStyle w:val="BodyText"/>
        <w:spacing w:before="10"/>
        <w:rPr>
          <w:b/>
          <w:sz w:val="18"/>
        </w:rPr>
      </w:pPr>
      <w:r>
        <w:drawing>
          <wp:anchor distT="0" distB="0" distL="0" distR="0" simplePos="0" relativeHeight="251660288" behindDoc="0" locked="0" layoutInCell="1" allowOverlap="1">
            <wp:simplePos x="0" y="0"/>
            <wp:positionH relativeFrom="page">
              <wp:posOffset>1231900</wp:posOffset>
            </wp:positionH>
            <wp:positionV relativeFrom="paragraph">
              <wp:posOffset>177641</wp:posOffset>
            </wp:positionV>
            <wp:extent cx="5135173" cy="3800475"/>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7" cstate="print"/>
                    <a:stretch>
                      <a:fillRect/>
                    </a:stretch>
                  </pic:blipFill>
                  <pic:spPr>
                    <a:xfrm>
                      <a:off x="0" y="0"/>
                      <a:ext cx="5135173" cy="3800475"/>
                    </a:xfrm>
                    <a:prstGeom prst="rect">
                      <a:avLst/>
                    </a:prstGeom>
                  </pic:spPr>
                </pic:pic>
              </a:graphicData>
            </a:graphic>
          </wp:anchor>
        </w:drawing>
      </w:r>
    </w:p>
    <w:p>
      <w:pPr>
        <w:pStyle w:val="BodyText"/>
        <w:spacing w:before="12"/>
        <w:rPr>
          <w:b/>
          <w:sz w:val="11"/>
        </w:rPr>
      </w:pPr>
    </w:p>
    <w:p>
      <w:pPr>
        <w:pStyle w:val="BodyText"/>
        <w:spacing w:before="62" w:line="417" w:lineRule="auto"/>
        <w:ind w:left="280" w:right="198" w:firstLine="434"/>
        <w:jc w:val="both"/>
      </w:pPr>
      <w:r>
        <w:rPr>
          <w:spacing w:val="-29"/>
        </w:rPr>
        <w:t xml:space="preserve">图 </w:t>
      </w:r>
      <w:r>
        <w:t>13 标准节联接采用销轴的联接方式的，固定销没有将标准节的联接销轴固定到位。出现的原因：1）安装单位责任心不够，疏忽大意没有将垂直向的销轴与水平向的销轴联接起来，2）销轴的制作</w:t>
      </w:r>
      <w:r>
        <w:rPr>
          <w:spacing w:val="-12"/>
        </w:rPr>
        <w:t>问题，由于标准节的两个水平向销轴的孔不同轴故垂直的销轴无法将</w:t>
      </w:r>
      <w:r>
        <w:rPr>
          <w:spacing w:val="-17"/>
        </w:rPr>
        <w:t>其固定。可能产生的后果：销轴从标准节孔中脱落，塔身在该处断裂。</w:t>
      </w:r>
    </w:p>
    <w:p>
      <w:pPr>
        <w:pStyle w:val="BodyText"/>
        <w:spacing w:line="417" w:lineRule="auto"/>
        <w:ind w:left="280" w:right="337" w:firstLine="434"/>
        <w:jc w:val="both"/>
      </w:pPr>
      <w:r>
        <w:rPr>
          <w:spacing w:val="-25"/>
        </w:rPr>
        <w:t xml:space="preserve">图 </w:t>
      </w:r>
      <w:r>
        <w:t>14 标准节的联接螺栓单螺母，防松螺母没有紧固到位。出现</w:t>
      </w:r>
      <w:r>
        <w:rPr>
          <w:spacing w:val="-10"/>
        </w:rPr>
        <w:t>的原因：安装单位没有安装到位，螺栓没有紧固到位。可能产生的后</w:t>
      </w:r>
      <w:r>
        <w:rPr>
          <w:spacing w:val="-11"/>
        </w:rPr>
        <w:t>果：该处的标准节螺栓经常松动，导致另外三个处受力不均匀发生断</w:t>
      </w:r>
      <w:r>
        <w:rPr>
          <w:spacing w:val="-5"/>
        </w:rPr>
        <w:t>裂，导致塔吊倾覆。</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https://d.book118.com/207122126050006050</w:t>
        </w:r>
      </w:hyperlink>
    </w:p>
    <w:p>
      <w:pPr>
        <w:spacing w:after="0" w:line="417" w:lineRule="auto"/>
        <w:jc w:val="both"/>
      </w:pPr>
    </w:p>
    <w:sectPr>
      <w:headerReference w:type="default" r:id="rId19"/>
      <w:footerReference w:type="default" r:id="rId20"/>
      <w:pgSz w:w="11910" w:h="16840"/>
      <w:pgMar w:top="1460" w:right="1460" w:bottom="1180" w:left="1520" w:header="882" w:footer="985"/>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05pt;height:19.7pt;margin-top:781.64pt;margin-left:286.68pt;mso-position-horizontal-relative:page;mso-position-vertical-relative:page;position:absolute;z-index:-251658240" filled="f" stroked="f">
          <v:textbox inset="0,0,0,0">
            <w:txbxContent>
              <w:p>
                <w:pPr>
                  <w:spacing w:before="5"/>
                  <w:ind w:left="60" w:right="0" w:firstLine="0"/>
                  <w:jc w:val="left"/>
                  <w:rPr>
                    <w:rFonts w:ascii="Times New Roman"/>
                    <w:sz w:val="32"/>
                  </w:rPr>
                </w:pPr>
                <w:r>
                  <w:fldChar w:fldCharType="begin"/>
                </w:r>
                <w:r>
                  <w:rPr>
                    <w:rFonts w:ascii="Times New Roman"/>
                    <w:sz w:val="32"/>
                  </w:rPr>
                  <w:instrText xml:space="preserve"> PAGE </w:instrText>
                </w:r>
                <w:r>
                  <w:fldChar w:fldCharType="separate"/>
                </w:r>
                <w:r>
                  <w:rPr>
                    <w:rFonts w:ascii="Times New Roman"/>
                    <w:sz w:val="32"/>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05pt;height:19.7pt;margin-top:781.64pt;margin-left:286.68pt;mso-position-horizontal-relative:page;mso-position-vertical-relative:page;position:absolute;z-index:-251657216" filled="f" stroked="f">
          <v:textbox inset="0,0,0,0">
            <w:txbxContent>
              <w:p>
                <w:pPr>
                  <w:spacing w:before="5"/>
                  <w:ind w:left="60" w:right="0" w:firstLine="0"/>
                  <w:jc w:val="left"/>
                  <w:rPr>
                    <w:rFonts w:ascii="Times New Roman"/>
                    <w:sz w:val="32"/>
                  </w:rPr>
                </w:pPr>
                <w:r>
                  <w:fldChar w:fldCharType="begin"/>
                </w:r>
                <w:r>
                  <w:rPr>
                    <w:rFonts w:ascii="Times New Roman"/>
                    <w:sz w:val="32"/>
                  </w:rPr>
                  <w:instrText xml:space="preserve"> PAGE </w:instrText>
                </w:r>
                <w:r>
                  <w:fldChar w:fldCharType="separate"/>
                </w:r>
                <w:r>
                  <w:rPr>
                    <w:rFonts w:ascii="Times New Roman"/>
                    <w:sz w:val="32"/>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05pt;height:19.7pt;margin-top:781.64pt;margin-left:286.68pt;mso-position-horizontal-relative:page;mso-position-vertical-relative:page;position:absolute;z-index:-251656192" filled="f" stroked="f">
          <v:textbox inset="0,0,0,0">
            <w:txbxContent>
              <w:p>
                <w:pPr>
                  <w:spacing w:before="5"/>
                  <w:ind w:left="60" w:right="0" w:firstLine="0"/>
                  <w:jc w:val="left"/>
                  <w:rPr>
                    <w:rFonts w:ascii="Times New Roman"/>
                    <w:sz w:val="32"/>
                  </w:rPr>
                </w:pPr>
                <w:r>
                  <w:fldChar w:fldCharType="begin"/>
                </w:r>
                <w:r>
                  <w:rPr>
                    <w:rFonts w:ascii="Times New Roman"/>
                    <w:sz w:val="32"/>
                  </w:rPr>
                  <w:instrText xml:space="preserve"> PAGE </w:instrText>
                </w:r>
                <w:r>
                  <w:fldChar w:fldCharType="separate"/>
                </w:r>
                <w:r>
                  <w:rPr>
                    <w:rFonts w:ascii="Times New Roman"/>
                    <w:sz w:val="32"/>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05pt;height:19.7pt;margin-top:781.64pt;margin-left:286.68pt;mso-position-horizontal-relative:page;mso-position-vertical-relative:page;position:absolute;z-index:-251655168" filled="f" stroked="f">
          <v:textbox inset="0,0,0,0">
            <w:txbxContent>
              <w:p>
                <w:pPr>
                  <w:spacing w:before="5"/>
                  <w:ind w:left="60" w:right="0" w:firstLine="0"/>
                  <w:jc w:val="left"/>
                  <w:rPr>
                    <w:rFonts w:ascii="Times New Roman"/>
                    <w:sz w:val="32"/>
                  </w:rPr>
                </w:pPr>
                <w:r>
                  <w:fldChar w:fldCharType="begin"/>
                </w:r>
                <w:r>
                  <w:rPr>
                    <w:rFonts w:ascii="Times New Roman"/>
                    <w:sz w:val="32"/>
                  </w:rPr>
                  <w:instrText xml:space="preserve"> PAGE </w:instrText>
                </w:r>
                <w:r>
                  <w:fldChar w:fldCharType="separate"/>
                </w:r>
                <w:r>
                  <w:rPr>
                    <w:rFonts w:ascii="Times New Roman"/>
                    <w:sz w:val="32"/>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05pt;height:19.7pt;margin-top:781.64pt;margin-left:286.68pt;mso-position-horizontal-relative:page;mso-position-vertical-relative:page;position:absolute;z-index:-251654144" filled="f" stroked="f">
          <v:textbox inset="0,0,0,0">
            <w:txbxContent>
              <w:p>
                <w:pPr>
                  <w:spacing w:before="5"/>
                  <w:ind w:left="60" w:right="0" w:firstLine="0"/>
                  <w:jc w:val="left"/>
                  <w:rPr>
                    <w:rFonts w:ascii="Times New Roman"/>
                    <w:sz w:val="32"/>
                  </w:rPr>
                </w:pPr>
                <w:r>
                  <w:fldChar w:fldCharType="begin"/>
                </w:r>
                <w:r>
                  <w:rPr>
                    <w:rFonts w:ascii="Times New Roman"/>
                    <w:sz w:val="32"/>
                  </w:rPr>
                  <w:instrText xml:space="preserve"> PAGE </w:instrText>
                </w:r>
                <w:r>
                  <w:fldChar w:fldCharType="separate"/>
                </w:r>
                <w:r>
                  <w:rPr>
                    <w:rFonts w:ascii="Times New Roman"/>
                    <w:sz w:val="32"/>
                  </w:rPr>
                  <w:t>5</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50" type="#_x0000_t202" style="width:7.25pt;height:12.45pt;margin-top:43.11pt;margin-left:397.16pt;mso-position-horizontal-relative:page;mso-position-vertical-relative:page;position:absolute;z-index:-251657216"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6192"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52" type="#_x0000_t202" style="width:7.25pt;height:12.45pt;margin-top:43.11pt;margin-left:397.16pt;mso-position-horizontal-relative:page;mso-position-vertical-relative:page;position:absolute;z-index:-251655168"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4144"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55" type="#_x0000_t202" style="width:7.25pt;height:12.45pt;margin-top:43.11pt;margin-left:397.16pt;mso-position-horizontal-relative:page;mso-position-vertical-relative:page;position:absolute;z-index:-251653120"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2096"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58" type="#_x0000_t202" style="width:7.25pt;height:12.45pt;margin-top:43.11pt;margin-left:397.16pt;mso-position-horizontal-relative:page;mso-position-vertical-relative:page;position:absolute;z-index:-251651072"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0" style="mso-position-horizontal-relative:page;mso-position-vertical-relative:page;position:absolute;z-index:-251650048"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61" type="#_x0000_t202" style="width:7.25pt;height:12.45pt;margin-top:43.11pt;margin-left:397.16pt;mso-position-horizontal-relative:page;mso-position-vertical-relative:page;position:absolute;z-index:-251649024"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3" style="mso-position-horizontal-relative:page;mso-position-vertical-relative:page;position:absolute;z-index:-251648000" from="90pt,57.5pt" to="505.3pt,57.5pt" stroked="t" strokecolor="black" strokeweight="0.72pt">
          <v:stroke dashstyle="solid"/>
        </v:line>
      </w:pict>
    </w:r>
    <w:r>
      <w:pict>
        <v:shapetype id="_x0000_t202" coordsize="21600,21600" o:spt="202" path="m,l,21600r21600,l21600,xe">
          <v:stroke joinstyle="miter"/>
          <v:path gradientshapeok="t" o:connecttype="rect"/>
        </v:shapetype>
        <v:shape id="_x0000_s2064" type="#_x0000_t202" style="width:7.25pt;height:12.45pt;margin-top:43.11pt;margin-left:397.16pt;mso-position-horizontal-relative:page;mso-position-vertical-relative:page;position:absolute;z-index:-251646976" filled="f" stroked="f">
          <v:textbox inset="0,0,0,0">
            <w:txbxContent>
              <w:p>
                <w:pPr>
                  <w:spacing w:before="0" w:line="249" w:lineRule="exact"/>
                  <w:ind w:left="20" w:right="0" w:firstLine="0"/>
                  <w:jc w:val="left"/>
                  <w:rPr>
                    <w:b/>
                    <w:sz w:val="21"/>
                  </w:rPr>
                </w:pPr>
                <w:r>
                  <w:rPr>
                    <w:b/>
                    <w:w w:val="98"/>
                    <w:sz w:val="21"/>
                  </w:rPr>
                  <w:t xml:space="preserve">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0ED79"/>
    <w:multiLevelType w:val="hybridMultilevel"/>
    <w:tmpl w:val="00000000"/>
    <w:lvl w:ilvl="0">
      <w:start w:val="3"/>
      <w:numFmt w:val="decimal"/>
      <w:lvlText w:val="%1"/>
      <w:lvlJc w:val="left"/>
      <w:pPr>
        <w:ind w:left="949" w:hanging="670"/>
        <w:jc w:val="left"/>
      </w:pPr>
      <w:rPr>
        <w:rFonts w:hint="default"/>
        <w:lang w:val="zh-CN" w:eastAsia="zh-CN" w:bidi="zh-CN"/>
      </w:rPr>
    </w:lvl>
    <w:lvl w:ilvl="1">
      <w:start w:val="1"/>
      <w:numFmt w:val="decimal"/>
      <w:lvlText w:val="%1.%2"/>
      <w:lvlJc w:val="left"/>
      <w:pPr>
        <w:ind w:left="949" w:hanging="670"/>
        <w:jc w:val="left"/>
      </w:pPr>
      <w:rPr>
        <w:rFonts w:ascii="Arial" w:eastAsia="Arial" w:hAnsi="Arial" w:cs="Arial" w:hint="default"/>
        <w:b/>
        <w:bCs/>
        <w:spacing w:val="-1"/>
        <w:w w:val="100"/>
        <w:sz w:val="28"/>
        <w:szCs w:val="28"/>
        <w:lang w:val="zh-CN" w:eastAsia="zh-CN" w:bidi="zh-CN"/>
      </w:rPr>
    </w:lvl>
    <w:lvl w:ilvl="2">
      <w:start w:val="0"/>
      <w:numFmt w:val="bullet"/>
      <w:lvlText w:val="•"/>
      <w:lvlJc w:val="left"/>
      <w:pPr>
        <w:ind w:left="2537" w:hanging="670"/>
      </w:pPr>
      <w:rPr>
        <w:rFonts w:hint="default"/>
        <w:lang w:val="zh-CN" w:eastAsia="zh-CN" w:bidi="zh-CN"/>
      </w:rPr>
    </w:lvl>
    <w:lvl w:ilvl="3">
      <w:start w:val="0"/>
      <w:numFmt w:val="bullet"/>
      <w:lvlText w:val="•"/>
      <w:lvlJc w:val="left"/>
      <w:pPr>
        <w:ind w:left="3335" w:hanging="670"/>
      </w:pPr>
      <w:rPr>
        <w:rFonts w:hint="default"/>
        <w:lang w:val="zh-CN" w:eastAsia="zh-CN" w:bidi="zh-CN"/>
      </w:rPr>
    </w:lvl>
    <w:lvl w:ilvl="4">
      <w:start w:val="0"/>
      <w:numFmt w:val="bullet"/>
      <w:lvlText w:val="•"/>
      <w:lvlJc w:val="left"/>
      <w:pPr>
        <w:ind w:left="4134" w:hanging="670"/>
      </w:pPr>
      <w:rPr>
        <w:rFonts w:hint="default"/>
        <w:lang w:val="zh-CN" w:eastAsia="zh-CN" w:bidi="zh-CN"/>
      </w:rPr>
    </w:lvl>
    <w:lvl w:ilvl="5">
      <w:start w:val="0"/>
      <w:numFmt w:val="bullet"/>
      <w:lvlText w:val="•"/>
      <w:lvlJc w:val="left"/>
      <w:pPr>
        <w:ind w:left="4933" w:hanging="670"/>
      </w:pPr>
      <w:rPr>
        <w:rFonts w:hint="default"/>
        <w:lang w:val="zh-CN" w:eastAsia="zh-CN" w:bidi="zh-CN"/>
      </w:rPr>
    </w:lvl>
    <w:lvl w:ilvl="6">
      <w:start w:val="0"/>
      <w:numFmt w:val="bullet"/>
      <w:lvlText w:val="•"/>
      <w:lvlJc w:val="left"/>
      <w:pPr>
        <w:ind w:left="5731" w:hanging="670"/>
      </w:pPr>
      <w:rPr>
        <w:rFonts w:hint="default"/>
        <w:lang w:val="zh-CN" w:eastAsia="zh-CN" w:bidi="zh-CN"/>
      </w:rPr>
    </w:lvl>
    <w:lvl w:ilvl="7">
      <w:start w:val="0"/>
      <w:numFmt w:val="bullet"/>
      <w:lvlText w:val="•"/>
      <w:lvlJc w:val="left"/>
      <w:pPr>
        <w:ind w:left="6530" w:hanging="670"/>
      </w:pPr>
      <w:rPr>
        <w:rFonts w:hint="default"/>
        <w:lang w:val="zh-CN" w:eastAsia="zh-CN" w:bidi="zh-CN"/>
      </w:rPr>
    </w:lvl>
    <w:lvl w:ilvl="8">
      <w:start w:val="0"/>
      <w:numFmt w:val="bullet"/>
      <w:lvlText w:val="•"/>
      <w:lvlJc w:val="left"/>
      <w:pPr>
        <w:ind w:left="7328" w:hanging="670"/>
      </w:pPr>
      <w:rPr>
        <w:rFonts w:hint="default"/>
        <w:lang w:val="zh-CN" w:eastAsia="zh-CN" w:bidi="zh-CN"/>
      </w:rPr>
    </w:lvl>
  </w:abstractNum>
  <w:abstractNum w:abstractNumId="1">
    <w:nsid w:val="46C6410E"/>
    <w:multiLevelType w:val="hybridMultilevel"/>
    <w:tmpl w:val="00000000"/>
    <w:lvl w:ilvl="0">
      <w:start w:val="3"/>
      <w:numFmt w:val="decimal"/>
      <w:lvlText w:val="%1"/>
      <w:lvlJc w:val="left"/>
      <w:pPr>
        <w:ind w:left="949" w:hanging="670"/>
        <w:jc w:val="left"/>
      </w:pPr>
      <w:rPr>
        <w:rFonts w:hint="default"/>
        <w:lang w:val="zh-CN" w:eastAsia="zh-CN" w:bidi="zh-CN"/>
      </w:rPr>
    </w:lvl>
    <w:lvl w:ilvl="1">
      <w:start w:val="8"/>
      <w:numFmt w:val="decimal"/>
      <w:lvlText w:val="%1.%2"/>
      <w:lvlJc w:val="left"/>
      <w:pPr>
        <w:ind w:left="949" w:hanging="670"/>
        <w:jc w:val="right"/>
      </w:pPr>
      <w:rPr>
        <w:rFonts w:ascii="Arial" w:eastAsia="Arial" w:hAnsi="Arial" w:cs="Arial" w:hint="default"/>
        <w:b/>
        <w:bCs/>
        <w:spacing w:val="-1"/>
        <w:w w:val="100"/>
        <w:sz w:val="28"/>
        <w:szCs w:val="28"/>
        <w:lang w:val="zh-CN" w:eastAsia="zh-CN" w:bidi="zh-CN"/>
      </w:rPr>
    </w:lvl>
    <w:lvl w:ilvl="2">
      <w:start w:val="0"/>
      <w:numFmt w:val="bullet"/>
      <w:lvlText w:val="•"/>
      <w:lvlJc w:val="left"/>
      <w:pPr>
        <w:ind w:left="2537" w:hanging="670"/>
      </w:pPr>
      <w:rPr>
        <w:rFonts w:hint="default"/>
        <w:lang w:val="zh-CN" w:eastAsia="zh-CN" w:bidi="zh-CN"/>
      </w:rPr>
    </w:lvl>
    <w:lvl w:ilvl="3">
      <w:start w:val="0"/>
      <w:numFmt w:val="bullet"/>
      <w:lvlText w:val="•"/>
      <w:lvlJc w:val="left"/>
      <w:pPr>
        <w:ind w:left="3335" w:hanging="670"/>
      </w:pPr>
      <w:rPr>
        <w:rFonts w:hint="default"/>
        <w:lang w:val="zh-CN" w:eastAsia="zh-CN" w:bidi="zh-CN"/>
      </w:rPr>
    </w:lvl>
    <w:lvl w:ilvl="4">
      <w:start w:val="0"/>
      <w:numFmt w:val="bullet"/>
      <w:lvlText w:val="•"/>
      <w:lvlJc w:val="left"/>
      <w:pPr>
        <w:ind w:left="4134" w:hanging="670"/>
      </w:pPr>
      <w:rPr>
        <w:rFonts w:hint="default"/>
        <w:lang w:val="zh-CN" w:eastAsia="zh-CN" w:bidi="zh-CN"/>
      </w:rPr>
    </w:lvl>
    <w:lvl w:ilvl="5">
      <w:start w:val="0"/>
      <w:numFmt w:val="bullet"/>
      <w:lvlText w:val="•"/>
      <w:lvlJc w:val="left"/>
      <w:pPr>
        <w:ind w:left="4933" w:hanging="670"/>
      </w:pPr>
      <w:rPr>
        <w:rFonts w:hint="default"/>
        <w:lang w:val="zh-CN" w:eastAsia="zh-CN" w:bidi="zh-CN"/>
      </w:rPr>
    </w:lvl>
    <w:lvl w:ilvl="6">
      <w:start w:val="0"/>
      <w:numFmt w:val="bullet"/>
      <w:lvlText w:val="•"/>
      <w:lvlJc w:val="left"/>
      <w:pPr>
        <w:ind w:left="5731" w:hanging="670"/>
      </w:pPr>
      <w:rPr>
        <w:rFonts w:hint="default"/>
        <w:lang w:val="zh-CN" w:eastAsia="zh-CN" w:bidi="zh-CN"/>
      </w:rPr>
    </w:lvl>
    <w:lvl w:ilvl="7">
      <w:start w:val="0"/>
      <w:numFmt w:val="bullet"/>
      <w:lvlText w:val="•"/>
      <w:lvlJc w:val="left"/>
      <w:pPr>
        <w:ind w:left="6530" w:hanging="670"/>
      </w:pPr>
      <w:rPr>
        <w:rFonts w:hint="default"/>
        <w:lang w:val="zh-CN" w:eastAsia="zh-CN" w:bidi="zh-CN"/>
      </w:rPr>
    </w:lvl>
    <w:lvl w:ilvl="8">
      <w:start w:val="0"/>
      <w:numFmt w:val="bullet"/>
      <w:lvlText w:val="•"/>
      <w:lvlJc w:val="left"/>
      <w:pPr>
        <w:ind w:left="7328" w:hanging="670"/>
      </w:pPr>
      <w:rPr>
        <w:rFonts w:hint="default"/>
        <w:lang w:val="zh-CN" w:eastAsia="zh-CN" w:bidi="zh-CN"/>
      </w:rPr>
    </w:lvl>
  </w:abstractNum>
  <w:abstractNum w:abstractNumId="2">
    <w:nsid w:val="4825F253"/>
    <w:multiLevelType w:val="hybridMultilevel"/>
    <w:tmpl w:val="00000000"/>
    <w:lvl w:ilvl="0">
      <w:start w:val="3"/>
      <w:numFmt w:val="decimal"/>
      <w:lvlText w:val="%1"/>
      <w:lvlJc w:val="left"/>
      <w:pPr>
        <w:ind w:left="1328" w:hanging="629"/>
        <w:jc w:val="left"/>
      </w:pPr>
      <w:rPr>
        <w:rFonts w:hint="default"/>
        <w:lang w:val="zh-CN" w:eastAsia="zh-CN" w:bidi="zh-CN"/>
      </w:rPr>
    </w:lvl>
    <w:lvl w:ilvl="1">
      <w:start w:val="1"/>
      <w:numFmt w:val="decimal"/>
      <w:lvlText w:val="%1.%2"/>
      <w:lvlJc w:val="left"/>
      <w:pPr>
        <w:ind w:left="1328" w:hanging="629"/>
        <w:jc w:val="left"/>
      </w:pPr>
      <w:rPr>
        <w:rFonts w:ascii="Times New Roman" w:eastAsia="Times New Roman" w:hAnsi="Times New Roman" w:cs="Times New Roman" w:hint="default"/>
        <w:b/>
        <w:bCs/>
        <w:spacing w:val="-1"/>
        <w:w w:val="100"/>
        <w:sz w:val="28"/>
        <w:szCs w:val="28"/>
        <w:lang w:val="zh-CN" w:eastAsia="zh-CN" w:bidi="zh-CN"/>
      </w:rPr>
    </w:lvl>
    <w:lvl w:ilvl="2">
      <w:start w:val="0"/>
      <w:numFmt w:val="bullet"/>
      <w:lvlText w:val="•"/>
      <w:lvlJc w:val="left"/>
      <w:pPr>
        <w:ind w:left="2841" w:hanging="629"/>
      </w:pPr>
      <w:rPr>
        <w:rFonts w:hint="default"/>
        <w:lang w:val="zh-CN" w:eastAsia="zh-CN" w:bidi="zh-CN"/>
      </w:rPr>
    </w:lvl>
    <w:lvl w:ilvl="3">
      <w:start w:val="0"/>
      <w:numFmt w:val="bullet"/>
      <w:lvlText w:val="•"/>
      <w:lvlJc w:val="left"/>
      <w:pPr>
        <w:ind w:left="3601" w:hanging="629"/>
      </w:pPr>
      <w:rPr>
        <w:rFonts w:hint="default"/>
        <w:lang w:val="zh-CN" w:eastAsia="zh-CN" w:bidi="zh-CN"/>
      </w:rPr>
    </w:lvl>
    <w:lvl w:ilvl="4">
      <w:start w:val="0"/>
      <w:numFmt w:val="bullet"/>
      <w:lvlText w:val="•"/>
      <w:lvlJc w:val="left"/>
      <w:pPr>
        <w:ind w:left="4362" w:hanging="629"/>
      </w:pPr>
      <w:rPr>
        <w:rFonts w:hint="default"/>
        <w:lang w:val="zh-CN" w:eastAsia="zh-CN" w:bidi="zh-CN"/>
      </w:rPr>
    </w:lvl>
    <w:lvl w:ilvl="5">
      <w:start w:val="0"/>
      <w:numFmt w:val="bullet"/>
      <w:lvlText w:val="•"/>
      <w:lvlJc w:val="left"/>
      <w:pPr>
        <w:ind w:left="5123" w:hanging="629"/>
      </w:pPr>
      <w:rPr>
        <w:rFonts w:hint="default"/>
        <w:lang w:val="zh-CN" w:eastAsia="zh-CN" w:bidi="zh-CN"/>
      </w:rPr>
    </w:lvl>
    <w:lvl w:ilvl="6">
      <w:start w:val="0"/>
      <w:numFmt w:val="bullet"/>
      <w:lvlText w:val="•"/>
      <w:lvlJc w:val="left"/>
      <w:pPr>
        <w:ind w:left="5883" w:hanging="629"/>
      </w:pPr>
      <w:rPr>
        <w:rFonts w:hint="default"/>
        <w:lang w:val="zh-CN" w:eastAsia="zh-CN" w:bidi="zh-CN"/>
      </w:rPr>
    </w:lvl>
    <w:lvl w:ilvl="7">
      <w:start w:val="0"/>
      <w:numFmt w:val="bullet"/>
      <w:lvlText w:val="•"/>
      <w:lvlJc w:val="left"/>
      <w:pPr>
        <w:ind w:left="6644" w:hanging="629"/>
      </w:pPr>
      <w:rPr>
        <w:rFonts w:hint="default"/>
        <w:lang w:val="zh-CN" w:eastAsia="zh-CN" w:bidi="zh-CN"/>
      </w:rPr>
    </w:lvl>
    <w:lvl w:ilvl="8">
      <w:start w:val="0"/>
      <w:numFmt w:val="bullet"/>
      <w:lvlText w:val="•"/>
      <w:lvlJc w:val="left"/>
      <w:pPr>
        <w:ind w:left="7404" w:hanging="629"/>
      </w:pPr>
      <w:rPr>
        <w:rFonts w:hint="default"/>
        <w:lang w:val="zh-CN" w:eastAsia="zh-CN" w:bidi="zh-CN"/>
      </w:rPr>
    </w:lvl>
  </w:abstractNum>
  <w:abstractNum w:abstractNumId="3">
    <w:nsid w:val="77A4090D"/>
    <w:multiLevelType w:val="hybridMultilevel"/>
    <w:tmpl w:val="00000000"/>
    <w:lvl w:ilvl="0">
      <w:start w:val="3"/>
      <w:numFmt w:val="decimal"/>
      <w:lvlText w:val="%1"/>
      <w:lvlJc w:val="left"/>
      <w:pPr>
        <w:ind w:left="1328" w:hanging="629"/>
        <w:jc w:val="left"/>
      </w:pPr>
      <w:rPr>
        <w:rFonts w:hint="default"/>
        <w:lang w:val="zh-CN" w:eastAsia="zh-CN" w:bidi="zh-CN"/>
      </w:rPr>
    </w:lvl>
    <w:lvl w:ilvl="1">
      <w:start w:val="1"/>
      <w:numFmt w:val="decimal"/>
      <w:lvlText w:val="%1.%2"/>
      <w:lvlJc w:val="left"/>
      <w:pPr>
        <w:ind w:left="1328" w:hanging="629"/>
        <w:jc w:val="left"/>
      </w:pPr>
      <w:rPr>
        <w:rFonts w:ascii="Times New Roman" w:eastAsia="Times New Roman" w:hAnsi="Times New Roman" w:cs="Times New Roman" w:hint="default"/>
        <w:b/>
        <w:bCs/>
        <w:spacing w:val="-1"/>
        <w:w w:val="100"/>
        <w:sz w:val="28"/>
        <w:szCs w:val="28"/>
        <w:lang w:val="zh-CN" w:eastAsia="zh-CN" w:bidi="zh-CN"/>
      </w:rPr>
    </w:lvl>
    <w:lvl w:ilvl="2">
      <w:start w:val="0"/>
      <w:numFmt w:val="bullet"/>
      <w:lvlText w:val="•"/>
      <w:lvlJc w:val="left"/>
      <w:pPr>
        <w:ind w:left="2841" w:hanging="629"/>
      </w:pPr>
      <w:rPr>
        <w:rFonts w:hint="default"/>
        <w:lang w:val="zh-CN" w:eastAsia="zh-CN" w:bidi="zh-CN"/>
      </w:rPr>
    </w:lvl>
    <w:lvl w:ilvl="3">
      <w:start w:val="0"/>
      <w:numFmt w:val="bullet"/>
      <w:lvlText w:val="•"/>
      <w:lvlJc w:val="left"/>
      <w:pPr>
        <w:ind w:left="3601" w:hanging="629"/>
      </w:pPr>
      <w:rPr>
        <w:rFonts w:hint="default"/>
        <w:lang w:val="zh-CN" w:eastAsia="zh-CN" w:bidi="zh-CN"/>
      </w:rPr>
    </w:lvl>
    <w:lvl w:ilvl="4">
      <w:start w:val="0"/>
      <w:numFmt w:val="bullet"/>
      <w:lvlText w:val="•"/>
      <w:lvlJc w:val="left"/>
      <w:pPr>
        <w:ind w:left="4362" w:hanging="629"/>
      </w:pPr>
      <w:rPr>
        <w:rFonts w:hint="default"/>
        <w:lang w:val="zh-CN" w:eastAsia="zh-CN" w:bidi="zh-CN"/>
      </w:rPr>
    </w:lvl>
    <w:lvl w:ilvl="5">
      <w:start w:val="0"/>
      <w:numFmt w:val="bullet"/>
      <w:lvlText w:val="•"/>
      <w:lvlJc w:val="left"/>
      <w:pPr>
        <w:ind w:left="5123" w:hanging="629"/>
      </w:pPr>
      <w:rPr>
        <w:rFonts w:hint="default"/>
        <w:lang w:val="zh-CN" w:eastAsia="zh-CN" w:bidi="zh-CN"/>
      </w:rPr>
    </w:lvl>
    <w:lvl w:ilvl="6">
      <w:start w:val="0"/>
      <w:numFmt w:val="bullet"/>
      <w:lvlText w:val="•"/>
      <w:lvlJc w:val="left"/>
      <w:pPr>
        <w:ind w:left="5883" w:hanging="629"/>
      </w:pPr>
      <w:rPr>
        <w:rFonts w:hint="default"/>
        <w:lang w:val="zh-CN" w:eastAsia="zh-CN" w:bidi="zh-CN"/>
      </w:rPr>
    </w:lvl>
    <w:lvl w:ilvl="7">
      <w:start w:val="0"/>
      <w:numFmt w:val="bullet"/>
      <w:lvlText w:val="•"/>
      <w:lvlJc w:val="left"/>
      <w:pPr>
        <w:ind w:left="6644" w:hanging="629"/>
      </w:pPr>
      <w:rPr>
        <w:rFonts w:hint="default"/>
        <w:lang w:val="zh-CN" w:eastAsia="zh-CN" w:bidi="zh-CN"/>
      </w:rPr>
    </w:lvl>
    <w:lvl w:ilvl="8">
      <w:start w:val="0"/>
      <w:numFmt w:val="bullet"/>
      <w:lvlText w:val="•"/>
      <w:lvlJc w:val="left"/>
      <w:pPr>
        <w:ind w:left="7404" w:hanging="629"/>
      </w:pPr>
      <w:rPr>
        <w:rFonts w:hint="default"/>
        <w:lang w:val="zh-CN" w:eastAsia="zh-CN" w:bidi="zh-CN"/>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left="949" w:hanging="670"/>
      <w:outlineLvl w:val="0"/>
    </w:pPr>
    <w:rPr>
      <w:rFonts w:ascii="宋体" w:eastAsia="宋体" w:hAnsi="宋体" w:cs="宋体"/>
      <w:b/>
      <w:bCs/>
      <w:sz w:val="28"/>
      <w:szCs w:val="28"/>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39"/>
      <w:ind w:right="58"/>
      <w:jc w:val="center"/>
    </w:pPr>
    <w:rPr>
      <w:rFonts w:ascii="宋体" w:eastAsia="宋体" w:hAnsi="宋体" w:cs="宋体"/>
      <w:b/>
      <w:bCs/>
      <w:sz w:val="28"/>
      <w:szCs w:val="28"/>
      <w:lang w:val="zh-CN" w:eastAsia="zh-CN" w:bidi="zh-CN"/>
    </w:rPr>
  </w:style>
  <w:style w:type="paragraph" w:styleId="TOC2">
    <w:name w:val="toc 2"/>
    <w:basedOn w:val="Normal"/>
    <w:uiPriority w:val="1"/>
    <w:qFormat/>
    <w:pPr>
      <w:spacing w:before="265"/>
      <w:ind w:left="1328" w:hanging="629"/>
    </w:pPr>
    <w:rPr>
      <w:rFonts w:ascii="宋体" w:eastAsia="宋体" w:hAnsi="宋体" w:cs="宋体"/>
      <w:b/>
      <w:bCs/>
      <w:sz w:val="28"/>
      <w:szCs w:val="28"/>
      <w:lang w:val="zh-CN" w:eastAsia="zh-CN" w:bidi="zh-CN"/>
    </w:rPr>
  </w:style>
  <w:style w:type="paragraph" w:styleId="BodyText">
    <w:name w:val="Body Text"/>
    <w:basedOn w:val="Normal"/>
    <w:uiPriority w:val="1"/>
    <w:qFormat/>
    <w:rPr>
      <w:rFonts w:ascii="宋体" w:eastAsia="宋体" w:hAnsi="宋体" w:cs="宋体"/>
      <w:sz w:val="28"/>
      <w:szCs w:val="28"/>
      <w:lang w:val="zh-CN" w:eastAsia="zh-CN" w:bidi="zh-CN"/>
    </w:rPr>
  </w:style>
  <w:style w:type="paragraph" w:styleId="Title">
    <w:name w:val="Title"/>
    <w:basedOn w:val="Normal"/>
    <w:uiPriority w:val="1"/>
    <w:qFormat/>
    <w:pPr>
      <w:spacing w:before="8"/>
      <w:ind w:left="115"/>
    </w:pPr>
    <w:rPr>
      <w:rFonts w:ascii="宋体" w:eastAsia="宋体" w:hAnsi="宋体" w:cs="宋体"/>
      <w:sz w:val="67"/>
      <w:szCs w:val="67"/>
      <w:lang w:val="zh-CN" w:eastAsia="zh-CN" w:bidi="zh-CN"/>
    </w:rPr>
  </w:style>
  <w:style w:type="paragraph" w:styleId="ListParagraph">
    <w:name w:val="List Paragraph"/>
    <w:basedOn w:val="Normal"/>
    <w:uiPriority w:val="1"/>
    <w:qFormat/>
    <w:pPr>
      <w:spacing w:before="265"/>
      <w:ind w:left="1328" w:hanging="670"/>
    </w:pPr>
    <w:rPr>
      <w:rFonts w:ascii="宋体" w:eastAsia="宋体" w:hAnsi="宋体" w:cs="宋体"/>
      <w:lang w:val="zh-CN" w:eastAsia="zh-CN" w:bidi="zh-CN"/>
    </w:rPr>
  </w:style>
  <w:style w:type="paragraph" w:customStyle="1" w:styleId="TableParagraph">
    <w:name w:val="Table Paragraph"/>
    <w:basedOn w:val="Normal"/>
    <w:uiPriority w:val="1"/>
    <w:qFormat/>
    <w:rPr>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jpeg"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image" Target="media/image4.jpeg"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image" Target="media/image5.jpeg" /><Relationship Id="rId18" Type="http://schemas.openxmlformats.org/officeDocument/2006/relationships/hyperlink" Target="https://d.book118.com/207122126050006050" TargetMode="Externa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image" Target="media/image1.jpeg"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image" Target="media/image2.jpe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塔式起重机钢结构构组成</dc:title>
  <dc:creator>User</dc:creator>
  <cp:revision>0</cp:revision>
  <dcterms:created xsi:type="dcterms:W3CDTF">2024-03-07T07:44:00Z</dcterms:created>
  <dcterms:modified xsi:type="dcterms:W3CDTF">2024-03-07T07:44:00Z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2014-07-24T00:00:00Z</vt:filetime>
  </property>
  <property fmtid="{D5CDD505-2E9C-101B-9397-08002B2CF9AE}" pid="3" name="Creator">
    <vt:lpwstr>WPS Office 个人版</vt:lpwstr>
  </property>
  <property fmtid="{D5CDD505-2E9C-101B-9397-08002B2CF9AE}" pid="4" name="LastSaved">
    <vt:filetime>2024-03-07T00:00:00Z</vt:filetime>
  </property>
</Properties>
</file>