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控、缓释新型肥料项目规划设计蓝图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16" w:history="1">
        <w:r>
          <w:rPr>
            <w:rFonts w:ascii="仿宋" w:eastAsia="仿宋" w:hAnsi="仿宋" w:cs="仿宋" w:hint="eastAsia"/>
            <w:lang w:eastAsia="zh-CN"/>
          </w:rPr>
          <w:t>概论</w:t>
        </w:r>
        <w:r>
          <w:tab/>
        </w:r>
        <w:r>
          <w:fldChar w:fldCharType="begin"/>
        </w:r>
        <w:r>
          <w:instrText xml:space="preserve"> PAGEREF _Toc15616 \h </w:instrText>
        </w:r>
        <w:r>
          <w:fldChar w:fldCharType="separate"/>
        </w:r>
        <w:r>
          <w:t>3</w:t>
        </w:r>
        <w:r>
          <w:fldChar w:fldCharType="end"/>
        </w:r>
      </w:hyperlink>
    </w:p>
    <w:p>
      <w:pPr>
        <w:pStyle w:val="TOC1"/>
        <w:tabs>
          <w:tab w:val="right" w:leader="dot" w:pos="8306"/>
        </w:tabs>
      </w:pPr>
      <w:hyperlink w:anchor="_Toc26628" w:history="1">
        <w:r>
          <w:rPr>
            <w:rFonts w:ascii="仿宋" w:eastAsia="仿宋" w:hAnsi="仿宋" w:cs="仿宋" w:hint="eastAsia"/>
            <w:lang w:eastAsia="zh-CN"/>
          </w:rPr>
          <w:t>一、市场分析、调研</w:t>
        </w:r>
        <w:r>
          <w:tab/>
        </w:r>
        <w:r>
          <w:fldChar w:fldCharType="begin"/>
        </w:r>
        <w:r>
          <w:instrText xml:space="preserve"> PAGEREF _Toc26628 \h </w:instrText>
        </w:r>
        <w:r>
          <w:fldChar w:fldCharType="separate"/>
        </w:r>
        <w:r>
          <w:t>3</w:t>
        </w:r>
        <w:r>
          <w:fldChar w:fldCharType="end"/>
        </w:r>
      </w:hyperlink>
    </w:p>
    <w:p>
      <w:pPr>
        <w:pStyle w:val="TOC2"/>
        <w:tabs>
          <w:tab w:val="right" w:leader="dot" w:pos="8306"/>
        </w:tabs>
      </w:pPr>
      <w:hyperlink w:anchor="_Toc20564" w:history="1">
        <w:r>
          <w:rPr>
            <w:rFonts w:ascii="仿宋" w:eastAsia="仿宋" w:hAnsi="仿宋" w:cs="仿宋" w:hint="eastAsia"/>
            <w:lang w:eastAsia="zh-CN"/>
          </w:rPr>
          <w:t>(一)、控、缓释新型肥料行业分析</w:t>
        </w:r>
        <w:r>
          <w:tab/>
        </w:r>
        <w:r>
          <w:fldChar w:fldCharType="begin"/>
        </w:r>
        <w:r>
          <w:instrText xml:space="preserve"> PAGEREF _Toc20564 \h </w:instrText>
        </w:r>
        <w:r>
          <w:fldChar w:fldCharType="separate"/>
        </w:r>
        <w:r>
          <w:t>3</w:t>
        </w:r>
        <w:r>
          <w:fldChar w:fldCharType="end"/>
        </w:r>
      </w:hyperlink>
    </w:p>
    <w:p>
      <w:pPr>
        <w:pStyle w:val="TOC2"/>
        <w:tabs>
          <w:tab w:val="right" w:leader="dot" w:pos="8306"/>
        </w:tabs>
      </w:pPr>
      <w:hyperlink w:anchor="_Toc11261" w:history="1">
        <w:r>
          <w:rPr>
            <w:rFonts w:ascii="仿宋" w:eastAsia="仿宋" w:hAnsi="仿宋" w:cs="仿宋" w:hint="eastAsia"/>
            <w:lang w:eastAsia="zh-CN"/>
          </w:rPr>
          <w:t>(二)、控、缓释新型肥料市场分析预测</w:t>
        </w:r>
        <w:r>
          <w:tab/>
        </w:r>
        <w:r>
          <w:fldChar w:fldCharType="begin"/>
        </w:r>
        <w:r>
          <w:instrText xml:space="preserve"> PAGEREF _Toc11261 \h </w:instrText>
        </w:r>
        <w:r>
          <w:fldChar w:fldCharType="separate"/>
        </w:r>
        <w:r>
          <w:t>4</w:t>
        </w:r>
        <w:r>
          <w:fldChar w:fldCharType="end"/>
        </w:r>
      </w:hyperlink>
    </w:p>
    <w:p>
      <w:pPr>
        <w:pStyle w:val="TOC1"/>
        <w:tabs>
          <w:tab w:val="right" w:leader="dot" w:pos="8306"/>
        </w:tabs>
      </w:pPr>
      <w:hyperlink w:anchor="_Toc10530" w:history="1">
        <w:r>
          <w:rPr>
            <w:rFonts w:ascii="仿宋" w:eastAsia="仿宋" w:hAnsi="仿宋" w:cs="仿宋" w:hint="eastAsia"/>
            <w:lang w:eastAsia="zh-CN"/>
          </w:rPr>
          <w:t>二、控、缓释新型肥料项目绩效评估</w:t>
        </w:r>
        <w:r>
          <w:tab/>
        </w:r>
        <w:r>
          <w:fldChar w:fldCharType="begin"/>
        </w:r>
        <w:r>
          <w:instrText xml:space="preserve"> PAGEREF _Toc10530 \h </w:instrText>
        </w:r>
        <w:r>
          <w:fldChar w:fldCharType="separate"/>
        </w:r>
        <w:r>
          <w:t>5</w:t>
        </w:r>
        <w:r>
          <w:fldChar w:fldCharType="end"/>
        </w:r>
      </w:hyperlink>
    </w:p>
    <w:p>
      <w:pPr>
        <w:pStyle w:val="TOC2"/>
        <w:tabs>
          <w:tab w:val="right" w:leader="dot" w:pos="8306"/>
        </w:tabs>
      </w:pPr>
      <w:hyperlink w:anchor="_Toc22405" w:history="1">
        <w:r>
          <w:rPr>
            <w:rFonts w:ascii="仿宋" w:eastAsia="仿宋" w:hAnsi="仿宋" w:cs="仿宋" w:hint="eastAsia"/>
            <w:lang w:eastAsia="zh-CN"/>
          </w:rPr>
          <w:t>(一)、绩效评估指标</w:t>
        </w:r>
        <w:r>
          <w:tab/>
        </w:r>
        <w:r>
          <w:fldChar w:fldCharType="begin"/>
        </w:r>
        <w:r>
          <w:instrText xml:space="preserve"> PAGEREF _Toc22405 \h </w:instrText>
        </w:r>
        <w:r>
          <w:fldChar w:fldCharType="separate"/>
        </w:r>
        <w:r>
          <w:t>5</w:t>
        </w:r>
        <w:r>
          <w:fldChar w:fldCharType="end"/>
        </w:r>
      </w:hyperlink>
    </w:p>
    <w:p>
      <w:pPr>
        <w:pStyle w:val="TOC2"/>
        <w:tabs>
          <w:tab w:val="right" w:leader="dot" w:pos="8306"/>
        </w:tabs>
      </w:pPr>
      <w:hyperlink w:anchor="_Toc6235" w:history="1">
        <w:r>
          <w:rPr>
            <w:rFonts w:ascii="仿宋" w:eastAsia="仿宋" w:hAnsi="仿宋" w:cs="仿宋" w:hint="eastAsia"/>
            <w:lang w:eastAsia="zh-CN"/>
          </w:rPr>
          <w:t>(二)、绩效评估方法</w:t>
        </w:r>
        <w:r>
          <w:tab/>
        </w:r>
        <w:r>
          <w:fldChar w:fldCharType="begin"/>
        </w:r>
        <w:r>
          <w:instrText xml:space="preserve"> PAGEREF _Toc6235 \h </w:instrText>
        </w:r>
        <w:r>
          <w:fldChar w:fldCharType="separate"/>
        </w:r>
        <w:r>
          <w:t>6</w:t>
        </w:r>
        <w:r>
          <w:fldChar w:fldCharType="end"/>
        </w:r>
      </w:hyperlink>
    </w:p>
    <w:p>
      <w:pPr>
        <w:pStyle w:val="TOC2"/>
        <w:tabs>
          <w:tab w:val="right" w:leader="dot" w:pos="8306"/>
        </w:tabs>
      </w:pPr>
      <w:hyperlink w:anchor="_Toc31118" w:history="1">
        <w:r>
          <w:rPr>
            <w:rFonts w:ascii="仿宋" w:eastAsia="仿宋" w:hAnsi="仿宋" w:cs="仿宋" w:hint="eastAsia"/>
            <w:lang w:eastAsia="zh-CN"/>
          </w:rPr>
          <w:t>(三)、绩效评估周期</w:t>
        </w:r>
        <w:r>
          <w:tab/>
        </w:r>
        <w:r>
          <w:fldChar w:fldCharType="begin"/>
        </w:r>
        <w:r>
          <w:instrText xml:space="preserve"> PAGEREF _Toc31118 \h </w:instrText>
        </w:r>
        <w:r>
          <w:fldChar w:fldCharType="separate"/>
        </w:r>
        <w:r>
          <w:t>7</w:t>
        </w:r>
        <w:r>
          <w:fldChar w:fldCharType="end"/>
        </w:r>
      </w:hyperlink>
    </w:p>
    <w:p>
      <w:pPr>
        <w:pStyle w:val="TOC1"/>
        <w:tabs>
          <w:tab w:val="right" w:leader="dot" w:pos="8306"/>
        </w:tabs>
      </w:pPr>
      <w:hyperlink w:anchor="_Toc5060" w:history="1">
        <w:r>
          <w:rPr>
            <w:rFonts w:ascii="仿宋" w:eastAsia="仿宋" w:hAnsi="仿宋" w:cs="仿宋" w:hint="eastAsia"/>
            <w:lang w:eastAsia="zh-CN"/>
          </w:rPr>
          <w:t>三、控、缓释新型肥料项目选址可行性分析</w:t>
        </w:r>
        <w:r>
          <w:tab/>
        </w:r>
        <w:r>
          <w:fldChar w:fldCharType="begin"/>
        </w:r>
        <w:r>
          <w:instrText xml:space="preserve"> PAGEREF _Toc5060 \h </w:instrText>
        </w:r>
        <w:r>
          <w:fldChar w:fldCharType="separate"/>
        </w:r>
        <w:r>
          <w:t>8</w:t>
        </w:r>
        <w:r>
          <w:fldChar w:fldCharType="end"/>
        </w:r>
      </w:hyperlink>
    </w:p>
    <w:p>
      <w:pPr>
        <w:pStyle w:val="TOC2"/>
        <w:tabs>
          <w:tab w:val="right" w:leader="dot" w:pos="8306"/>
        </w:tabs>
      </w:pPr>
      <w:hyperlink w:anchor="_Toc20707" w:history="1">
        <w:r>
          <w:rPr>
            <w:rFonts w:ascii="仿宋" w:eastAsia="仿宋" w:hAnsi="仿宋" w:cs="仿宋" w:hint="eastAsia"/>
            <w:lang w:eastAsia="zh-CN"/>
          </w:rPr>
          <w:t>(一)、控、缓释新型肥料项目选址</w:t>
        </w:r>
        <w:r>
          <w:tab/>
        </w:r>
        <w:r>
          <w:fldChar w:fldCharType="begin"/>
        </w:r>
        <w:r>
          <w:instrText xml:space="preserve"> PAGEREF _Toc20707 \h </w:instrText>
        </w:r>
        <w:r>
          <w:fldChar w:fldCharType="separate"/>
        </w:r>
        <w:r>
          <w:t>8</w:t>
        </w:r>
        <w:r>
          <w:fldChar w:fldCharType="end"/>
        </w:r>
      </w:hyperlink>
    </w:p>
    <w:p>
      <w:pPr>
        <w:pStyle w:val="TOC2"/>
        <w:tabs>
          <w:tab w:val="right" w:leader="dot" w:pos="8306"/>
        </w:tabs>
      </w:pPr>
      <w:hyperlink w:anchor="_Toc26288" w:history="1">
        <w:r>
          <w:rPr>
            <w:rFonts w:ascii="仿宋" w:eastAsia="仿宋" w:hAnsi="仿宋" w:cs="仿宋" w:hint="eastAsia"/>
            <w:lang w:eastAsia="zh-CN"/>
          </w:rPr>
          <w:t>(二)、用地控制指标</w:t>
        </w:r>
        <w:r>
          <w:tab/>
        </w:r>
        <w:r>
          <w:fldChar w:fldCharType="begin"/>
        </w:r>
        <w:r>
          <w:instrText xml:space="preserve"> PAGEREF _Toc26288 \h </w:instrText>
        </w:r>
        <w:r>
          <w:fldChar w:fldCharType="separate"/>
        </w:r>
        <w:r>
          <w:t>8</w:t>
        </w:r>
        <w:r>
          <w:fldChar w:fldCharType="end"/>
        </w:r>
      </w:hyperlink>
    </w:p>
    <w:p>
      <w:pPr>
        <w:pStyle w:val="TOC2"/>
        <w:tabs>
          <w:tab w:val="right" w:leader="dot" w:pos="8306"/>
        </w:tabs>
      </w:pPr>
      <w:hyperlink w:anchor="_Toc11382" w:history="1">
        <w:r>
          <w:rPr>
            <w:rFonts w:ascii="仿宋" w:eastAsia="仿宋" w:hAnsi="仿宋" w:cs="仿宋" w:hint="eastAsia"/>
            <w:lang w:eastAsia="zh-CN"/>
          </w:rPr>
          <w:t>(三)、节约用地措施</w:t>
        </w:r>
        <w:r>
          <w:tab/>
        </w:r>
        <w:r>
          <w:fldChar w:fldCharType="begin"/>
        </w:r>
        <w:r>
          <w:instrText xml:space="preserve"> PAGEREF _Toc11382 \h </w:instrText>
        </w:r>
        <w:r>
          <w:fldChar w:fldCharType="separate"/>
        </w:r>
        <w:r>
          <w:t>10</w:t>
        </w:r>
        <w:r>
          <w:fldChar w:fldCharType="end"/>
        </w:r>
      </w:hyperlink>
    </w:p>
    <w:p>
      <w:pPr>
        <w:pStyle w:val="TOC2"/>
        <w:tabs>
          <w:tab w:val="right" w:leader="dot" w:pos="8306"/>
        </w:tabs>
      </w:pPr>
      <w:hyperlink w:anchor="_Toc14737" w:history="1">
        <w:r>
          <w:rPr>
            <w:rFonts w:ascii="仿宋" w:eastAsia="仿宋" w:hAnsi="仿宋" w:cs="仿宋" w:hint="eastAsia"/>
            <w:lang w:eastAsia="zh-CN"/>
          </w:rPr>
          <w:t>(四)、总图布置方案</w:t>
        </w:r>
        <w:r>
          <w:tab/>
        </w:r>
        <w:r>
          <w:fldChar w:fldCharType="begin"/>
        </w:r>
        <w:r>
          <w:instrText xml:space="preserve"> PAGEREF _Toc14737 \h </w:instrText>
        </w:r>
        <w:r>
          <w:fldChar w:fldCharType="separate"/>
        </w:r>
        <w:r>
          <w:t>11</w:t>
        </w:r>
        <w:r>
          <w:fldChar w:fldCharType="end"/>
        </w:r>
      </w:hyperlink>
    </w:p>
    <w:p>
      <w:pPr>
        <w:pStyle w:val="TOC2"/>
        <w:tabs>
          <w:tab w:val="right" w:leader="dot" w:pos="8306"/>
        </w:tabs>
      </w:pPr>
      <w:hyperlink w:anchor="_Toc23340" w:history="1">
        <w:r>
          <w:rPr>
            <w:rFonts w:ascii="仿宋" w:eastAsia="仿宋" w:hAnsi="仿宋" w:cs="仿宋" w:hint="eastAsia"/>
            <w:lang w:eastAsia="zh-CN"/>
          </w:rPr>
          <w:t>(五)、选址综合评价</w:t>
        </w:r>
        <w:r>
          <w:tab/>
        </w:r>
        <w:r>
          <w:fldChar w:fldCharType="begin"/>
        </w:r>
        <w:r>
          <w:instrText xml:space="preserve"> PAGEREF _Toc23340 \h </w:instrText>
        </w:r>
        <w:r>
          <w:fldChar w:fldCharType="separate"/>
        </w:r>
        <w:r>
          <w:t>12</w:t>
        </w:r>
        <w:r>
          <w:fldChar w:fldCharType="end"/>
        </w:r>
      </w:hyperlink>
    </w:p>
    <w:p>
      <w:pPr>
        <w:pStyle w:val="TOC1"/>
        <w:tabs>
          <w:tab w:val="right" w:leader="dot" w:pos="8306"/>
        </w:tabs>
      </w:pPr>
      <w:hyperlink w:anchor="_Toc12034" w:history="1">
        <w:r>
          <w:rPr>
            <w:rFonts w:ascii="仿宋" w:eastAsia="仿宋" w:hAnsi="仿宋" w:cs="仿宋" w:hint="eastAsia"/>
            <w:lang w:eastAsia="zh-CN"/>
          </w:rPr>
          <w:t>四、控、缓释新型肥料项目危机管理</w:t>
        </w:r>
        <w:r>
          <w:tab/>
        </w:r>
        <w:r>
          <w:fldChar w:fldCharType="begin"/>
        </w:r>
        <w:r>
          <w:instrText xml:space="preserve"> PAGEREF _Toc12034 \h </w:instrText>
        </w:r>
        <w:r>
          <w:fldChar w:fldCharType="separate"/>
        </w:r>
        <w:r>
          <w:t>14</w:t>
        </w:r>
        <w:r>
          <w:fldChar w:fldCharType="end"/>
        </w:r>
      </w:hyperlink>
    </w:p>
    <w:p>
      <w:pPr>
        <w:pStyle w:val="TOC2"/>
        <w:tabs>
          <w:tab w:val="right" w:leader="dot" w:pos="8306"/>
        </w:tabs>
      </w:pPr>
      <w:hyperlink w:anchor="_Toc3904" w:history="1">
        <w:r>
          <w:rPr>
            <w:rFonts w:ascii="仿宋" w:eastAsia="仿宋" w:hAnsi="仿宋" w:cs="仿宋" w:hint="eastAsia"/>
            <w:lang w:eastAsia="zh-CN"/>
          </w:rPr>
          <w:t>(一)、危机预警与识别</w:t>
        </w:r>
        <w:r>
          <w:tab/>
        </w:r>
        <w:r>
          <w:fldChar w:fldCharType="begin"/>
        </w:r>
        <w:r>
          <w:instrText xml:space="preserve"> PAGEREF _Toc3904 \h </w:instrText>
        </w:r>
        <w:r>
          <w:fldChar w:fldCharType="separate"/>
        </w:r>
        <w:r>
          <w:t>14</w:t>
        </w:r>
        <w:r>
          <w:fldChar w:fldCharType="end"/>
        </w:r>
      </w:hyperlink>
    </w:p>
    <w:p>
      <w:pPr>
        <w:pStyle w:val="TOC2"/>
        <w:tabs>
          <w:tab w:val="right" w:leader="dot" w:pos="8306"/>
        </w:tabs>
      </w:pPr>
      <w:hyperlink w:anchor="_Toc2616" w:history="1">
        <w:r>
          <w:rPr>
            <w:rFonts w:ascii="仿宋" w:eastAsia="仿宋" w:hAnsi="仿宋" w:cs="仿宋" w:hint="eastAsia"/>
            <w:lang w:eastAsia="zh-CN"/>
          </w:rPr>
          <w:t>(二)、危机应对与恢复</w:t>
        </w:r>
        <w:r>
          <w:tab/>
        </w:r>
        <w:r>
          <w:fldChar w:fldCharType="begin"/>
        </w:r>
        <w:r>
          <w:instrText xml:space="preserve"> PAGEREF _Toc2616 \h </w:instrText>
        </w:r>
        <w:r>
          <w:fldChar w:fldCharType="separate"/>
        </w:r>
        <w:r>
          <w:t>15</w:t>
        </w:r>
        <w:r>
          <w:fldChar w:fldCharType="end"/>
        </w:r>
      </w:hyperlink>
    </w:p>
    <w:p>
      <w:pPr>
        <w:pStyle w:val="TOC1"/>
        <w:tabs>
          <w:tab w:val="right" w:leader="dot" w:pos="8306"/>
        </w:tabs>
      </w:pPr>
      <w:hyperlink w:anchor="_Toc31079" w:history="1">
        <w:r>
          <w:rPr>
            <w:rFonts w:ascii="仿宋" w:eastAsia="仿宋" w:hAnsi="仿宋" w:cs="仿宋" w:hint="eastAsia"/>
            <w:lang w:eastAsia="zh-CN"/>
          </w:rPr>
          <w:t>五、工艺说明</w:t>
        </w:r>
        <w:r>
          <w:tab/>
        </w:r>
        <w:r>
          <w:fldChar w:fldCharType="begin"/>
        </w:r>
        <w:r>
          <w:instrText xml:space="preserve"> PAGEREF _Toc31079 \h </w:instrText>
        </w:r>
        <w:r>
          <w:fldChar w:fldCharType="separate"/>
        </w:r>
        <w:r>
          <w:t>16</w:t>
        </w:r>
        <w:r>
          <w:fldChar w:fldCharType="end"/>
        </w:r>
      </w:hyperlink>
    </w:p>
    <w:p>
      <w:pPr>
        <w:pStyle w:val="TOC2"/>
        <w:tabs>
          <w:tab w:val="right" w:leader="dot" w:pos="8306"/>
        </w:tabs>
      </w:pPr>
      <w:hyperlink w:anchor="_Toc12806" w:history="1">
        <w:r>
          <w:rPr>
            <w:rFonts w:ascii="仿宋" w:eastAsia="仿宋" w:hAnsi="仿宋" w:cs="仿宋" w:hint="eastAsia"/>
            <w:lang w:eastAsia="zh-CN"/>
          </w:rPr>
          <w:t>(一)、技术管理特点</w:t>
        </w:r>
        <w:r>
          <w:tab/>
        </w:r>
        <w:r>
          <w:fldChar w:fldCharType="begin"/>
        </w:r>
        <w:r>
          <w:instrText xml:space="preserve"> PAGEREF _Toc12806 \h </w:instrText>
        </w:r>
        <w:r>
          <w:fldChar w:fldCharType="separate"/>
        </w:r>
        <w:r>
          <w:t>16</w:t>
        </w:r>
        <w:r>
          <w:fldChar w:fldCharType="end"/>
        </w:r>
      </w:hyperlink>
    </w:p>
    <w:p>
      <w:pPr>
        <w:pStyle w:val="TOC2"/>
        <w:tabs>
          <w:tab w:val="right" w:leader="dot" w:pos="8306"/>
        </w:tabs>
      </w:pPr>
      <w:hyperlink w:anchor="_Toc16983" w:history="1">
        <w:r>
          <w:rPr>
            <w:rFonts w:ascii="仿宋" w:eastAsia="仿宋" w:hAnsi="仿宋" w:cs="仿宋" w:hint="eastAsia"/>
            <w:lang w:eastAsia="zh-CN"/>
          </w:rPr>
          <w:t>(二)、控、缓释新型肥料项目工艺技术设计方案</w:t>
        </w:r>
        <w:r>
          <w:tab/>
        </w:r>
        <w:r>
          <w:fldChar w:fldCharType="begin"/>
        </w:r>
        <w:r>
          <w:instrText xml:space="preserve"> PAGEREF _Toc16983 \h </w:instrText>
        </w:r>
        <w:r>
          <w:fldChar w:fldCharType="separate"/>
        </w:r>
        <w:r>
          <w:t>17</w:t>
        </w:r>
        <w:r>
          <w:fldChar w:fldCharType="end"/>
        </w:r>
      </w:hyperlink>
    </w:p>
    <w:p>
      <w:pPr>
        <w:pStyle w:val="TOC2"/>
        <w:tabs>
          <w:tab w:val="right" w:leader="dot" w:pos="8306"/>
        </w:tabs>
      </w:pPr>
      <w:hyperlink w:anchor="_Toc15562" w:history="1">
        <w:r>
          <w:rPr>
            <w:rFonts w:ascii="仿宋" w:eastAsia="仿宋" w:hAnsi="仿宋" w:cs="仿宋" w:hint="eastAsia"/>
            <w:lang w:eastAsia="zh-CN"/>
          </w:rPr>
          <w:t>(三)、设备选型方案</w:t>
        </w:r>
        <w:r>
          <w:tab/>
        </w:r>
        <w:r>
          <w:fldChar w:fldCharType="begin"/>
        </w:r>
        <w:r>
          <w:instrText xml:space="preserve"> PAGEREF _Toc15562 \h </w:instrText>
        </w:r>
        <w:r>
          <w:fldChar w:fldCharType="separate"/>
        </w:r>
        <w:r>
          <w:t>19</w:t>
        </w:r>
        <w:r>
          <w:fldChar w:fldCharType="end"/>
        </w:r>
      </w:hyperlink>
    </w:p>
    <w:p>
      <w:pPr>
        <w:pStyle w:val="TOC1"/>
        <w:tabs>
          <w:tab w:val="right" w:leader="dot" w:pos="8306"/>
        </w:tabs>
      </w:pPr>
      <w:hyperlink w:anchor="_Toc32108" w:history="1">
        <w:r>
          <w:rPr>
            <w:rFonts w:ascii="仿宋" w:eastAsia="仿宋" w:hAnsi="仿宋" w:cs="仿宋" w:hint="eastAsia"/>
            <w:lang w:eastAsia="zh-CN"/>
          </w:rPr>
          <w:t>六、控、缓释新型肥料项目土建工程</w:t>
        </w:r>
        <w:r>
          <w:tab/>
        </w:r>
        <w:r>
          <w:fldChar w:fldCharType="begin"/>
        </w:r>
        <w:r>
          <w:instrText xml:space="preserve"> PAGEREF _Toc32108 \h </w:instrText>
        </w:r>
        <w:r>
          <w:fldChar w:fldCharType="separate"/>
        </w:r>
        <w:r>
          <w:t>20</w:t>
        </w:r>
        <w:r>
          <w:fldChar w:fldCharType="end"/>
        </w:r>
      </w:hyperlink>
    </w:p>
    <w:p>
      <w:pPr>
        <w:pStyle w:val="TOC2"/>
        <w:tabs>
          <w:tab w:val="right" w:leader="dot" w:pos="8306"/>
        </w:tabs>
      </w:pPr>
      <w:hyperlink w:anchor="_Toc21763" w:history="1">
        <w:r>
          <w:rPr>
            <w:rFonts w:ascii="仿宋" w:eastAsia="仿宋" w:hAnsi="仿宋" w:cs="仿宋" w:hint="eastAsia"/>
            <w:lang w:eastAsia="zh-CN"/>
          </w:rPr>
          <w:t>(一)、建筑工程设计原则</w:t>
        </w:r>
        <w:r>
          <w:tab/>
        </w:r>
        <w:r>
          <w:fldChar w:fldCharType="begin"/>
        </w:r>
        <w:r>
          <w:instrText xml:space="preserve"> PAGEREF _Toc21763 \h </w:instrText>
        </w:r>
        <w:r>
          <w:fldChar w:fldCharType="separate"/>
        </w:r>
        <w:r>
          <w:t>20</w:t>
        </w:r>
        <w:r>
          <w:fldChar w:fldCharType="end"/>
        </w:r>
      </w:hyperlink>
    </w:p>
    <w:p>
      <w:pPr>
        <w:pStyle w:val="TOC2"/>
        <w:tabs>
          <w:tab w:val="right" w:leader="dot" w:pos="8306"/>
        </w:tabs>
      </w:pPr>
      <w:hyperlink w:anchor="_Toc17782" w:history="1">
        <w:r>
          <w:rPr>
            <w:rFonts w:ascii="仿宋" w:eastAsia="仿宋" w:hAnsi="仿宋" w:cs="仿宋" w:hint="eastAsia"/>
            <w:lang w:eastAsia="zh-CN"/>
          </w:rPr>
          <w:t>(二)、土建工程设计年限及安全等级</w:t>
        </w:r>
        <w:r>
          <w:tab/>
        </w:r>
        <w:r>
          <w:fldChar w:fldCharType="begin"/>
        </w:r>
        <w:r>
          <w:instrText xml:space="preserve"> PAGEREF _Toc17782 \h </w:instrText>
        </w:r>
        <w:r>
          <w:fldChar w:fldCharType="separate"/>
        </w:r>
        <w:r>
          <w:t>21</w:t>
        </w:r>
        <w:r>
          <w:fldChar w:fldCharType="end"/>
        </w:r>
      </w:hyperlink>
    </w:p>
    <w:p>
      <w:pPr>
        <w:pStyle w:val="TOC2"/>
        <w:tabs>
          <w:tab w:val="right" w:leader="dot" w:pos="8306"/>
        </w:tabs>
      </w:pPr>
      <w:hyperlink w:anchor="_Toc867" w:history="1">
        <w:r>
          <w:rPr>
            <w:rFonts w:ascii="仿宋" w:eastAsia="仿宋" w:hAnsi="仿宋" w:cs="仿宋" w:hint="eastAsia"/>
            <w:lang w:eastAsia="zh-CN"/>
          </w:rPr>
          <w:t>(三)、建筑工程设计总体要求</w:t>
        </w:r>
        <w:r>
          <w:tab/>
        </w:r>
        <w:r>
          <w:fldChar w:fldCharType="begin"/>
        </w:r>
        <w:r>
          <w:instrText xml:space="preserve"> PAGEREF _Toc867 \h </w:instrText>
        </w:r>
        <w:r>
          <w:fldChar w:fldCharType="separate"/>
        </w:r>
        <w:r>
          <w:t>23</w:t>
        </w:r>
        <w:r>
          <w:fldChar w:fldCharType="end"/>
        </w:r>
      </w:hyperlink>
    </w:p>
    <w:p>
      <w:pPr>
        <w:pStyle w:val="TOC2"/>
        <w:tabs>
          <w:tab w:val="right" w:leader="dot" w:pos="8306"/>
        </w:tabs>
      </w:pPr>
      <w:hyperlink w:anchor="_Toc31993" w:history="1">
        <w:r>
          <w:rPr>
            <w:rFonts w:ascii="仿宋" w:eastAsia="仿宋" w:hAnsi="仿宋" w:cs="仿宋" w:hint="eastAsia"/>
            <w:lang w:eastAsia="zh-CN"/>
          </w:rPr>
          <w:t>(四)、土建工程建设指标</w:t>
        </w:r>
        <w:r>
          <w:tab/>
        </w:r>
        <w:r>
          <w:fldChar w:fldCharType="begin"/>
        </w:r>
        <w:r>
          <w:instrText xml:space="preserve"> PAGEREF _Toc31993 \h </w:instrText>
        </w:r>
        <w:r>
          <w:fldChar w:fldCharType="separate"/>
        </w:r>
        <w:r>
          <w:t>23</w:t>
        </w:r>
        <w:r>
          <w:fldChar w:fldCharType="end"/>
        </w:r>
      </w:hyperlink>
    </w:p>
    <w:p>
      <w:pPr>
        <w:pStyle w:val="TOC1"/>
        <w:tabs>
          <w:tab w:val="right" w:leader="dot" w:pos="8306"/>
        </w:tabs>
      </w:pPr>
      <w:hyperlink w:anchor="_Toc4756" w:history="1">
        <w:r>
          <w:rPr>
            <w:rFonts w:ascii="仿宋" w:eastAsia="仿宋" w:hAnsi="仿宋" w:cs="仿宋" w:hint="eastAsia"/>
            <w:lang w:eastAsia="zh-CN"/>
          </w:rPr>
          <w:t>七、控、缓释新型肥料项目环境影响分析</w:t>
        </w:r>
        <w:r>
          <w:tab/>
        </w:r>
        <w:r>
          <w:fldChar w:fldCharType="begin"/>
        </w:r>
        <w:r>
          <w:instrText xml:space="preserve"> PAGEREF _Toc4756 \h </w:instrText>
        </w:r>
        <w:r>
          <w:fldChar w:fldCharType="separate"/>
        </w:r>
        <w:r>
          <w:t>23</w:t>
        </w:r>
        <w:r>
          <w:fldChar w:fldCharType="end"/>
        </w:r>
      </w:hyperlink>
    </w:p>
    <w:p>
      <w:pPr>
        <w:pStyle w:val="TOC2"/>
        <w:tabs>
          <w:tab w:val="right" w:leader="dot" w:pos="8306"/>
        </w:tabs>
      </w:pPr>
      <w:hyperlink w:anchor="_Toc13665" w:history="1">
        <w:r>
          <w:rPr>
            <w:rFonts w:ascii="仿宋" w:eastAsia="仿宋" w:hAnsi="仿宋" w:cs="仿宋" w:hint="eastAsia"/>
            <w:lang w:eastAsia="zh-CN"/>
          </w:rPr>
          <w:t>(一)、建设区域环境质量现状</w:t>
        </w:r>
        <w:r>
          <w:tab/>
        </w:r>
        <w:r>
          <w:fldChar w:fldCharType="begin"/>
        </w:r>
        <w:r>
          <w:instrText xml:space="preserve"> PAGEREF _Toc13665 \h </w:instrText>
        </w:r>
        <w:r>
          <w:fldChar w:fldCharType="separate"/>
        </w:r>
        <w:r>
          <w:t>23</w:t>
        </w:r>
        <w:r>
          <w:fldChar w:fldCharType="end"/>
        </w:r>
      </w:hyperlink>
    </w:p>
    <w:p>
      <w:pPr>
        <w:pStyle w:val="TOC2"/>
        <w:tabs>
          <w:tab w:val="right" w:leader="dot" w:pos="8306"/>
        </w:tabs>
      </w:pPr>
      <w:hyperlink w:anchor="_Toc8717" w:history="1">
        <w:r>
          <w:rPr>
            <w:rFonts w:ascii="仿宋" w:eastAsia="仿宋" w:hAnsi="仿宋" w:cs="仿宋" w:hint="eastAsia"/>
            <w:lang w:eastAsia="zh-CN"/>
          </w:rPr>
          <w:t>(二)、建设期环境保护</w:t>
        </w:r>
        <w:r>
          <w:tab/>
        </w:r>
        <w:r>
          <w:fldChar w:fldCharType="begin"/>
        </w:r>
        <w:r>
          <w:instrText xml:space="preserve"> PAGEREF _Toc8717 \h </w:instrText>
        </w:r>
        <w:r>
          <w:fldChar w:fldCharType="separate"/>
        </w:r>
        <w:r>
          <w:t>25</w:t>
        </w:r>
        <w:r>
          <w:fldChar w:fldCharType="end"/>
        </w:r>
      </w:hyperlink>
    </w:p>
    <w:p>
      <w:pPr>
        <w:pStyle w:val="TOC2"/>
        <w:tabs>
          <w:tab w:val="right" w:leader="dot" w:pos="8306"/>
        </w:tabs>
      </w:pPr>
      <w:hyperlink w:anchor="_Toc7425" w:history="1">
        <w:r>
          <w:rPr>
            <w:rFonts w:ascii="仿宋" w:eastAsia="仿宋" w:hAnsi="仿宋" w:cs="仿宋" w:hint="eastAsia"/>
            <w:lang w:eastAsia="zh-CN"/>
          </w:rPr>
          <w:t>(三)、运营期环境保护</w:t>
        </w:r>
        <w:r>
          <w:tab/>
        </w:r>
        <w:r>
          <w:fldChar w:fldCharType="begin"/>
        </w:r>
        <w:r>
          <w:instrText xml:space="preserve"> PAGEREF _Toc7425 \h </w:instrText>
        </w:r>
        <w:r>
          <w:fldChar w:fldCharType="separate"/>
        </w:r>
        <w:r>
          <w:t>26</w:t>
        </w:r>
        <w:r>
          <w:fldChar w:fldCharType="end"/>
        </w:r>
      </w:hyperlink>
    </w:p>
    <w:p>
      <w:pPr>
        <w:pStyle w:val="TOC2"/>
        <w:tabs>
          <w:tab w:val="right" w:leader="dot" w:pos="8306"/>
        </w:tabs>
      </w:pPr>
      <w:hyperlink w:anchor="_Toc26794" w:history="1">
        <w:r>
          <w:rPr>
            <w:rFonts w:ascii="仿宋" w:eastAsia="仿宋" w:hAnsi="仿宋" w:cs="仿宋" w:hint="eastAsia"/>
            <w:lang w:eastAsia="zh-CN"/>
          </w:rPr>
          <w:t>(四)、控、缓释新型肥料项目建设对区域经济的影响</w:t>
        </w:r>
        <w:r>
          <w:tab/>
        </w:r>
        <w:r>
          <w:fldChar w:fldCharType="begin"/>
        </w:r>
        <w:r>
          <w:instrText xml:space="preserve"> PAGEREF _Toc26794 \h </w:instrText>
        </w:r>
        <w:r>
          <w:fldChar w:fldCharType="separate"/>
        </w:r>
        <w:r>
          <w:t>28</w:t>
        </w:r>
        <w:r>
          <w:fldChar w:fldCharType="end"/>
        </w:r>
      </w:hyperlink>
    </w:p>
    <w:p>
      <w:pPr>
        <w:pStyle w:val="TOC2"/>
        <w:tabs>
          <w:tab w:val="right" w:leader="dot" w:pos="8306"/>
        </w:tabs>
      </w:pPr>
      <w:hyperlink w:anchor="_Toc4563" w:history="1">
        <w:r>
          <w:rPr>
            <w:rFonts w:ascii="仿宋" w:eastAsia="仿宋" w:hAnsi="仿宋" w:cs="仿宋" w:hint="eastAsia"/>
            <w:lang w:eastAsia="zh-CN"/>
          </w:rPr>
          <w:t>(五)、废弃物处理</w:t>
        </w:r>
        <w:r>
          <w:tab/>
        </w:r>
        <w:r>
          <w:fldChar w:fldCharType="begin"/>
        </w:r>
        <w:r>
          <w:instrText xml:space="preserve"> PAGEREF _Toc4563 \h </w:instrText>
        </w:r>
        <w:r>
          <w:fldChar w:fldCharType="separate"/>
        </w:r>
        <w:r>
          <w:t>29</w:t>
        </w:r>
        <w:r>
          <w:fldChar w:fldCharType="end"/>
        </w:r>
      </w:hyperlink>
    </w:p>
    <w:p>
      <w:pPr>
        <w:pStyle w:val="TOC2"/>
        <w:tabs>
          <w:tab w:val="right" w:leader="dot" w:pos="8306"/>
        </w:tabs>
      </w:pPr>
      <w:hyperlink w:anchor="_Toc27873" w:history="1">
        <w:r>
          <w:rPr>
            <w:rFonts w:ascii="仿宋" w:eastAsia="仿宋" w:hAnsi="仿宋" w:cs="仿宋" w:hint="eastAsia"/>
            <w:lang w:eastAsia="zh-CN"/>
          </w:rPr>
          <w:t>(六)、特殊环境影响分析</w:t>
        </w:r>
        <w:r>
          <w:tab/>
        </w:r>
        <w:r>
          <w:fldChar w:fldCharType="begin"/>
        </w:r>
        <w:r>
          <w:instrText xml:space="preserve"> PAGEREF _Toc27873 \h </w:instrText>
        </w:r>
        <w:r>
          <w:fldChar w:fldCharType="separate"/>
        </w:r>
        <w:r>
          <w:t>31</w:t>
        </w:r>
        <w:r>
          <w:fldChar w:fldCharType="end"/>
        </w:r>
      </w:hyperlink>
    </w:p>
    <w:p>
      <w:pPr>
        <w:pStyle w:val="TOC2"/>
        <w:tabs>
          <w:tab w:val="right" w:leader="dot" w:pos="8306"/>
        </w:tabs>
      </w:pPr>
      <w:hyperlink w:anchor="_Toc10055" w:history="1">
        <w:r>
          <w:rPr>
            <w:rFonts w:ascii="仿宋" w:eastAsia="仿宋" w:hAnsi="仿宋" w:cs="仿宋" w:hint="eastAsia"/>
            <w:lang w:eastAsia="zh-CN"/>
          </w:rPr>
          <w:t>(七)、清洁生产</w:t>
        </w:r>
        <w:r>
          <w:tab/>
        </w:r>
        <w:r>
          <w:fldChar w:fldCharType="begin"/>
        </w:r>
        <w:r>
          <w:instrText xml:space="preserve"> PAGEREF _Toc10055 \h </w:instrText>
        </w:r>
        <w:r>
          <w:fldChar w:fldCharType="separate"/>
        </w:r>
        <w:r>
          <w:t>32</w:t>
        </w:r>
        <w:r>
          <w:fldChar w:fldCharType="end"/>
        </w:r>
      </w:hyperlink>
    </w:p>
    <w:p>
      <w:pPr>
        <w:pStyle w:val="TOC2"/>
        <w:tabs>
          <w:tab w:val="right" w:leader="dot" w:pos="8306"/>
        </w:tabs>
      </w:pPr>
      <w:hyperlink w:anchor="_Toc26576" w:history="1">
        <w:r>
          <w:rPr>
            <w:rFonts w:ascii="仿宋" w:eastAsia="仿宋" w:hAnsi="仿宋" w:cs="仿宋" w:hint="eastAsia"/>
            <w:lang w:eastAsia="zh-CN"/>
          </w:rPr>
          <w:t>(八)、环境保护综合评价</w:t>
        </w:r>
        <w:r>
          <w:tab/>
        </w:r>
        <w:r>
          <w:fldChar w:fldCharType="begin"/>
        </w:r>
        <w:r>
          <w:instrText xml:space="preserve"> PAGEREF _Toc26576 \h </w:instrText>
        </w:r>
        <w:r>
          <w:fldChar w:fldCharType="separate"/>
        </w:r>
        <w:r>
          <w:t>33</w:t>
        </w:r>
        <w:r>
          <w:fldChar w:fldCharType="end"/>
        </w:r>
      </w:hyperlink>
    </w:p>
    <w:p>
      <w:pPr>
        <w:pStyle w:val="TOC1"/>
        <w:tabs>
          <w:tab w:val="right" w:leader="dot" w:pos="8306"/>
        </w:tabs>
      </w:pPr>
      <w:hyperlink w:anchor="_Toc8119" w:history="1">
        <w:r>
          <w:rPr>
            <w:rFonts w:ascii="仿宋" w:eastAsia="仿宋" w:hAnsi="仿宋" w:cs="仿宋" w:hint="eastAsia"/>
            <w:lang w:eastAsia="zh-CN"/>
          </w:rPr>
          <w:t>八、控、缓释新型肥料项目经营效益</w:t>
        </w:r>
        <w:r>
          <w:tab/>
        </w:r>
        <w:r>
          <w:fldChar w:fldCharType="begin"/>
        </w:r>
        <w:r>
          <w:instrText xml:space="preserve"> PAGEREF _Toc8119 \h </w:instrText>
        </w:r>
        <w:r>
          <w:fldChar w:fldCharType="separate"/>
        </w:r>
        <w:r>
          <w:t>35</w:t>
        </w:r>
        <w:r>
          <w:fldChar w:fldCharType="end"/>
        </w:r>
      </w:hyperlink>
    </w:p>
    <w:p>
      <w:pPr>
        <w:pStyle w:val="TOC2"/>
        <w:tabs>
          <w:tab w:val="right" w:leader="dot" w:pos="8306"/>
        </w:tabs>
      </w:pPr>
      <w:hyperlink w:anchor="_Toc29040" w:history="1">
        <w:r>
          <w:rPr>
            <w:rFonts w:ascii="仿宋" w:eastAsia="仿宋" w:hAnsi="仿宋" w:cs="仿宋" w:hint="eastAsia"/>
            <w:lang w:eastAsia="zh-CN"/>
          </w:rPr>
          <w:t>(一)、经济评价财务测算</w:t>
        </w:r>
        <w:r>
          <w:tab/>
        </w:r>
        <w:r>
          <w:fldChar w:fldCharType="begin"/>
        </w:r>
        <w:r>
          <w:instrText xml:space="preserve"> PAGEREF _Toc29040 \h </w:instrText>
        </w:r>
        <w:r>
          <w:fldChar w:fldCharType="separate"/>
        </w:r>
        <w:r>
          <w:t>35</w:t>
        </w:r>
        <w:r>
          <w:fldChar w:fldCharType="end"/>
        </w:r>
      </w:hyperlink>
    </w:p>
    <w:p>
      <w:pPr>
        <w:pStyle w:val="TOC2"/>
        <w:tabs>
          <w:tab w:val="right" w:leader="dot" w:pos="8306"/>
        </w:tabs>
      </w:pPr>
      <w:hyperlink w:anchor="_Toc7724" w:history="1">
        <w:r>
          <w:rPr>
            <w:rFonts w:ascii="仿宋" w:eastAsia="仿宋" w:hAnsi="仿宋" w:cs="仿宋" w:hint="eastAsia"/>
            <w:lang w:eastAsia="zh-CN"/>
          </w:rPr>
          <w:t>(二)、控、缓释新型肥料项目盈利能力分析</w:t>
        </w:r>
        <w:r>
          <w:tab/>
        </w:r>
        <w:r>
          <w:fldChar w:fldCharType="begin"/>
        </w:r>
        <w:r>
          <w:instrText xml:space="preserve"> PAGEREF _Toc7724 \h </w:instrText>
        </w:r>
        <w:r>
          <w:fldChar w:fldCharType="separate"/>
        </w:r>
        <w:r>
          <w:t>36</w:t>
        </w:r>
        <w:r>
          <w:fldChar w:fldCharType="end"/>
        </w:r>
      </w:hyperlink>
    </w:p>
    <w:p>
      <w:pPr>
        <w:pStyle w:val="TOC1"/>
        <w:tabs>
          <w:tab w:val="right" w:leader="dot" w:pos="8306"/>
        </w:tabs>
      </w:pPr>
      <w:hyperlink w:anchor="_Toc18355" w:history="1">
        <w:r>
          <w:rPr>
            <w:rFonts w:ascii="仿宋" w:eastAsia="仿宋" w:hAnsi="仿宋" w:cs="仿宋" w:hint="eastAsia"/>
            <w:lang w:eastAsia="zh-CN"/>
          </w:rPr>
          <w:t>九、生产安全保护</w:t>
        </w:r>
        <w:r>
          <w:tab/>
        </w:r>
        <w:r>
          <w:fldChar w:fldCharType="begin"/>
        </w:r>
        <w:r>
          <w:instrText xml:space="preserve"> PAGEREF _Toc18355 \h </w:instrText>
        </w:r>
        <w:r>
          <w:fldChar w:fldCharType="separate"/>
        </w:r>
        <w:r>
          <w:t>37</w:t>
        </w:r>
        <w:r>
          <w:fldChar w:fldCharType="end"/>
        </w:r>
      </w:hyperlink>
    </w:p>
    <w:p>
      <w:pPr>
        <w:pStyle w:val="TOC2"/>
        <w:tabs>
          <w:tab w:val="right" w:leader="dot" w:pos="8306"/>
        </w:tabs>
      </w:pPr>
      <w:hyperlink w:anchor="_Toc15258" w:history="1">
        <w:r>
          <w:rPr>
            <w:rFonts w:ascii="仿宋" w:eastAsia="仿宋" w:hAnsi="仿宋" w:cs="仿宋" w:hint="eastAsia"/>
            <w:lang w:eastAsia="zh-CN"/>
          </w:rPr>
          <w:t>(一)、消防安全</w:t>
        </w:r>
        <w:r>
          <w:tab/>
        </w:r>
        <w:r>
          <w:fldChar w:fldCharType="begin"/>
        </w:r>
        <w:r>
          <w:instrText xml:space="preserve"> PAGEREF _Toc15258 \h </w:instrText>
        </w:r>
        <w:r>
          <w:fldChar w:fldCharType="separate"/>
        </w:r>
        <w:r>
          <w:t>37</w:t>
        </w:r>
        <w:r>
          <w:fldChar w:fldCharType="end"/>
        </w:r>
      </w:hyperlink>
    </w:p>
    <w:p>
      <w:pPr>
        <w:pStyle w:val="TOC2"/>
        <w:tabs>
          <w:tab w:val="right" w:leader="dot" w:pos="8306"/>
        </w:tabs>
      </w:pPr>
      <w:hyperlink w:anchor="_Toc20321" w:history="1">
        <w:r>
          <w:rPr>
            <w:rFonts w:ascii="仿宋" w:eastAsia="仿宋" w:hAnsi="仿宋" w:cs="仿宋" w:hint="eastAsia"/>
            <w:lang w:eastAsia="zh-CN"/>
          </w:rPr>
          <w:t>(二)、防火防爆总图布置措施</w:t>
        </w:r>
        <w:r>
          <w:tab/>
        </w:r>
        <w:r>
          <w:fldChar w:fldCharType="begin"/>
        </w:r>
        <w:r>
          <w:instrText xml:space="preserve"> PAGEREF _Toc20321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93" w:history="1">
        <w:r>
          <w:rPr>
            <w:rFonts w:ascii="仿宋" w:eastAsia="仿宋" w:hAnsi="仿宋" w:cs="仿宋" w:hint="eastAsia"/>
            <w:lang w:eastAsia="zh-CN"/>
          </w:rPr>
          <w:t>(三)、自然灾害防范措施</w:t>
        </w:r>
        <w:r>
          <w:tab/>
        </w:r>
        <w:r>
          <w:fldChar w:fldCharType="begin"/>
        </w:r>
        <w:r>
          <w:instrText xml:space="preserve"> PAGEREF _Toc17093 \h </w:instrText>
        </w:r>
        <w:r>
          <w:fldChar w:fldCharType="separate"/>
        </w:r>
        <w:r>
          <w:t>39</w:t>
        </w:r>
        <w:r>
          <w:fldChar w:fldCharType="end"/>
        </w:r>
      </w:hyperlink>
    </w:p>
    <w:p>
      <w:pPr>
        <w:pStyle w:val="TOC2"/>
        <w:tabs>
          <w:tab w:val="right" w:leader="dot" w:pos="8306"/>
        </w:tabs>
      </w:pPr>
      <w:hyperlink w:anchor="_Toc9441" w:history="1">
        <w:r>
          <w:rPr>
            <w:rFonts w:ascii="仿宋" w:eastAsia="仿宋" w:hAnsi="仿宋" w:cs="仿宋" w:hint="eastAsia"/>
            <w:lang w:eastAsia="zh-CN"/>
          </w:rPr>
          <w:t>(四)、安全色及安全标志使用要求</w:t>
        </w:r>
        <w:r>
          <w:tab/>
        </w:r>
        <w:r>
          <w:fldChar w:fldCharType="begin"/>
        </w:r>
        <w:r>
          <w:instrText xml:space="preserve"> PAGEREF _Toc9441 \h </w:instrText>
        </w:r>
        <w:r>
          <w:fldChar w:fldCharType="separate"/>
        </w:r>
        <w:r>
          <w:t>40</w:t>
        </w:r>
        <w:r>
          <w:fldChar w:fldCharType="end"/>
        </w:r>
      </w:hyperlink>
    </w:p>
    <w:p>
      <w:pPr>
        <w:pStyle w:val="TOC2"/>
        <w:tabs>
          <w:tab w:val="right" w:leader="dot" w:pos="8306"/>
        </w:tabs>
      </w:pPr>
      <w:hyperlink w:anchor="_Toc12385" w:history="1">
        <w:r>
          <w:rPr>
            <w:rFonts w:ascii="仿宋" w:eastAsia="仿宋" w:hAnsi="仿宋" w:cs="仿宋" w:hint="eastAsia"/>
            <w:lang w:eastAsia="zh-CN"/>
          </w:rPr>
          <w:t>(五)、防尘防毒措施</w:t>
        </w:r>
        <w:r>
          <w:tab/>
        </w:r>
        <w:r>
          <w:fldChar w:fldCharType="begin"/>
        </w:r>
        <w:r>
          <w:instrText xml:space="preserve"> PAGEREF _Toc12385 \h </w:instrText>
        </w:r>
        <w:r>
          <w:fldChar w:fldCharType="separate"/>
        </w:r>
        <w:r>
          <w:t>41</w:t>
        </w:r>
        <w:r>
          <w:fldChar w:fldCharType="end"/>
        </w:r>
      </w:hyperlink>
    </w:p>
    <w:p>
      <w:pPr>
        <w:pStyle w:val="TOC2"/>
        <w:tabs>
          <w:tab w:val="right" w:leader="dot" w:pos="8306"/>
        </w:tabs>
      </w:pPr>
      <w:hyperlink w:anchor="_Toc1115" w:history="1">
        <w:r>
          <w:rPr>
            <w:rFonts w:ascii="仿宋" w:eastAsia="仿宋" w:hAnsi="仿宋" w:cs="仿宋" w:hint="eastAsia"/>
            <w:lang w:eastAsia="zh-CN"/>
          </w:rPr>
          <w:t>(六)、防静电、触电防护及防雷措施</w:t>
        </w:r>
        <w:r>
          <w:tab/>
        </w:r>
        <w:r>
          <w:fldChar w:fldCharType="begin"/>
        </w:r>
        <w:r>
          <w:instrText xml:space="preserve"> PAGEREF _Toc1115 \h </w:instrText>
        </w:r>
        <w:r>
          <w:fldChar w:fldCharType="separate"/>
        </w:r>
        <w:r>
          <w:t>42</w:t>
        </w:r>
        <w:r>
          <w:fldChar w:fldCharType="end"/>
        </w:r>
      </w:hyperlink>
    </w:p>
    <w:p>
      <w:pPr>
        <w:pStyle w:val="TOC2"/>
        <w:tabs>
          <w:tab w:val="right" w:leader="dot" w:pos="8306"/>
        </w:tabs>
      </w:pPr>
      <w:hyperlink w:anchor="_Toc16689" w:history="1">
        <w:r>
          <w:rPr>
            <w:rFonts w:ascii="仿宋" w:eastAsia="仿宋" w:hAnsi="仿宋" w:cs="仿宋" w:hint="eastAsia"/>
            <w:lang w:eastAsia="zh-CN"/>
          </w:rPr>
          <w:t>(七)、机械设备安全保障措施</w:t>
        </w:r>
        <w:r>
          <w:tab/>
        </w:r>
        <w:r>
          <w:fldChar w:fldCharType="begin"/>
        </w:r>
        <w:r>
          <w:instrText xml:space="preserve"> PAGEREF _Toc16689 \h </w:instrText>
        </w:r>
        <w:r>
          <w:fldChar w:fldCharType="separate"/>
        </w:r>
        <w:r>
          <w:t>44</w:t>
        </w:r>
        <w:r>
          <w:fldChar w:fldCharType="end"/>
        </w:r>
      </w:hyperlink>
    </w:p>
    <w:p>
      <w:pPr>
        <w:pStyle w:val="TOC1"/>
        <w:tabs>
          <w:tab w:val="right" w:leader="dot" w:pos="8306"/>
        </w:tabs>
      </w:pPr>
      <w:hyperlink w:anchor="_Toc19409" w:history="1">
        <w:r>
          <w:rPr>
            <w:rFonts w:ascii="仿宋" w:eastAsia="仿宋" w:hAnsi="仿宋" w:cs="仿宋" w:hint="eastAsia"/>
            <w:lang w:eastAsia="zh-CN"/>
          </w:rPr>
          <w:t>十、控、缓释新型肥料项目社会影响</w:t>
        </w:r>
        <w:r>
          <w:tab/>
        </w:r>
        <w:r>
          <w:fldChar w:fldCharType="begin"/>
        </w:r>
        <w:r>
          <w:instrText xml:space="preserve"> PAGEREF _Toc19409 \h </w:instrText>
        </w:r>
        <w:r>
          <w:fldChar w:fldCharType="separate"/>
        </w:r>
        <w:r>
          <w:t>45</w:t>
        </w:r>
        <w:r>
          <w:fldChar w:fldCharType="end"/>
        </w:r>
      </w:hyperlink>
    </w:p>
    <w:p>
      <w:pPr>
        <w:pStyle w:val="TOC2"/>
        <w:tabs>
          <w:tab w:val="right" w:leader="dot" w:pos="8306"/>
        </w:tabs>
      </w:pPr>
      <w:hyperlink w:anchor="_Toc26167" w:history="1">
        <w:r>
          <w:rPr>
            <w:rFonts w:ascii="仿宋" w:eastAsia="仿宋" w:hAnsi="仿宋" w:cs="仿宋" w:hint="eastAsia"/>
            <w:lang w:eastAsia="zh-CN"/>
          </w:rPr>
          <w:t>(一)、社会责任与义务</w:t>
        </w:r>
        <w:r>
          <w:tab/>
        </w:r>
        <w:r>
          <w:fldChar w:fldCharType="begin"/>
        </w:r>
        <w:r>
          <w:instrText xml:space="preserve"> PAGEREF _Toc26167 \h </w:instrText>
        </w:r>
        <w:r>
          <w:fldChar w:fldCharType="separate"/>
        </w:r>
        <w:r>
          <w:t>45</w:t>
        </w:r>
        <w:r>
          <w:fldChar w:fldCharType="end"/>
        </w:r>
      </w:hyperlink>
    </w:p>
    <w:p>
      <w:pPr>
        <w:pStyle w:val="TOC2"/>
        <w:tabs>
          <w:tab w:val="right" w:leader="dot" w:pos="8306"/>
        </w:tabs>
      </w:pPr>
      <w:hyperlink w:anchor="_Toc12069" w:history="1">
        <w:r>
          <w:rPr>
            <w:rFonts w:ascii="仿宋" w:eastAsia="仿宋" w:hAnsi="仿宋" w:cs="仿宋" w:hint="eastAsia"/>
            <w:lang w:eastAsia="zh-CN"/>
          </w:rPr>
          <w:t>(二)、社会参与与沟通</w:t>
        </w:r>
        <w:r>
          <w:tab/>
        </w:r>
        <w:r>
          <w:fldChar w:fldCharType="begin"/>
        </w:r>
        <w:r>
          <w:instrText xml:space="preserve"> PAGEREF _Toc12069 \h </w:instrText>
        </w:r>
        <w:r>
          <w:fldChar w:fldCharType="separate"/>
        </w:r>
        <w:r>
          <w:t>46</w:t>
        </w:r>
        <w:r>
          <w:fldChar w:fldCharType="end"/>
        </w:r>
      </w:hyperlink>
    </w:p>
    <w:p>
      <w:pPr>
        <w:pStyle w:val="TOC1"/>
        <w:tabs>
          <w:tab w:val="right" w:leader="dot" w:pos="8306"/>
        </w:tabs>
      </w:pPr>
      <w:hyperlink w:anchor="_Toc30506" w:history="1">
        <w:r>
          <w:rPr>
            <w:rFonts w:ascii="仿宋" w:eastAsia="仿宋" w:hAnsi="仿宋" w:cs="仿宋" w:hint="eastAsia"/>
            <w:lang w:eastAsia="zh-CN"/>
          </w:rPr>
          <w:t>十一、控、缓释新型肥料项目财务管理</w:t>
        </w:r>
        <w:r>
          <w:tab/>
        </w:r>
        <w:r>
          <w:fldChar w:fldCharType="begin"/>
        </w:r>
        <w:r>
          <w:instrText xml:space="preserve"> PAGEREF _Toc30506 \h </w:instrText>
        </w:r>
        <w:r>
          <w:fldChar w:fldCharType="separate"/>
        </w:r>
        <w:r>
          <w:t>47</w:t>
        </w:r>
        <w:r>
          <w:fldChar w:fldCharType="end"/>
        </w:r>
      </w:hyperlink>
    </w:p>
    <w:p>
      <w:pPr>
        <w:pStyle w:val="TOC2"/>
        <w:tabs>
          <w:tab w:val="right" w:leader="dot" w:pos="8306"/>
        </w:tabs>
      </w:pPr>
      <w:hyperlink w:anchor="_Toc13604" w:history="1">
        <w:r>
          <w:rPr>
            <w:rFonts w:ascii="仿宋" w:eastAsia="仿宋" w:hAnsi="仿宋" w:cs="仿宋" w:hint="eastAsia"/>
            <w:lang w:eastAsia="zh-CN"/>
          </w:rPr>
          <w:t>(一)、资金需求大</w:t>
        </w:r>
        <w:r>
          <w:tab/>
        </w:r>
        <w:r>
          <w:fldChar w:fldCharType="begin"/>
        </w:r>
        <w:r>
          <w:instrText xml:space="preserve"> PAGEREF _Toc13604 \h </w:instrText>
        </w:r>
        <w:r>
          <w:fldChar w:fldCharType="separate"/>
        </w:r>
        <w:r>
          <w:t>47</w:t>
        </w:r>
        <w:r>
          <w:fldChar w:fldCharType="end"/>
        </w:r>
      </w:hyperlink>
    </w:p>
    <w:p>
      <w:pPr>
        <w:pStyle w:val="TOC2"/>
        <w:tabs>
          <w:tab w:val="right" w:leader="dot" w:pos="8306"/>
        </w:tabs>
      </w:pPr>
      <w:hyperlink w:anchor="_Toc32202" w:history="1">
        <w:r>
          <w:rPr>
            <w:rFonts w:ascii="仿宋" w:eastAsia="仿宋" w:hAnsi="仿宋" w:cs="仿宋" w:hint="eastAsia"/>
            <w:lang w:eastAsia="zh-CN"/>
          </w:rPr>
          <w:t>(二)、研发周期长</w:t>
        </w:r>
        <w:r>
          <w:tab/>
        </w:r>
        <w:r>
          <w:fldChar w:fldCharType="begin"/>
        </w:r>
        <w:r>
          <w:instrText xml:space="preserve"> PAGEREF _Toc32202 \h </w:instrText>
        </w:r>
        <w:r>
          <w:fldChar w:fldCharType="separate"/>
        </w:r>
        <w:r>
          <w:t>48</w:t>
        </w:r>
        <w:r>
          <w:fldChar w:fldCharType="end"/>
        </w:r>
      </w:hyperlink>
    </w:p>
    <w:p>
      <w:pPr>
        <w:pStyle w:val="TOC2"/>
        <w:tabs>
          <w:tab w:val="right" w:leader="dot" w:pos="8306"/>
        </w:tabs>
      </w:pPr>
      <w:hyperlink w:anchor="_Toc3595" w:history="1">
        <w:r>
          <w:rPr>
            <w:rFonts w:ascii="仿宋" w:eastAsia="仿宋" w:hAnsi="仿宋" w:cs="仿宋" w:hint="eastAsia"/>
            <w:lang w:eastAsia="zh-CN"/>
          </w:rPr>
          <w:t>(三)、市场风险大</w:t>
        </w:r>
        <w:r>
          <w:tab/>
        </w:r>
        <w:r>
          <w:fldChar w:fldCharType="begin"/>
        </w:r>
        <w:r>
          <w:instrText xml:space="preserve"> PAGEREF _Toc3595 \h </w:instrText>
        </w:r>
        <w:r>
          <w:fldChar w:fldCharType="separate"/>
        </w:r>
        <w:r>
          <w:t>49</w:t>
        </w:r>
        <w:r>
          <w:fldChar w:fldCharType="end"/>
        </w:r>
      </w:hyperlink>
    </w:p>
    <w:p>
      <w:pPr>
        <w:pStyle w:val="TOC2"/>
        <w:tabs>
          <w:tab w:val="right" w:leader="dot" w:pos="8306"/>
        </w:tabs>
      </w:pPr>
      <w:hyperlink w:anchor="_Toc2265" w:history="1">
        <w:r>
          <w:rPr>
            <w:rFonts w:ascii="仿宋" w:eastAsia="仿宋" w:hAnsi="仿宋" w:cs="仿宋" w:hint="eastAsia"/>
            <w:lang w:eastAsia="zh-CN"/>
          </w:rPr>
          <w:t>(四)、利润率高</w:t>
        </w:r>
        <w:r>
          <w:tab/>
        </w:r>
        <w:r>
          <w:fldChar w:fldCharType="begin"/>
        </w:r>
        <w:r>
          <w:instrText xml:space="preserve"> PAGEREF _Toc2265 \h </w:instrText>
        </w:r>
        <w:r>
          <w:fldChar w:fldCharType="separate"/>
        </w:r>
        <w:r>
          <w:t>52</w:t>
        </w:r>
        <w:r>
          <w:fldChar w:fldCharType="end"/>
        </w:r>
      </w:hyperlink>
    </w:p>
    <w:p>
      <w:pPr>
        <w:pStyle w:val="TOC1"/>
        <w:tabs>
          <w:tab w:val="right" w:leader="dot" w:pos="8306"/>
        </w:tabs>
      </w:pPr>
      <w:hyperlink w:anchor="_Toc5930" w:history="1">
        <w:r>
          <w:rPr>
            <w:rFonts w:ascii="仿宋" w:eastAsia="仿宋" w:hAnsi="仿宋" w:cs="仿宋" w:hint="eastAsia"/>
            <w:lang w:eastAsia="zh-CN"/>
          </w:rPr>
          <w:t>十二、控、缓释新型肥料项目技术管理</w:t>
        </w:r>
        <w:r>
          <w:tab/>
        </w:r>
        <w:r>
          <w:fldChar w:fldCharType="begin"/>
        </w:r>
        <w:r>
          <w:instrText xml:space="preserve"> PAGEREF _Toc5930 \h </w:instrText>
        </w:r>
        <w:r>
          <w:fldChar w:fldCharType="separate"/>
        </w:r>
        <w:r>
          <w:t>54</w:t>
        </w:r>
        <w:r>
          <w:fldChar w:fldCharType="end"/>
        </w:r>
      </w:hyperlink>
    </w:p>
    <w:p>
      <w:pPr>
        <w:pStyle w:val="TOC2"/>
        <w:tabs>
          <w:tab w:val="right" w:leader="dot" w:pos="8306"/>
        </w:tabs>
      </w:pPr>
      <w:hyperlink w:anchor="_Toc11191" w:history="1">
        <w:r>
          <w:rPr>
            <w:rFonts w:ascii="仿宋" w:eastAsia="仿宋" w:hAnsi="仿宋" w:cs="仿宋" w:hint="eastAsia"/>
            <w:lang w:eastAsia="zh-CN"/>
          </w:rPr>
          <w:t>(一)、技术方案选用方向</w:t>
        </w:r>
        <w:r>
          <w:tab/>
        </w:r>
        <w:r>
          <w:fldChar w:fldCharType="begin"/>
        </w:r>
        <w:r>
          <w:instrText xml:space="preserve"> PAGEREF _Toc11191 \h </w:instrText>
        </w:r>
        <w:r>
          <w:fldChar w:fldCharType="separate"/>
        </w:r>
        <w:r>
          <w:t>54</w:t>
        </w:r>
        <w:r>
          <w:fldChar w:fldCharType="end"/>
        </w:r>
      </w:hyperlink>
    </w:p>
    <w:p>
      <w:pPr>
        <w:pStyle w:val="TOC2"/>
        <w:tabs>
          <w:tab w:val="right" w:leader="dot" w:pos="8306"/>
        </w:tabs>
      </w:pPr>
      <w:hyperlink w:anchor="_Toc15492" w:history="1">
        <w:r>
          <w:rPr>
            <w:rFonts w:ascii="仿宋" w:eastAsia="仿宋" w:hAnsi="仿宋" w:cs="仿宋" w:hint="eastAsia"/>
            <w:lang w:eastAsia="zh-CN"/>
          </w:rPr>
          <w:t>(二)、工艺技术方案选用原则</w:t>
        </w:r>
        <w:r>
          <w:tab/>
        </w:r>
        <w:r>
          <w:fldChar w:fldCharType="begin"/>
        </w:r>
        <w:r>
          <w:instrText xml:space="preserve"> PAGEREF _Toc15492 \h </w:instrText>
        </w:r>
        <w:r>
          <w:fldChar w:fldCharType="separate"/>
        </w:r>
        <w:r>
          <w:t>56</w:t>
        </w:r>
        <w:r>
          <w:fldChar w:fldCharType="end"/>
        </w:r>
      </w:hyperlink>
    </w:p>
    <w:p>
      <w:pPr>
        <w:pStyle w:val="TOC2"/>
        <w:tabs>
          <w:tab w:val="right" w:leader="dot" w:pos="8306"/>
        </w:tabs>
      </w:pPr>
      <w:hyperlink w:anchor="_Toc14319" w:history="1">
        <w:r>
          <w:rPr>
            <w:rFonts w:ascii="仿宋" w:eastAsia="仿宋" w:hAnsi="仿宋" w:cs="仿宋" w:hint="eastAsia"/>
            <w:lang w:eastAsia="zh-CN"/>
          </w:rPr>
          <w:t>(三)、工艺技术方案要求</w:t>
        </w:r>
        <w:r>
          <w:tab/>
        </w:r>
        <w:r>
          <w:fldChar w:fldCharType="begin"/>
        </w:r>
        <w:r>
          <w:instrText xml:space="preserve"> PAGEREF _Toc14319 \h </w:instrText>
        </w:r>
        <w:r>
          <w:fldChar w:fldCharType="separate"/>
        </w:r>
        <w:r>
          <w:t>58</w:t>
        </w:r>
        <w:r>
          <w:fldChar w:fldCharType="end"/>
        </w:r>
      </w:hyperlink>
    </w:p>
    <w:p>
      <w:pPr>
        <w:pStyle w:val="TOC1"/>
        <w:tabs>
          <w:tab w:val="right" w:leader="dot" w:pos="8306"/>
        </w:tabs>
      </w:pPr>
      <w:hyperlink w:anchor="_Toc12456" w:history="1">
        <w:r>
          <w:rPr>
            <w:rFonts w:ascii="仿宋" w:eastAsia="仿宋" w:hAnsi="仿宋" w:cs="仿宋" w:hint="eastAsia"/>
            <w:lang w:eastAsia="zh-CN"/>
          </w:rPr>
          <w:t>十三、控、缓释新型肥料项目治理与监督</w:t>
        </w:r>
        <w:r>
          <w:tab/>
        </w:r>
        <w:r>
          <w:fldChar w:fldCharType="begin"/>
        </w:r>
        <w:r>
          <w:instrText xml:space="preserve"> PAGEREF _Toc12456 \h </w:instrText>
        </w:r>
        <w:r>
          <w:fldChar w:fldCharType="separate"/>
        </w:r>
        <w:r>
          <w:t>60</w:t>
        </w:r>
        <w:r>
          <w:fldChar w:fldCharType="end"/>
        </w:r>
      </w:hyperlink>
    </w:p>
    <w:p>
      <w:pPr>
        <w:pStyle w:val="TOC2"/>
        <w:tabs>
          <w:tab w:val="right" w:leader="dot" w:pos="8306"/>
        </w:tabs>
      </w:pPr>
      <w:hyperlink w:anchor="_Toc26690" w:history="1">
        <w:r>
          <w:rPr>
            <w:rFonts w:ascii="仿宋" w:eastAsia="仿宋" w:hAnsi="仿宋" w:cs="仿宋" w:hint="eastAsia"/>
            <w:lang w:eastAsia="zh-CN"/>
          </w:rPr>
          <w:t>(一)、控、缓释新型肥料项目治理结构</w:t>
        </w:r>
        <w:r>
          <w:tab/>
        </w:r>
        <w:r>
          <w:fldChar w:fldCharType="begin"/>
        </w:r>
        <w:r>
          <w:instrText xml:space="preserve"> PAGEREF _Toc26690 \h </w:instrText>
        </w:r>
        <w:r>
          <w:fldChar w:fldCharType="separate"/>
        </w:r>
        <w:r>
          <w:t>60</w:t>
        </w:r>
        <w:r>
          <w:fldChar w:fldCharType="end"/>
        </w:r>
      </w:hyperlink>
    </w:p>
    <w:p>
      <w:pPr>
        <w:pStyle w:val="TOC2"/>
        <w:tabs>
          <w:tab w:val="right" w:leader="dot" w:pos="8306"/>
        </w:tabs>
      </w:pPr>
      <w:hyperlink w:anchor="_Toc29715" w:history="1">
        <w:r>
          <w:rPr>
            <w:rFonts w:ascii="仿宋" w:eastAsia="仿宋" w:hAnsi="仿宋" w:cs="仿宋" w:hint="eastAsia"/>
            <w:lang w:eastAsia="zh-CN"/>
          </w:rPr>
          <w:t>(二)、监督与审计</w:t>
        </w:r>
        <w:r>
          <w:tab/>
        </w:r>
        <w:r>
          <w:fldChar w:fldCharType="begin"/>
        </w:r>
        <w:r>
          <w:instrText xml:space="preserve"> PAGEREF _Toc29715 \h </w:instrText>
        </w:r>
        <w:r>
          <w:fldChar w:fldCharType="separate"/>
        </w:r>
        <w:r>
          <w:t>62</w:t>
        </w:r>
        <w:r>
          <w:fldChar w:fldCharType="end"/>
        </w:r>
      </w:hyperlink>
    </w:p>
    <w:p>
      <w:pPr>
        <w:pStyle w:val="TOC1"/>
        <w:tabs>
          <w:tab w:val="right" w:leader="dot" w:pos="8306"/>
        </w:tabs>
      </w:pPr>
      <w:hyperlink w:anchor="_Toc12529" w:history="1">
        <w:r>
          <w:rPr>
            <w:rFonts w:ascii="仿宋" w:eastAsia="仿宋" w:hAnsi="仿宋" w:cs="仿宋" w:hint="eastAsia"/>
            <w:lang w:eastAsia="zh-CN"/>
          </w:rPr>
          <w:t>十四、控、缓释新型肥料项目实施时间节点</w:t>
        </w:r>
        <w:r>
          <w:tab/>
        </w:r>
        <w:r>
          <w:fldChar w:fldCharType="begin"/>
        </w:r>
        <w:r>
          <w:instrText xml:space="preserve"> PAGEREF _Toc12529 \h </w:instrText>
        </w:r>
        <w:r>
          <w:fldChar w:fldCharType="separate"/>
        </w:r>
        <w:r>
          <w:t>63</w:t>
        </w:r>
        <w:r>
          <w:fldChar w:fldCharType="end"/>
        </w:r>
      </w:hyperlink>
    </w:p>
    <w:p>
      <w:pPr>
        <w:pStyle w:val="TOC2"/>
        <w:tabs>
          <w:tab w:val="right" w:leader="dot" w:pos="8306"/>
        </w:tabs>
      </w:pPr>
      <w:hyperlink w:anchor="_Toc12504" w:history="1">
        <w:r>
          <w:rPr>
            <w:rFonts w:ascii="仿宋" w:eastAsia="仿宋" w:hAnsi="仿宋" w:cs="仿宋" w:hint="eastAsia"/>
            <w:lang w:eastAsia="zh-CN"/>
          </w:rPr>
          <w:t>(一)、控、缓释新型肥料项目启动阶段时间节点</w:t>
        </w:r>
        <w:r>
          <w:tab/>
        </w:r>
        <w:r>
          <w:fldChar w:fldCharType="begin"/>
        </w:r>
        <w:r>
          <w:instrText xml:space="preserve"> PAGEREF _Toc12504 \h </w:instrText>
        </w:r>
        <w:r>
          <w:fldChar w:fldCharType="separate"/>
        </w:r>
        <w:r>
          <w:t>63</w:t>
        </w:r>
        <w:r>
          <w:fldChar w:fldCharType="end"/>
        </w:r>
      </w:hyperlink>
    </w:p>
    <w:p>
      <w:pPr>
        <w:pStyle w:val="TOC2"/>
        <w:tabs>
          <w:tab w:val="right" w:leader="dot" w:pos="8306"/>
        </w:tabs>
      </w:pPr>
      <w:hyperlink w:anchor="_Toc18251" w:history="1">
        <w:r>
          <w:rPr>
            <w:rFonts w:ascii="仿宋" w:eastAsia="仿宋" w:hAnsi="仿宋" w:cs="仿宋" w:hint="eastAsia"/>
            <w:lang w:eastAsia="zh-CN"/>
          </w:rPr>
          <w:t>(二)、控、缓释新型肥料项目执行阶段时间节点</w:t>
        </w:r>
        <w:r>
          <w:tab/>
        </w:r>
        <w:r>
          <w:fldChar w:fldCharType="begin"/>
        </w:r>
        <w:r>
          <w:instrText xml:space="preserve"> PAGEREF _Toc18251 \h </w:instrText>
        </w:r>
        <w:r>
          <w:fldChar w:fldCharType="separate"/>
        </w:r>
        <w:r>
          <w:t>65</w:t>
        </w:r>
        <w:r>
          <w:fldChar w:fldCharType="end"/>
        </w:r>
      </w:hyperlink>
    </w:p>
    <w:p>
      <w:pPr>
        <w:pStyle w:val="TOC2"/>
        <w:tabs>
          <w:tab w:val="right" w:leader="dot" w:pos="8306"/>
        </w:tabs>
      </w:pPr>
      <w:hyperlink w:anchor="_Toc21611" w:history="1">
        <w:r>
          <w:rPr>
            <w:rFonts w:ascii="仿宋" w:eastAsia="仿宋" w:hAnsi="仿宋" w:cs="仿宋" w:hint="eastAsia"/>
            <w:lang w:eastAsia="zh-CN"/>
          </w:rPr>
          <w:t>(三)、控、缓释新型肥料项目完成阶段时间节点</w:t>
        </w:r>
        <w:r>
          <w:tab/>
        </w:r>
        <w:r>
          <w:fldChar w:fldCharType="begin"/>
        </w:r>
        <w:r>
          <w:instrText xml:space="preserve"> PAGEREF _Toc21611 \h </w:instrText>
        </w:r>
        <w:r>
          <w:fldChar w:fldCharType="separate"/>
        </w:r>
        <w:r>
          <w:t>66</w:t>
        </w:r>
        <w:r>
          <w:fldChar w:fldCharType="end"/>
        </w:r>
      </w:hyperlink>
    </w:p>
    <w:p>
      <w:pPr>
        <w:pStyle w:val="TOC1"/>
        <w:tabs>
          <w:tab w:val="right" w:leader="dot" w:pos="8306"/>
        </w:tabs>
      </w:pPr>
      <w:hyperlink w:anchor="_Toc17107" w:history="1">
        <w:r>
          <w:rPr>
            <w:rFonts w:ascii="仿宋" w:eastAsia="仿宋" w:hAnsi="仿宋" w:cs="仿宋" w:hint="eastAsia"/>
            <w:lang w:eastAsia="zh-CN"/>
          </w:rPr>
          <w:t>十五、控、缓释新型肥料项目变更管理</w:t>
        </w:r>
        <w:r>
          <w:tab/>
        </w:r>
        <w:r>
          <w:fldChar w:fldCharType="begin"/>
        </w:r>
        <w:r>
          <w:instrText xml:space="preserve"> PAGEREF _Toc17107 \h </w:instrText>
        </w:r>
        <w:r>
          <w:fldChar w:fldCharType="separate"/>
        </w:r>
        <w:r>
          <w:t>67</w:t>
        </w:r>
        <w:r>
          <w:fldChar w:fldCharType="end"/>
        </w:r>
      </w:hyperlink>
    </w:p>
    <w:p>
      <w:pPr>
        <w:pStyle w:val="TOC2"/>
        <w:tabs>
          <w:tab w:val="right" w:leader="dot" w:pos="8306"/>
        </w:tabs>
      </w:pPr>
      <w:hyperlink w:anchor="_Toc24754" w:history="1">
        <w:r>
          <w:rPr>
            <w:rFonts w:ascii="仿宋" w:eastAsia="仿宋" w:hAnsi="仿宋" w:cs="仿宋" w:hint="eastAsia"/>
            <w:lang w:eastAsia="zh-CN"/>
          </w:rPr>
          <w:t>(一)、变更申请与评估</w:t>
        </w:r>
        <w:r>
          <w:tab/>
        </w:r>
        <w:r>
          <w:fldChar w:fldCharType="begin"/>
        </w:r>
        <w:r>
          <w:instrText xml:space="preserve"> PAGEREF _Toc24754 \h </w:instrText>
        </w:r>
        <w:r>
          <w:fldChar w:fldCharType="separate"/>
        </w:r>
        <w:r>
          <w:t>67</w:t>
        </w:r>
        <w:r>
          <w:fldChar w:fldCharType="end"/>
        </w:r>
      </w:hyperlink>
    </w:p>
    <w:p>
      <w:pPr>
        <w:pStyle w:val="TOC2"/>
        <w:tabs>
          <w:tab w:val="right" w:leader="dot" w:pos="8306"/>
        </w:tabs>
      </w:pPr>
      <w:hyperlink w:anchor="_Toc3198" w:history="1">
        <w:r>
          <w:rPr>
            <w:rFonts w:ascii="仿宋" w:eastAsia="仿宋" w:hAnsi="仿宋" w:cs="仿宋" w:hint="eastAsia"/>
            <w:lang w:eastAsia="zh-CN"/>
          </w:rPr>
          <w:t>(二)、变更实施与控制</w:t>
        </w:r>
        <w:r>
          <w:tab/>
        </w:r>
        <w:r>
          <w:fldChar w:fldCharType="begin"/>
        </w:r>
        <w:r>
          <w:instrText xml:space="preserve"> PAGEREF _Toc3198 \h </w:instrText>
        </w:r>
        <w:r>
          <w:fldChar w:fldCharType="separate"/>
        </w:r>
        <w:r>
          <w:t>67</w:t>
        </w:r>
        <w:r>
          <w:fldChar w:fldCharType="end"/>
        </w:r>
      </w:hyperlink>
    </w:p>
    <w:p>
      <w:pPr>
        <w:pStyle w:val="TOC1"/>
        <w:tabs>
          <w:tab w:val="right" w:leader="dot" w:pos="8306"/>
        </w:tabs>
      </w:pPr>
      <w:hyperlink w:anchor="_Toc30422" w:history="1">
        <w:r>
          <w:rPr>
            <w:rFonts w:ascii="仿宋" w:eastAsia="仿宋" w:hAnsi="仿宋" w:cs="仿宋" w:hint="eastAsia"/>
            <w:lang w:eastAsia="zh-CN"/>
          </w:rPr>
          <w:t>十六、控、缓释新型肥料项目实施保障措施</w:t>
        </w:r>
        <w:r>
          <w:tab/>
        </w:r>
        <w:r>
          <w:fldChar w:fldCharType="begin"/>
        </w:r>
        <w:r>
          <w:instrText xml:space="preserve"> PAGEREF _Toc30422 \h </w:instrText>
        </w:r>
        <w:r>
          <w:fldChar w:fldCharType="separate"/>
        </w:r>
        <w:r>
          <w:t>68</w:t>
        </w:r>
        <w:r>
          <w:fldChar w:fldCharType="end"/>
        </w:r>
      </w:hyperlink>
    </w:p>
    <w:p>
      <w:pPr>
        <w:pStyle w:val="TOC2"/>
        <w:tabs>
          <w:tab w:val="right" w:leader="dot" w:pos="8306"/>
        </w:tabs>
      </w:pPr>
      <w:hyperlink w:anchor="_Toc13513" w:history="1">
        <w:r>
          <w:rPr>
            <w:rFonts w:ascii="仿宋" w:eastAsia="仿宋" w:hAnsi="仿宋" w:cs="仿宋" w:hint="eastAsia"/>
            <w:lang w:eastAsia="zh-CN"/>
          </w:rPr>
          <w:t>(一)、控、缓释新型肥料项目实施保障机制</w:t>
        </w:r>
        <w:r>
          <w:tab/>
        </w:r>
        <w:r>
          <w:fldChar w:fldCharType="begin"/>
        </w:r>
        <w:r>
          <w:instrText xml:space="preserve"> PAGEREF _Toc13513 \h </w:instrText>
        </w:r>
        <w:r>
          <w:fldChar w:fldCharType="separate"/>
        </w:r>
        <w:r>
          <w:t>68</w:t>
        </w:r>
        <w:r>
          <w:fldChar w:fldCharType="end"/>
        </w:r>
      </w:hyperlink>
    </w:p>
    <w:p>
      <w:pPr>
        <w:pStyle w:val="TOC2"/>
        <w:tabs>
          <w:tab w:val="right" w:leader="dot" w:pos="8306"/>
        </w:tabs>
      </w:pPr>
      <w:hyperlink w:anchor="_Toc29034" w:history="1">
        <w:r>
          <w:rPr>
            <w:rFonts w:ascii="仿宋" w:eastAsia="仿宋" w:hAnsi="仿宋" w:cs="仿宋" w:hint="eastAsia"/>
            <w:lang w:eastAsia="zh-CN"/>
          </w:rPr>
          <w:t>(二)、控、缓释新型肥料项目法律合规要求</w:t>
        </w:r>
        <w:r>
          <w:tab/>
        </w:r>
        <w:r>
          <w:fldChar w:fldCharType="begin"/>
        </w:r>
        <w:r>
          <w:instrText xml:space="preserve"> PAGEREF _Toc29034 \h </w:instrText>
        </w:r>
        <w:r>
          <w:fldChar w:fldCharType="separate"/>
        </w:r>
        <w:r>
          <w:t>72</w:t>
        </w:r>
        <w:r>
          <w:fldChar w:fldCharType="end"/>
        </w:r>
      </w:hyperlink>
    </w:p>
    <w:p>
      <w:pPr>
        <w:pStyle w:val="TOC2"/>
        <w:tabs>
          <w:tab w:val="right" w:leader="dot" w:pos="8306"/>
        </w:tabs>
      </w:pPr>
      <w:hyperlink w:anchor="_Toc20425" w:history="1">
        <w:r>
          <w:rPr>
            <w:rFonts w:ascii="仿宋" w:eastAsia="仿宋" w:hAnsi="仿宋" w:cs="仿宋" w:hint="eastAsia"/>
            <w:lang w:eastAsia="zh-CN"/>
          </w:rPr>
          <w:t>(三)、控、缓释新型肥料项目合同管理与法律事务</w:t>
        </w:r>
        <w:r>
          <w:tab/>
        </w:r>
        <w:r>
          <w:fldChar w:fldCharType="begin"/>
        </w:r>
        <w:r>
          <w:instrText xml:space="preserve"> PAGEREF _Toc20425 \h </w:instrText>
        </w:r>
        <w:r>
          <w:fldChar w:fldCharType="separate"/>
        </w:r>
        <w:r>
          <w:t>76</w:t>
        </w:r>
        <w:r>
          <w:fldChar w:fldCharType="end"/>
        </w:r>
      </w:hyperlink>
    </w:p>
    <w:p>
      <w:pPr>
        <w:pStyle w:val="TOC2"/>
        <w:tabs>
          <w:tab w:val="right" w:leader="dot" w:pos="8306"/>
        </w:tabs>
      </w:pPr>
      <w:hyperlink w:anchor="_Toc20695" w:history="1">
        <w:r>
          <w:rPr>
            <w:rFonts w:ascii="仿宋" w:eastAsia="仿宋" w:hAnsi="仿宋" w:cs="仿宋" w:hint="eastAsia"/>
            <w:lang w:eastAsia="zh-CN"/>
          </w:rPr>
          <w:t>(四)、控、缓释新型肥料项目知识产权保护策略</w:t>
        </w:r>
        <w:r>
          <w:tab/>
        </w:r>
        <w:r>
          <w:fldChar w:fldCharType="begin"/>
        </w:r>
        <w:r>
          <w:instrText xml:space="preserve"> PAGEREF _Toc20695 \h </w:instrText>
        </w:r>
        <w:r>
          <w:fldChar w:fldCharType="separate"/>
        </w:r>
        <w:r>
          <w:t>83</w:t>
        </w:r>
        <w:r>
          <w:fldChar w:fldCharType="end"/>
        </w:r>
      </w:hyperlink>
    </w:p>
    <w:p>
      <w:pPr>
        <w:pStyle w:val="TOC1"/>
        <w:tabs>
          <w:tab w:val="right" w:leader="dot" w:pos="8306"/>
        </w:tabs>
      </w:pPr>
      <w:hyperlink w:anchor="_Toc11866" w:history="1">
        <w:r>
          <w:rPr>
            <w:rFonts w:ascii="仿宋" w:eastAsia="仿宋" w:hAnsi="仿宋" w:cs="仿宋" w:hint="eastAsia"/>
            <w:lang w:eastAsia="zh-CN"/>
          </w:rPr>
          <w:t>十七、风险识别与分类</w:t>
        </w:r>
        <w:r>
          <w:tab/>
        </w:r>
        <w:r>
          <w:fldChar w:fldCharType="begin"/>
        </w:r>
        <w:r>
          <w:instrText xml:space="preserve"> PAGEREF _Toc11866 \h </w:instrText>
        </w:r>
        <w:r>
          <w:fldChar w:fldCharType="separate"/>
        </w:r>
        <w:r>
          <w:t>85</w:t>
        </w:r>
        <w:r>
          <w:fldChar w:fldCharType="end"/>
        </w:r>
      </w:hyperlink>
    </w:p>
    <w:p>
      <w:pPr>
        <w:pStyle w:val="TOC2"/>
        <w:tabs>
          <w:tab w:val="right" w:leader="dot" w:pos="8306"/>
        </w:tabs>
      </w:pPr>
      <w:hyperlink w:anchor="_Toc5178" w:history="1">
        <w:r>
          <w:rPr>
            <w:rFonts w:ascii="仿宋" w:eastAsia="仿宋" w:hAnsi="仿宋" w:cs="仿宋" w:hint="eastAsia"/>
            <w:lang w:eastAsia="zh-CN"/>
          </w:rPr>
          <w:t>(一)、风险识别</w:t>
        </w:r>
        <w:r>
          <w:tab/>
        </w:r>
        <w:r>
          <w:fldChar w:fldCharType="begin"/>
        </w:r>
        <w:r>
          <w:instrText xml:space="preserve"> PAGEREF _Toc5178 \h </w:instrText>
        </w:r>
        <w:r>
          <w:fldChar w:fldCharType="separate"/>
        </w:r>
        <w:r>
          <w:t>85</w:t>
        </w:r>
        <w:r>
          <w:fldChar w:fldCharType="end"/>
        </w:r>
      </w:hyperlink>
    </w:p>
    <w:p>
      <w:pPr>
        <w:pStyle w:val="TOC2"/>
        <w:tabs>
          <w:tab w:val="right" w:leader="dot" w:pos="8306"/>
        </w:tabs>
      </w:pPr>
      <w:hyperlink w:anchor="_Toc17939" w:history="1">
        <w:r>
          <w:rPr>
            <w:rFonts w:ascii="仿宋" w:eastAsia="仿宋" w:hAnsi="仿宋" w:cs="仿宋" w:hint="eastAsia"/>
            <w:lang w:eastAsia="zh-CN"/>
          </w:rPr>
          <w:t>(二)、风险分类</w:t>
        </w:r>
        <w:r>
          <w:tab/>
        </w:r>
        <w:r>
          <w:fldChar w:fldCharType="begin"/>
        </w:r>
        <w:r>
          <w:instrText xml:space="preserve"> PAGEREF _Toc17939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62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564"/>
      <w:r>
        <w:rPr>
          <w:rFonts w:ascii="仿宋" w:eastAsia="仿宋" w:hAnsi="仿宋" w:cs="仿宋" w:hint="eastAsia"/>
          <w:lang w:eastAsia="zh-CN"/>
        </w:rPr>
        <w:t>(一)、控、缓释新型肥料行业分析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行业一直以来都是市场的关注焦点。行业内的发展趋势、竞争态势以及潜在机会都对控、缓释新型肥料项目的推进产生深远的影响。通过深入研究行业的整体概貌，我们将更好地理解行业的核心特征，为控、缓释新型肥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控、缓释新型肥料行业，技术一直是推动创新和发展的关键因素。我们将对当前技术趋势进行详尽分析，包括但不限于人工智能、大数据应用、先进制造技术等。这有助于控、缓释新型肥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控、缓释新型肥料项目成功的基础。我们将对主要竞争对手进行深入研究，包括其市场份额、产品特点、市场定位等。通过全面了解竞争对手的优势和劣势，控、缓释新型肥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1261"/>
      <w:r>
        <w:rPr>
          <w:rFonts w:ascii="仿宋" w:eastAsia="仿宋" w:hAnsi="仿宋" w:cs="仿宋" w:hint="eastAsia"/>
          <w:sz w:val="28"/>
          <w:lang w:eastAsia="zh-CN"/>
        </w:rPr>
        <w:t>(二)、控、缓释新型肥料市场分析预测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控、缓释新型肥料市场未来的增长趋势。这包括市场的整体规模、各细分领域的发展趋势等。控、缓释新型肥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控、缓释新型肥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控、缓释新型肥料项目实施过程中需要充分考虑的因素。我们将对市场风险进行全面评估，包括但不限于政策法规风险、市场竞争风险、技术变革风险等。通过对潜在风险的深入分析，控、缓释新型肥料项目可以制定相应的风险缓解策略，降低不确定性对控、缓释新型肥料项目的影响。</w:t>
      </w:r>
    </w:p>
    <w:p>
      <w:pPr>
        <w:pStyle w:val="Heading1"/>
        <w:ind w:firstLine="560" w:firstLineChars="200"/>
        <w:rPr>
          <w:rFonts w:ascii="仿宋" w:eastAsia="仿宋" w:hAnsi="仿宋" w:cs="仿宋" w:hint="eastAsia"/>
          <w:sz w:val="28"/>
          <w:lang w:eastAsia="zh-CN"/>
        </w:rPr>
      </w:pPr>
      <w:bookmarkStart w:id="5" w:name="_Toc10530"/>
      <w:r>
        <w:rPr>
          <w:rFonts w:ascii="仿宋" w:eastAsia="仿宋" w:hAnsi="仿宋" w:cs="仿宋" w:hint="eastAsia"/>
          <w:sz w:val="28"/>
          <w:lang w:eastAsia="zh-CN"/>
        </w:rPr>
        <w:t>二、控、缓释新型肥料项目绩效评估</w:t>
      </w:r>
      <w:bookmarkEnd w:id="5"/>
    </w:p>
    <w:p>
      <w:pPr>
        <w:pStyle w:val="Heading2"/>
        <w:rPr>
          <w:rFonts w:ascii="仿宋" w:eastAsia="仿宋" w:hAnsi="仿宋" w:cs="仿宋" w:hint="eastAsia"/>
          <w:lang w:eastAsia="zh-CN"/>
        </w:rPr>
      </w:pPr>
      <w:bookmarkStart w:id="6" w:name="_Toc2240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控、缓释新型肥料项目中，我们设计了一套全面的绩效评估指标，以确保控、缓释新型肥料项目的可控和成功交付。这些指标跨足控、缓释新型肥料项目目标、成本、进度和质量等多个维度，为我们提供了全面洞察控、缓释新型肥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项目目标达成率是我们关注的首要指标。我们设定了明确的目标，并通过定期监测和评估，迅速发现并应对潜在的目标偏差。这为控、缓释新型肥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成本绩效是另一个核心关注点。通过实际成本与预算成本的对比分析，我们深入了解成本差异的原因，及时调整资源分配，保持控、缓释新型肥料项目在经济效益方面的合理水平。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项目进度作为关键的绩效指标之一，得到了精心的关注。我们制定了详细的控、缓释新型肥料项目进度计划，并设立了进度符合度指标，确保实际进度与计划进度保持一致。这使我们能够快速发现和解决潜在的进度问题，保持控、缓释新型肥料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控、缓释新型肥料项目绩效的不可或缺的一环。我们引入了一系列的质量标准和客户满意度指标，以确保控、缓释新型肥料项目交付的成果在质量上达到或超越预期水平。通过持续监测这些指标，我们努力提升控、缓释新型肥料项目整体质量水平，为控、缓释新型肥料项目的成功交付提供有力保障。通过这些科学且全面的绩效评估，我们能够更好地引导控、缓释新型肥料项目的持续改进，确保控、缓释新型肥料项目目标的顺利达成。</w:t>
      </w:r>
    </w:p>
    <w:p>
      <w:pPr>
        <w:pStyle w:val="Heading2"/>
        <w:ind w:firstLine="560" w:firstLineChars="200"/>
        <w:rPr>
          <w:rFonts w:ascii="仿宋" w:eastAsia="仿宋" w:hAnsi="仿宋" w:cs="仿宋" w:hint="eastAsia"/>
          <w:sz w:val="28"/>
          <w:lang w:eastAsia="zh-CN"/>
        </w:rPr>
      </w:pPr>
      <w:bookmarkStart w:id="7" w:name="_Toc623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绩效评估是控、缓释新型肥料项目中的关键环节，为确保控、缓释新型肥料项目达到预期目标，我们采用了多层次、多维度的绩效评估方法。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控、缓释新型肥料项目的战略目标对齐，确保每个决策和行动都与控、缓释新型肥料项目整体目标保持一致。团队会定期召开战略对齐会议，审视当前工作与控、缓释新型肥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控、缓释新型肥料项目进度、质量、成本和风险等方面。这些指标通过数据收集和分析，为控、缓释新型肥料项目管理团队提供了客观的评估依据。例如，我们通过控、缓释新型肥料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控、缓释新型肥料项目内部，还考虑了控、缓释新型肥料项目对外部环境的影响。我们定期进行干系人满意度调查，以了解各利益相关方对控、缓释新型肥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这种多层次、多角度的绩效评估方法，使得我们能够全面了解控、缓释新型肥料项目的运行状态，及时做出调整，确保控、缓释新型肥料项目在不断变化的环境中保持稳健前行。</w:t>
      </w:r>
    </w:p>
    <w:p>
      <w:pPr>
        <w:pStyle w:val="Heading2"/>
        <w:ind w:firstLine="560" w:firstLineChars="200"/>
        <w:rPr>
          <w:rFonts w:ascii="仿宋" w:eastAsia="仿宋" w:hAnsi="仿宋" w:cs="仿宋" w:hint="eastAsia"/>
          <w:sz w:val="28"/>
          <w:lang w:eastAsia="zh-CN"/>
        </w:rPr>
      </w:pPr>
      <w:bookmarkStart w:id="8" w:name="_Toc3111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为了确保控、缓释新型肥料项目的有效管理和不断优化，我们采用了精心设计的绩效评估周期。这个周期旨在实现灵活、实时和全面的评估，以适应控、缓释新型肥料项目执行中的各种挑战。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控、缓释新型肥料项目的不同需求，分为短期、中期和长期。短期评估关注每个迭代或工作周期，以及时发现和解决当前任务中的问题。中期评估涵盖几个迭代，深入了解整体控、缓释新型肥料项目的趋势和性能。长期评估则着眼于整个控、缓释新型肥料项目阶段，确保控、缓释新型肥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控、缓释新型肥料项目管理工具和协作平台，团队成员能够随时更新和分享控、缓释新型肥料项目数据。这种实时性的反馈机制使我们能够及时察觉潜在问题，快速调整，保持控、缓释新型肥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控、缓释新型肥料项目的决策制定密不可分。每个周期的控、缓释新型肥料项目回顾会议成为集体总结经验、识别问题深层次原因并找到创新解决方案的平台。这种定期的反思与调整机制使控、缓释新型肥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5060"/>
      <w:r>
        <w:rPr>
          <w:rFonts w:ascii="仿宋" w:eastAsia="仿宋" w:hAnsi="仿宋" w:cs="仿宋" w:hint="eastAsia"/>
          <w:sz w:val="28"/>
          <w:lang w:eastAsia="zh-CN"/>
        </w:rPr>
        <w:t>三、控、缓释新型肥料项目选址可行性分析</w:t>
      </w:r>
      <w:bookmarkEnd w:id="9"/>
    </w:p>
    <w:p>
      <w:pPr>
        <w:pStyle w:val="Heading2"/>
        <w:rPr>
          <w:rFonts w:ascii="仿宋" w:eastAsia="仿宋" w:hAnsi="仿宋" w:cs="仿宋" w:hint="eastAsia"/>
          <w:lang w:eastAsia="zh-CN"/>
        </w:rPr>
      </w:pPr>
      <w:bookmarkStart w:id="10" w:name="_Toc20707"/>
      <w:r>
        <w:rPr>
          <w:rFonts w:ascii="仿宋" w:eastAsia="仿宋" w:hAnsi="仿宋" w:cs="仿宋" w:hint="eastAsia"/>
          <w:lang w:eastAsia="zh-CN"/>
        </w:rPr>
        <w:t>(一)、控、缓释新型肥料项目选址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该控、缓释新型肥料项目选址位于XX省XX市XX区XXX街道</w:t>
      </w:r>
    </w:p>
    <w:p>
      <w:pPr>
        <w:pStyle w:val="Heading2"/>
        <w:ind w:firstLine="560" w:firstLineChars="200"/>
        <w:rPr>
          <w:rFonts w:ascii="仿宋" w:eastAsia="仿宋" w:hAnsi="仿宋" w:cs="仿宋" w:hint="eastAsia"/>
          <w:sz w:val="28"/>
          <w:lang w:eastAsia="zh-CN"/>
        </w:rPr>
      </w:pPr>
      <w:bookmarkStart w:id="11" w:name="_Toc2628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控、缓释新型肥料项目的征地面积将根据控、缓释新型肥料项目的实际规模和需求进行精确规划。具体面积XXX平方米，旨在确保控、缓释新型肥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净用地面积是在征地面积基础上去除不可利用面积后的实际可开发用地。具体面积XXX平方米，考虑到环保、交通、安全等多方面因素，以确保控、缓释新型肥料项目在整体利用效率上达到最优。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控、缓释新型肥料项目计划建设的建筑总规模具体面积XXX平方米。这一规模的确定综合考虑了控、缓释新型肥料项目的性质、规模，以及城市规划的相关要求，确保建筑布局与周边环境协调一致。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绿地率是控、缓释新型肥料项目用地中被规划为绿地的比例。具体面积XXX平方米，旨在通过合理规划绿地，改善控、缓释新型肥料项目周边环境，提升居民生活质量，并符合城市整体绿化规划。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容积率是用地上可以建设的建筑总体积与用地面积之比。具体面积XXX，通过合理的容积率规划，确保控、缓释新型肥料项目建筑规模与周边环境和谐共生。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控、缓释新型肥料项目选址与当地城市规划相一致，具体面积XXX平方米。通过与城市规划部门深入沟通，确保控、缓释新型肥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控、缓释新型肥料项目选址符合当地产业政策，具体面积XXX平方米。这包括控、缓释新型肥料项目对当地经济的促进作用，以及对相关产业的带动效应，确保控、缓释新型肥料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用地总体要求必须符合环保和可持续发展的原则，具体面积XXX平方米。通过采用绿色建筑设计、节能减排等措施，确保控、缓释新型肥料项目在建设和运营过程中对环境的影响最小化，达到可持续发展的要求。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确保控、缓释新型肥料项目选址具备必要的公共设施配套，具体面积XXX平方米。这包括交通便利性、教育、医疗等基础设施，以提高居民生活品质，使得控、缓释新型肥料项目选址更具吸引力。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考虑用地总体要求对当地社会稳定性的影响，具体面积XXX平方米。通过深入了解当地社区反馈，确保控、缓释新型肥料项目的选址和建设过程对当地社会和谐稳定产生积极作用。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控、缓释新型肥料项目选址不仅符合法规和规划，还在实际操作中具有可行性。这一全面规划将为控、缓释新型肥料项目的成功实施提供坚实的基础，确保控、缓释新型肥料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138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控、缓释新型肥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控、缓释新型肥料项目的设备规划和空间设计中，我们将采取灵活设备布局的措施。设备布局将根据实际需求进行灵活设计，避免不必要的浪费。通过合理规划设备摆放位置，我们将提高设备的利用率，减少设备间距，以确保控、缓释新型肥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控、缓释新型肥料项目内部引入共享设施的概念，例如共享会议室、办公区等。通过这种方式，我们可以减少对资源的重复建设，提高资源共享效率，从而减小控、缓释新型肥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473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 在控、缓释新型肥料项目的总图布置中，我们将不同功能区域进行明确的规划，以最大程度满足控、缓释新型肥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334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控、缓释新型肥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控、缓释新型肥料项目对环境的影响是综合评价的重要因素之一。我们将详细考虑选址周边的自然环境、生态保护区、水源地等情况，确保控、缓释新型肥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对选址的评价还需充分考虑当地政府的产业政策和法规。我们将详细了解控、缓释新型肥料项目所在地的相关政策，确保控、缓释新型肥料项目的规划和运营与当地法规相符，降低不必要的法律风险。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考虑到社会稳定性对企业运营的重要性，我们将评估选址地区的社会安全情况、劳工关系、社区反馈等方面，以确保控、缓释新型肥料项目的建设和运营不会受到社会稳定性的负面影响。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最后，我们将综合考虑用地成本，包括土地购置费用、土地开发成本等。通过对用地成本的详细评估，我们能够做出更为精确的经济效益分析，为控、缓释新型肥料项目的投资决策提供有力支持。</w:t>
      </w:r>
    </w:p>
    <w:p>
      <w:pPr>
        <w:pStyle w:val="Heading1"/>
        <w:ind w:firstLine="560" w:firstLineChars="200"/>
        <w:rPr>
          <w:rFonts w:ascii="仿宋" w:eastAsia="仿宋" w:hAnsi="仿宋" w:cs="仿宋" w:hint="eastAsia"/>
          <w:sz w:val="28"/>
          <w:lang w:eastAsia="zh-CN"/>
        </w:rPr>
      </w:pPr>
      <w:bookmarkStart w:id="15" w:name="_Toc12034"/>
      <w:r>
        <w:rPr>
          <w:rFonts w:ascii="仿宋" w:eastAsia="仿宋" w:hAnsi="仿宋" w:cs="仿宋" w:hint="eastAsia"/>
          <w:sz w:val="28"/>
          <w:lang w:eastAsia="zh-CN"/>
        </w:rPr>
        <w:t>四、控、缓释新型肥料项目危机管理</w:t>
      </w:r>
      <w:bookmarkEnd w:id="15"/>
    </w:p>
    <w:p>
      <w:pPr>
        <w:pStyle w:val="Heading2"/>
        <w:rPr>
          <w:rFonts w:ascii="仿宋" w:eastAsia="仿宋" w:hAnsi="仿宋" w:cs="仿宋" w:hint="eastAsia"/>
          <w:lang w:eastAsia="zh-CN"/>
        </w:rPr>
      </w:pPr>
      <w:bookmarkStart w:id="16" w:name="_Toc390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控、缓释新型肥料项目危机管理中，危机预警与识别是确保控、缓释新型肥料项目稳健运行的核心步骤。通过建立全面的监测机制，控、缓释新型肥料项目团队旨在及时发现和理解潜在的风险和危机因素，以便采取及时的预防和应对措施，确保控、缓释新型肥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控、缓释新型肥料项目团队全面分析了整个控、缓释新型肥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控、缓释新型肥料项目团队着重于明确定义控、缓释新型肥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控、缓释新型肥料项目进展的持续监控，团队能够及时发现潜在问题并作出迅速反应。控、缓释新型肥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在这一阶段，团队的专业素养和反应速度将发挥至关重要的作用，以确保潜在危机能够在初期得到有效的处理，最大程度地减轻负面影响。通过危机预警与识别，控、缓释新型肥料项目得以更有序、可控地推进。</w:t>
      </w:r>
    </w:p>
    <w:p>
      <w:pPr>
        <w:pStyle w:val="Heading2"/>
        <w:ind w:firstLine="560" w:firstLineChars="200"/>
        <w:rPr>
          <w:rFonts w:ascii="仿宋" w:eastAsia="仿宋" w:hAnsi="仿宋" w:cs="仿宋" w:hint="eastAsia"/>
          <w:sz w:val="28"/>
          <w:lang w:eastAsia="zh-CN"/>
        </w:rPr>
      </w:pPr>
      <w:bookmarkStart w:id="17" w:name="_Toc261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在危机发生时，控、缓释新型肥料项目团队立即行动，成立了应急小组。该小组的任务是迅速制定并实施紧急应对措施，以最小化潜在损失。以下是采取的主要措施：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暂停控、缓释新型肥料项目进度：为遏制危机蔓延，控、缓释新型肥料项目暂时停止进行，以便全面评估当前状况。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资源重新分配：重新评估控、缓释新型肥料项目资源的分配，确保最大限度地减小损失。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实时沟通：与关键利益相关者建立实时沟通机制，向他们传递控、缓释新型肥料项目危机的实际状况，保障控、缓释新型肥料项目核心利益。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在紧急应对的同时，控、缓释新型肥料项目团队强调了团队协作和有效沟通的重要性。以下是团队协作的关键举措：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信息共享机制：建立了信息共享平台，确保团队成员能够及时获取控、缓释新型肥料项目危机的实时信息。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领导者沟通：控、缓释新型肥料项目领导者通过定期会议和即时沟通工具，指导团队应对危机，保持团队稳定运行。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随着危机得到初步控制，控、缓释新型肥料项目团队转向制定恢复计划，以确保控、缓释新型肥料项目能够从中迅速恢复。主要恢复计划包括：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修复受损的进度计划：重新评估控、缓释新型肥料项目进度，制定修复计划，确保控、缓释新型肥料项目尽快回归正常进程。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重新调整资源分配：优化资源分配，确保控、缓释新型肥料项目在有限资源下高效运转。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风险管理机制加强：对控、缓释新型肥料项目风险进行全面评估，制定更强化的风险管理策略，以预防未来可能的危机。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31079"/>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2806"/>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项目的技术管理特点体现在其创新导向。通过引入最先进的技术趋势和解决方案，控、缓释新型肥料项目致力于提升科技含量、提高质量和效率水平。这意味着我们将采用最新的工具和方法，确保控、缓释新型肥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https://d.book118.com/207123043134006052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C1602B"/>
    <w:rsid w:val="4EC160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12304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2024-03-02T08:29:00Z</dcterms:created>
  <dcterms:modified xsi:type="dcterms:W3CDTF">2024-03-02T08:29:39Z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EBCB971FE82944F8B58744C9EC42F14B_11</vt:lpwstr>
  </property>
  <property fmtid="{D5CDD505-2E9C-101B-9397-08002B2CF9AE}" pid="3" name="KSOProductBuildVer">
    <vt:lpwstr>2052-12.1.0.16388</vt:lpwstr>
  </property>
</Properties>
</file>