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本钱会计考试题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0"/>
        </w:rPr>
      </w:pPr>
    </w:p>
    <w:tbl>
      <w:tblPr>
        <w:tblStyle w:val="TableNormal"/>
        <w:tblW w:w="0" w:type="auto"/>
        <w:jc w:val="left"/>
        <w:tblInd w:w="4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46"/>
        <w:gridCol w:w="3465"/>
        <w:gridCol w:w="1266"/>
        <w:gridCol w:w="680"/>
      </w:tblGrid>
      <w:tr>
        <w:tblPrEx>
          <w:tblW w:w="0" w:type="auto"/>
          <w:jc w:val="left"/>
          <w:tblInd w:w="48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3"/>
          <w:jc w:val="left"/>
        </w:trPr>
        <w:tc>
          <w:tcPr>
            <w:tcW w:w="7146" w:type="dxa"/>
          </w:tcPr>
          <w:p>
            <w:pPr>
              <w:pStyle w:val="TableParagraph"/>
              <w:spacing w:line="358" w:lineRule="exact"/>
              <w:ind w:left="50"/>
              <w:rPr>
                <w:b/>
                <w:sz w:val="31"/>
              </w:rPr>
            </w:pPr>
            <w:r>
              <w:rPr>
                <w:b/>
                <w:sz w:val="31"/>
              </w:rPr>
              <w:t>一、填空题</w:t>
            </w:r>
          </w:p>
          <w:p>
            <w:pPr>
              <w:pStyle w:val="TableParagraph"/>
              <w:spacing w:before="53" w:line="302" w:lineRule="exact"/>
              <w:ind w:left="50"/>
              <w:rPr>
                <w:sz w:val="31"/>
              </w:rPr>
            </w:pPr>
            <w:r>
              <w:rPr>
                <w:sz w:val="31"/>
              </w:rPr>
              <w:t>1．约当产量比例法适用于月末在产品数量</w:t>
            </w:r>
          </w:p>
        </w:tc>
        <w:tc>
          <w:tcPr>
            <w:tcW w:w="3465" w:type="dxa"/>
          </w:tcPr>
          <w:p>
            <w:pPr>
              <w:pStyle w:val="TableParagraph"/>
              <w:spacing w:before="1"/>
              <w:rPr>
                <w:b/>
                <w:sz w:val="32"/>
              </w:rPr>
            </w:pPr>
          </w:p>
          <w:p>
            <w:pPr>
              <w:pStyle w:val="TableParagraph"/>
              <w:spacing w:line="302" w:lineRule="exact"/>
              <w:ind w:left="-1"/>
              <w:rPr>
                <w:sz w:val="31"/>
              </w:rPr>
            </w:pPr>
            <w:r>
              <w:rPr>
                <w:sz w:val="31"/>
              </w:rPr>
              <w:t>，各月末在产品数量变动</w:t>
            </w:r>
          </w:p>
        </w:tc>
        <w:tc>
          <w:tcPr>
            <w:tcW w:w="1266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80" w:type="dxa"/>
          </w:tcPr>
          <w:p>
            <w:pPr>
              <w:pStyle w:val="TableParagraph"/>
              <w:spacing w:before="1"/>
              <w:rPr>
                <w:b/>
                <w:sz w:val="32"/>
              </w:rPr>
            </w:pPr>
          </w:p>
          <w:p>
            <w:pPr>
              <w:pStyle w:val="TableParagraph"/>
              <w:spacing w:line="302" w:lineRule="exact"/>
              <w:ind w:left="-1"/>
              <w:rPr>
                <w:sz w:val="31"/>
              </w:rPr>
            </w:pPr>
            <w:r>
              <w:rPr>
                <w:sz w:val="31"/>
              </w:rPr>
              <w:t>、产</w:t>
            </w:r>
          </w:p>
        </w:tc>
      </w:tr>
      <w:tr>
        <w:tblPrEx>
          <w:tblW w:w="0" w:type="auto"/>
          <w:jc w:val="left"/>
          <w:tblInd w:w="4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7146" w:type="dxa"/>
          </w:tcPr>
          <w:p>
            <w:pPr>
              <w:pStyle w:val="TableParagraph"/>
              <w:spacing w:before="105" w:line="334" w:lineRule="exact"/>
              <w:ind w:left="50"/>
              <w:rPr>
                <w:sz w:val="31"/>
              </w:rPr>
            </w:pPr>
            <w:r>
              <w:rPr>
                <w:sz w:val="31"/>
              </w:rPr>
              <w:t>品本钱中原材料费用和工资等其他费用的比重</w:t>
            </w:r>
          </w:p>
        </w:tc>
        <w:tc>
          <w:tcPr>
            <w:tcW w:w="3465" w:type="dxa"/>
          </w:tcPr>
          <w:p>
            <w:pPr>
              <w:pStyle w:val="TableParagraph"/>
              <w:spacing w:before="105" w:line="334" w:lineRule="exact"/>
              <w:ind w:left="472"/>
              <w:rPr>
                <w:sz w:val="31"/>
              </w:rPr>
            </w:pPr>
            <w:r>
              <w:rPr>
                <w:sz w:val="31"/>
              </w:rPr>
              <w:t>的产品。</w:t>
            </w:r>
          </w:p>
        </w:tc>
        <w:tc>
          <w:tcPr>
            <w:tcW w:w="1266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8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ListParagraph"/>
        <w:numPr>
          <w:ilvl w:val="0"/>
          <w:numId w:val="15"/>
        </w:numPr>
        <w:tabs>
          <w:tab w:val="left" w:pos="998"/>
          <w:tab w:val="left" w:pos="2730"/>
          <w:tab w:val="left" w:pos="12057"/>
        </w:tabs>
        <w:spacing w:before="119" w:after="0" w:line="285" w:lineRule="auto"/>
        <w:ind w:left="523" w:right="541" w:firstLine="0"/>
        <w:jc w:val="left"/>
        <w:rPr>
          <w:sz w:val="31"/>
        </w:rPr>
      </w:pPr>
      <w:r>
        <w:pict>
          <v:line id="_x0000_s1025" style="mso-position-horizontal-relative:page;position:absolute;z-index:251658240" from="450pt,-1.15pt" to="515pt,-1.15pt" stroked="t" strokecolor="black" strokeweight="2pt">
            <v:stroke dashstyle="longDash"/>
          </v:line>
        </w:pict>
      </w:r>
      <w:r>
        <w:pict>
          <v:line id="_x0000_s1026" style="mso-position-horizontal-relative:page;position:absolute;z-index:-251656192" from="640pt,22.85pt" to="713pt,22.85pt" stroked="t" strokecolor="black" strokeweight="2pt">
            <v:stroke dashstyle="solid"/>
          </v:line>
        </w:pict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2514600</wp:posOffset>
            </wp:positionH>
            <wp:positionV relativeFrom="paragraph">
              <wp:posOffset>569849</wp:posOffset>
            </wp:positionV>
            <wp:extent cx="6223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原材料在生产开头时一次投料</w:t>
      </w:r>
      <w:r>
        <w:rPr>
          <w:spacing w:val="-60"/>
          <w:sz w:val="31"/>
        </w:rPr>
        <w:t>，</w:t>
      </w:r>
      <w:r>
        <w:rPr>
          <w:sz w:val="31"/>
        </w:rPr>
        <w:t>原材料费用的安排可以依据完工产品的</w:t>
        <w:tab/>
        <w:t>和月末在产品的</w:t>
        <w:tab/>
        <w:t>比例进展安排。</w:t>
      </w:r>
    </w:p>
    <w:p>
      <w:pPr>
        <w:pStyle w:val="ListParagraph"/>
        <w:numPr>
          <w:ilvl w:val="0"/>
          <w:numId w:val="15"/>
        </w:numPr>
        <w:tabs>
          <w:tab w:val="left" w:pos="998"/>
          <w:tab w:val="left" w:pos="6516"/>
        </w:tabs>
        <w:spacing w:before="0" w:after="0" w:line="240" w:lineRule="auto"/>
        <w:ind w:left="997" w:right="0" w:hanging="475"/>
        <w:jc w:val="left"/>
        <w:rPr>
          <w:sz w:val="31"/>
        </w:rPr>
      </w:pPr>
      <w:r>
        <w:pict>
          <v:line id="_x0000_s1027" style="mso-position-horizontal-relative:page;position:absolute;z-index:-251654144" from="348pt,16.65pt" to="436pt,16.65pt" stroked="t" strokecolor="black" strokeweight="2pt">
            <v:stroke dashstyle="longDash"/>
          </v:line>
        </w:pict>
      </w:r>
      <w:r>
        <w:rPr>
          <w:sz w:val="31"/>
        </w:rPr>
        <w:t>本钱核算不仅是本钱会计的</w:t>
        <w:tab/>
        <w:t>，同时也是企业经营治理的重要组成局部。</w:t>
      </w:r>
    </w:p>
    <w:p>
      <w:pPr>
        <w:pStyle w:val="ListParagraph"/>
        <w:numPr>
          <w:ilvl w:val="0"/>
          <w:numId w:val="15"/>
        </w:numPr>
        <w:tabs>
          <w:tab w:val="left" w:pos="998"/>
          <w:tab w:val="left" w:pos="8092"/>
        </w:tabs>
        <w:spacing w:before="53" w:after="0" w:line="240" w:lineRule="auto"/>
        <w:ind w:left="997" w:right="0" w:hanging="475"/>
        <w:jc w:val="left"/>
        <w:rPr>
          <w:sz w:val="31"/>
        </w:rPr>
      </w:pPr>
      <w:r>
        <w:pict>
          <v:line id="_x0000_s1028" style="mso-position-horizontal-relative:page;position:absolute;z-index:-251653120" from="442pt,19.8pt" to="515pt,19.8pt" stroked="t" strokecolor="black" strokeweight="2pt">
            <v:stroke dashstyle="solid"/>
          </v:line>
        </w:pict>
      </w:r>
      <w:r>
        <w:rPr>
          <w:sz w:val="31"/>
        </w:rPr>
        <w:t>企业支付医务及福利人员的工资，应借记</w:t>
        <w:tab/>
        <w:t>科目。</w:t>
      </w:r>
    </w:p>
    <w:p>
      <w:pPr>
        <w:pStyle w:val="ListParagraph"/>
        <w:numPr>
          <w:ilvl w:val="0"/>
          <w:numId w:val="15"/>
        </w:numPr>
        <w:tabs>
          <w:tab w:val="left" w:pos="998"/>
          <w:tab w:val="left" w:pos="8408"/>
          <w:tab w:val="left" w:pos="9196"/>
          <w:tab w:val="left" w:pos="11404"/>
        </w:tabs>
        <w:spacing w:before="76" w:after="0" w:line="285" w:lineRule="auto"/>
        <w:ind w:left="523" w:right="563" w:firstLine="0"/>
        <w:jc w:val="left"/>
        <w:rPr>
          <w:sz w:val="31"/>
        </w:rPr>
      </w:pPr>
      <w:r>
        <w:pict>
          <v:line id="_x0000_s1029" style="mso-position-horizontal-relative:page;position:absolute;z-index:-251652096" from="521pt,20.25pt" to="570pt,20.25pt" stroked="t" strokecolor="black" strokeweight="2pt">
            <v:stroke dashstyle="longDash"/>
          </v:line>
        </w:pict>
      </w:r>
      <w:r>
        <w:pict>
          <v:line id="_x0000_s1030" style="mso-position-horizontal-relative:page;position:absolute;z-index:-251651072" from="631pt,20.25pt" to="681pt,20.25pt" stroked="t" strokecolor="black" strokeweight="2pt">
            <v:stroke dashstyle="longDash"/>
          </v:line>
        </w:pict>
      </w:r>
      <w:r>
        <w:pict>
          <v:line id="_x0000_s1031" style="mso-position-horizontal-relative:page;position:absolute;z-index:-251650048" from="482pt,44.25pt" to="531pt,44.25pt" stroked="t" strokecolor="black" strokeweight="2pt">
            <v:stroke dashstyle="longDash"/>
          </v:line>
        </w:pict>
      </w:r>
      <w:r>
        <w:rPr>
          <w:sz w:val="31"/>
        </w:rPr>
        <w:t>本钱的经济实质是生产经营过程中所消耗的生产资料</w:t>
        <w:tab/>
        <w:tab/>
        <w:t>和劳动者</w:t>
        <w:tab/>
        <w:t>所制造的价值的货币表现，也就是企业在生产经营中所消耗的</w:t>
        <w:tab/>
        <w:t>。</w:t>
      </w:r>
    </w:p>
    <w:p>
      <w:pPr>
        <w:pStyle w:val="ListParagraph"/>
        <w:numPr>
          <w:ilvl w:val="0"/>
          <w:numId w:val="15"/>
        </w:numPr>
        <w:tabs>
          <w:tab w:val="left" w:pos="998"/>
          <w:tab w:val="left" w:pos="2573"/>
          <w:tab w:val="left" w:pos="4307"/>
        </w:tabs>
        <w:spacing w:before="0" w:after="0" w:line="285" w:lineRule="auto"/>
        <w:ind w:left="523" w:right="390" w:firstLine="0"/>
        <w:jc w:val="left"/>
        <w:rPr>
          <w:sz w:val="31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2108200</wp:posOffset>
            </wp:positionH>
            <wp:positionV relativeFrom="paragraph">
              <wp:posOffset>497840</wp:posOffset>
            </wp:positionV>
            <wp:extent cx="927100" cy="254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32" style="mso-position-horizontal-relative:page;position:absolute;z-index:-251648000" from="253pt,40.2pt" to="326pt,40.2pt" stroked="t" strokecolor="black" strokeweight="2pt">
            <v:stroke dashstyle="longDash"/>
          </v:line>
        </w:pict>
      </w:r>
      <w:r>
        <w:rPr>
          <w:sz w:val="31"/>
        </w:rPr>
        <w:t>承受逐步结转分步法</w:t>
      </w:r>
      <w:r>
        <w:rPr>
          <w:spacing w:val="-62"/>
          <w:sz w:val="31"/>
        </w:rPr>
        <w:t>，</w:t>
      </w:r>
      <w:r>
        <w:rPr>
          <w:sz w:val="31"/>
        </w:rPr>
        <w:t>依据结转的半成品本钱在下一步骤产品本钱明细账中的反映方法</w:t>
      </w:r>
      <w:r>
        <w:rPr>
          <w:spacing w:val="1"/>
          <w:sz w:val="31"/>
        </w:rPr>
        <w:t xml:space="preserve"> </w:t>
      </w:r>
      <w:r>
        <w:rPr>
          <w:sz w:val="31"/>
        </w:rPr>
        <w:t>，分为</w:t>
        <w:tab/>
        <w:t>和</w:t>
        <w:tab/>
        <w:t>两种方法。</w:t>
      </w:r>
    </w:p>
    <w:p>
      <w:pPr>
        <w:pStyle w:val="ListParagraph"/>
        <w:numPr>
          <w:ilvl w:val="0"/>
          <w:numId w:val="15"/>
        </w:numPr>
        <w:tabs>
          <w:tab w:val="left" w:pos="998"/>
          <w:tab w:val="left" w:pos="6831"/>
          <w:tab w:val="left" w:pos="9512"/>
        </w:tabs>
        <w:spacing w:before="0" w:after="0" w:line="375" w:lineRule="exact"/>
        <w:ind w:left="997" w:right="0" w:hanging="475"/>
        <w:jc w:val="left"/>
        <w:rPr>
          <w:sz w:val="31"/>
        </w:rPr>
      </w:pPr>
      <w:r>
        <w:pict>
          <v:line id="_x0000_s1033" style="mso-position-horizontal-relative:page;position:absolute;z-index:-251646976" from="348pt,15.95pt" to="444pt,15.95pt" stroked="t" strokecolor="black" strokeweight="2pt">
            <v:stroke dashstyle="solid"/>
          </v:line>
        </w:pict>
      </w:r>
      <w:r>
        <w:pict>
          <v:line id="_x0000_s1034" style="mso-position-horizontal-relative:page;position:absolute;z-index:-251645952" from="466pt,15.95pt" to="578pt,15.95pt" stroked="t" strokecolor="black" strokeweight="2pt">
            <v:stroke dashstyle="solid"/>
          </v:line>
        </w:pict>
      </w:r>
      <w:r>
        <w:rPr>
          <w:sz w:val="31"/>
        </w:rPr>
        <w:t>关心生产费用的安排方法：</w:t>
        <w:tab/>
        <w:t>，</w:t>
        <w:tab/>
        <w:t>，直接安排法，</w:t>
      </w:r>
    </w:p>
    <w:p>
      <w:pPr>
        <w:pStyle w:val="BodyText"/>
        <w:spacing w:before="77"/>
        <w:ind w:left="2731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243839</wp:posOffset>
            </wp:positionV>
            <wp:extent cx="14224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和挨次安排法</w:t>
      </w:r>
    </w:p>
    <w:p>
      <w:pPr>
        <w:pStyle w:val="ListParagraph"/>
        <w:numPr>
          <w:ilvl w:val="0"/>
          <w:numId w:val="15"/>
        </w:numPr>
        <w:tabs>
          <w:tab w:val="left" w:pos="998"/>
          <w:tab w:val="left" w:pos="10458"/>
        </w:tabs>
        <w:spacing w:before="75" w:after="0" w:line="240" w:lineRule="auto"/>
        <w:ind w:left="997" w:right="0" w:hanging="475"/>
        <w:jc w:val="left"/>
        <w:rPr>
          <w:sz w:val="31"/>
        </w:rPr>
      </w:pPr>
      <w:r>
        <w:pict>
          <v:line id="_x0000_s1035" style="mso-position-horizontal-relative:page;position:absolute;z-index:-251644928" from="521pt,20.5pt" to="633pt,20.5pt" stroked="t" strokecolor="black" strokeweight="2pt">
            <v:stroke dashstyle="longDash"/>
          </v:line>
        </w:pict>
      </w:r>
      <w:r>
        <w:rPr>
          <w:sz w:val="31"/>
        </w:rPr>
        <w:t>用于生产产品，构成产品实体的原材科费用．应计入</w:t>
        <w:tab/>
        <w:t>科目．</w:t>
      </w:r>
    </w:p>
    <w:p>
      <w:pPr>
        <w:pStyle w:val="ListParagraph"/>
        <w:numPr>
          <w:ilvl w:val="0"/>
          <w:numId w:val="15"/>
        </w:numPr>
        <w:tabs>
          <w:tab w:val="left" w:pos="998"/>
          <w:tab w:val="left" w:pos="5412"/>
          <w:tab w:val="left" w:pos="7304"/>
        </w:tabs>
        <w:spacing w:before="76" w:after="0" w:line="285" w:lineRule="auto"/>
        <w:ind w:left="523" w:right="576" w:firstLine="0"/>
        <w:jc w:val="left"/>
        <w:rPr>
          <w:sz w:val="31"/>
        </w:rPr>
      </w:pPr>
      <w:r>
        <w:pict>
          <v:line id="_x0000_s1036" style="mso-position-horizontal-relative:page;position:absolute;z-index:-251643904" from="292pt,43.85pt" to="381pt,43.85pt" stroked="t" strokecolor="black" strokeweight="2pt">
            <v:stroke dashstyle="longDash"/>
          </v:line>
        </w:pict>
      </w:r>
      <w:r>
        <w:pict>
          <v:line id="_x0000_s1037" style="mso-position-horizontal-relative:page;position:absolute;z-index:-251642880" from="395pt,43.85pt" to="476pt,43.85pt" stroked="t" strokecolor="black" strokeweight="2pt">
            <v:stroke dashstyle="longDash"/>
          </v:line>
        </w:pict>
      </w:r>
      <w:r>
        <w:pict>
          <v:line id="_x0000_s1038" style="mso-position-horizontal-relative:page;position:absolute;z-index:-251641856" from="489pt,43.85pt" to="586pt,43.85pt" stroked="t" strokecolor="black" strokeweight="2pt">
            <v:stroke dashstyle="longDash"/>
          </v:line>
        </w:pict>
      </w:r>
      <w:r>
        <w:rPr>
          <w:sz w:val="31"/>
        </w:rPr>
        <w:t>将生产费用按其经济用途划分为假设干不同的工程，叫做产品本钱工程，工业企业一般应设以下三个本钱工程：</w:t>
        <w:tab/>
        <w:t>、</w:t>
        <w:tab/>
        <w:t>、</w:t>
      </w:r>
    </w:p>
    <w:p>
      <w:pPr>
        <w:pStyle w:val="ListParagraph"/>
        <w:numPr>
          <w:ilvl w:val="0"/>
          <w:numId w:val="15"/>
        </w:numPr>
        <w:tabs>
          <w:tab w:val="left" w:pos="1155"/>
        </w:tabs>
        <w:spacing w:before="0" w:after="0" w:line="375" w:lineRule="exact"/>
        <w:ind w:left="1154" w:right="0" w:hanging="632"/>
        <w:jc w:val="left"/>
        <w:rPr>
          <w:sz w:val="31"/>
        </w:rPr>
      </w:pPr>
      <w:r>
        <w:rPr>
          <w:sz w:val="31"/>
        </w:rPr>
        <w:t>在计算产品本钱时，假设月末在产品已经接近完工，只是尚未包装或尚未验收入库，在</w:t>
      </w:r>
    </w:p>
    <w:p>
      <w:pPr>
        <w:pStyle w:val="BodyText"/>
        <w:tabs>
          <w:tab w:val="left" w:pos="3046"/>
        </w:tabs>
        <w:spacing w:before="76"/>
        <w:ind w:left="523"/>
      </w:pPr>
      <w:r>
        <w:pict>
          <v:line id="_x0000_s1039" style="mso-position-horizontal-relative:page;position:absolute;z-index:-251640832" from="198pt,21.05pt" to="263pt,21.05pt" stroked="t" strokecolor="black" strokeweight="2pt">
            <v:stroke dashstyle="solid"/>
          </v:line>
        </w:pict>
      </w:r>
      <w:r>
        <w:t>产品可按</w:t>
        <w:tab/>
        <w:t>计算。</w:t>
      </w:r>
    </w:p>
    <w:p>
      <w:pPr>
        <w:pStyle w:val="ListParagraph"/>
        <w:numPr>
          <w:ilvl w:val="0"/>
          <w:numId w:val="15"/>
        </w:numPr>
        <w:tabs>
          <w:tab w:val="left" w:pos="998"/>
          <w:tab w:val="left" w:pos="4645"/>
          <w:tab w:val="left" w:pos="8273"/>
          <w:tab w:val="left" w:pos="12846"/>
        </w:tabs>
        <w:spacing w:before="75" w:after="0" w:line="285" w:lineRule="auto"/>
        <w:ind w:left="523" w:right="381" w:firstLine="0"/>
        <w:jc w:val="left"/>
        <w:rPr>
          <w:sz w:val="31"/>
        </w:rPr>
      </w:pPr>
      <w:r>
        <w:pict>
          <v:line id="_x0000_s1040" style="mso-position-horizontal-relative:page;position:absolute;z-index:-251639808" from="442pt,20.4pt" to="524pt,20.4pt" stroked="t" strokecolor="black" strokeweight="2pt">
            <v:stroke dashstyle="longDash"/>
          </v:line>
        </w:pict>
      </w:r>
      <w:r>
        <w:pict>
          <v:line id="_x0000_s1041" style="mso-position-horizontal-relative:page;position:absolute;z-index:-251638784" from="663pt,20.4pt" to="753pt,20.4pt" stroked="t" strokecolor="black" strokeweight="2pt">
            <v:stroke dashstyle="longDash"/>
          </v:line>
        </w:pict>
      </w:r>
      <w:r>
        <w:pict>
          <v:line id="_x0000_s1042" style="mso-position-horizontal-relative:page;position:absolute;z-index:-251637760" from="214pt,44.4pt" to="343pt,44.4pt" stroked="t" strokecolor="black" strokeweight="2pt">
            <v:stroke dashstyle="solid"/>
          </v:line>
        </w:pict>
      </w:r>
      <w:r>
        <w:rPr>
          <w:sz w:val="31"/>
        </w:rPr>
        <w:t>主要产品单位本钱表的单位本钱局部依据</w:t>
        <w:tab/>
        <w:t>分别反映历史先进、</w:t>
        <w:tab/>
        <w:t>、本年打算、</w:t>
        <w:tab/>
        <w:t>和本年累计实际平均的单位本钱。</w:t>
      </w:r>
    </w:p>
    <w:p>
      <w:pPr>
        <w:pStyle w:val="ListParagraph"/>
        <w:numPr>
          <w:ilvl w:val="0"/>
          <w:numId w:val="15"/>
        </w:numPr>
        <w:tabs>
          <w:tab w:val="left" w:pos="998"/>
          <w:tab w:val="left" w:pos="7619"/>
          <w:tab w:val="left" w:pos="8115"/>
          <w:tab w:val="left" w:pos="12350"/>
        </w:tabs>
        <w:spacing w:before="0" w:after="0" w:line="271" w:lineRule="auto"/>
        <w:ind w:left="523" w:right="562" w:firstLine="0"/>
        <w:jc w:val="left"/>
        <w:rPr>
          <w:sz w:val="31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5410200</wp:posOffset>
            </wp:positionH>
            <wp:positionV relativeFrom="paragraph">
              <wp:posOffset>194817</wp:posOffset>
            </wp:positionV>
            <wp:extent cx="825500" cy="38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8420100</wp:posOffset>
            </wp:positionH>
            <wp:positionV relativeFrom="paragraph">
              <wp:posOffset>194817</wp:posOffset>
            </wp:positionV>
            <wp:extent cx="825500" cy="381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43" style="mso-position-horizontal-relative:page;position:absolute;z-index:-251634688" from="450pt,39.35pt" to="516pt,39.35pt" stroked="t" strokecolor="black" strokeweight="2pt">
            <v:stroke dashstyle="longDash"/>
          </v:line>
        </w:pict>
      </w:r>
      <w:r>
        <w:rPr>
          <w:sz w:val="31"/>
        </w:rPr>
        <w:t>约当产量比例法适用于月末在产品数量</w:t>
        <w:tab/>
        <w:t>，各月末在产品数量变动</w:t>
        <w:tab/>
        <w:t>、产品本钱中原材料费用和工资等其他费用的比重</w:t>
        <w:tab/>
        <w:tab/>
        <w:t>的产品。</w:t>
      </w:r>
    </w:p>
    <w:p>
      <w:pPr>
        <w:pStyle w:val="Heading1"/>
        <w:spacing w:before="49"/>
        <w:jc w:val="left"/>
        <w:rPr>
          <w:rFonts w:ascii="Arial Narrow" w:eastAsia="Arial Narrow" w:hAnsi="Arial Narrow"/>
        </w:rPr>
      </w:pPr>
      <w:r>
        <w:rPr>
          <w:spacing w:val="4"/>
          <w:w w:val="101"/>
        </w:rPr>
        <w:t>二、推断题</w:t>
      </w:r>
      <w:r>
        <w:rPr>
          <w:rFonts w:ascii="Arial Narrow" w:eastAsia="Arial Narrow" w:hAnsi="Arial Narrow"/>
          <w:spacing w:val="-15"/>
          <w:w w:val="123"/>
        </w:rPr>
        <w:t>(</w:t>
      </w:r>
      <w:r>
        <w:rPr>
          <w:spacing w:val="-12"/>
          <w:w w:val="101"/>
        </w:rPr>
        <w:t>正确的画“√”，错误的画“×”</w:t>
      </w:r>
      <w:r>
        <w:rPr>
          <w:spacing w:val="-110"/>
        </w:rPr>
        <w:t xml:space="preserve"> </w:t>
      </w:r>
      <w:r>
        <w:rPr>
          <w:rFonts w:ascii="Arial Narrow" w:eastAsia="Arial Narrow" w:hAnsi="Arial Narrow"/>
          <w:w w:val="123"/>
        </w:rPr>
        <w:t>)</w:t>
      </w:r>
    </w:p>
    <w:p>
      <w:pPr>
        <w:pStyle w:val="ListParagraph"/>
        <w:numPr>
          <w:ilvl w:val="0"/>
          <w:numId w:val="14"/>
        </w:numPr>
        <w:tabs>
          <w:tab w:val="left" w:pos="998"/>
          <w:tab w:val="left" w:pos="9534"/>
          <w:tab w:val="left" w:pos="10276"/>
        </w:tabs>
        <w:spacing w:before="53" w:after="0" w:line="240" w:lineRule="auto"/>
        <w:ind w:left="997" w:right="0" w:hanging="475"/>
        <w:jc w:val="left"/>
        <w:rPr>
          <w:rFonts w:ascii="Arial Narrow" w:eastAsia="Arial Narrow" w:hAnsi="Arial Narrow"/>
          <w:sz w:val="31"/>
        </w:rPr>
      </w:pPr>
      <w:r>
        <w:rPr>
          <w:sz w:val="31"/>
        </w:rPr>
        <w:t>生产车间耗用的材料，全部计入“直接材料”本钱工程。</w:t>
        <w:tab/>
      </w:r>
      <w:r>
        <w:rPr>
          <w:rFonts w:ascii="Arial Narrow" w:eastAsia="Arial Narrow" w:hAnsi="Arial Narrow"/>
          <w:w w:val="105"/>
          <w:sz w:val="31"/>
        </w:rPr>
        <w:t>(</w:t>
        <w:tab/>
        <w:t>)</w:t>
      </w:r>
    </w:p>
    <w:p>
      <w:pPr>
        <w:pStyle w:val="ListParagraph"/>
        <w:numPr>
          <w:ilvl w:val="0"/>
          <w:numId w:val="14"/>
        </w:numPr>
        <w:tabs>
          <w:tab w:val="left" w:pos="998"/>
          <w:tab w:val="left" w:pos="8273"/>
          <w:tab w:val="left" w:pos="9014"/>
        </w:tabs>
        <w:spacing w:before="75" w:after="0" w:line="240" w:lineRule="auto"/>
        <w:ind w:left="997" w:right="0" w:hanging="475"/>
        <w:jc w:val="left"/>
        <w:rPr>
          <w:rFonts w:ascii="Arial Narrow" w:eastAsia="Arial Narrow"/>
          <w:sz w:val="31"/>
        </w:rPr>
      </w:pPr>
      <w:r>
        <w:rPr>
          <w:sz w:val="31"/>
        </w:rPr>
        <w:t>制造费用既是本钱类科目，又是一个本钱工程。</w:t>
        <w:tab/>
      </w:r>
      <w:r>
        <w:rPr>
          <w:rFonts w:ascii="Arial Narrow" w:eastAsia="Arial Narrow"/>
          <w:w w:val="105"/>
          <w:sz w:val="31"/>
        </w:rPr>
        <w:t>(</w:t>
        <w:tab/>
        <w:t>)</w:t>
      </w:r>
    </w:p>
    <w:p>
      <w:pPr>
        <w:pStyle w:val="ListParagraph"/>
        <w:numPr>
          <w:ilvl w:val="0"/>
          <w:numId w:val="14"/>
        </w:numPr>
        <w:tabs>
          <w:tab w:val="left" w:pos="998"/>
          <w:tab w:val="left" w:pos="8855"/>
          <w:tab w:val="left" w:pos="12168"/>
        </w:tabs>
        <w:spacing w:before="77" w:after="0" w:line="278" w:lineRule="auto"/>
        <w:ind w:left="523" w:right="576" w:firstLine="0"/>
        <w:jc w:val="left"/>
        <w:rPr>
          <w:rFonts w:ascii="Arial Narrow" w:eastAsia="Arial Narrow"/>
          <w:sz w:val="31"/>
        </w:rPr>
      </w:pPr>
      <w:r>
        <w:rPr>
          <w:sz w:val="31"/>
        </w:rPr>
        <w:t>假设在一张订单中只规定一件产品，但其属于大型简单的产品，价值大，生产周期长，</w:t>
      </w:r>
      <w:r>
        <w:rPr>
          <w:spacing w:val="1"/>
          <w:sz w:val="31"/>
        </w:rPr>
        <w:t xml:space="preserve"> </w:t>
      </w:r>
      <w:r>
        <w:rPr>
          <w:sz w:val="31"/>
        </w:rPr>
        <w:t>也可以依据产品的组成局部分批组织生产，计算本钱。</w:t>
      </w:r>
      <w:r>
        <w:rPr>
          <w:rFonts w:ascii="Arial Narrow" w:eastAsia="Arial Narrow"/>
          <w:sz w:val="31"/>
        </w:rPr>
        <w:t>(</w:t>
        <w:tab/>
      </w:r>
      <w:r>
        <w:rPr>
          <w:rFonts w:ascii="Arial Narrow" w:eastAsia="Arial Narrow"/>
          <w:w w:val="105"/>
          <w:sz w:val="31"/>
        </w:rPr>
        <w:t xml:space="preserve">)                                               </w:t>
      </w:r>
      <w:r>
        <w:rPr>
          <w:rFonts w:ascii="Arial Narrow" w:eastAsia="Arial Narrow"/>
          <w:spacing w:val="17"/>
          <w:w w:val="105"/>
          <w:sz w:val="31"/>
        </w:rPr>
        <w:t xml:space="preserve"> </w:t>
      </w:r>
      <w:r>
        <w:rPr>
          <w:rFonts w:ascii="Arial Narrow" w:eastAsia="Arial Narrow"/>
          <w:sz w:val="31"/>
        </w:rPr>
        <w:t>4</w:t>
      </w:r>
      <w:r>
        <w:rPr>
          <w:sz w:val="31"/>
        </w:rPr>
        <w:t>．本钱会计的任务包括本钱的推测、决策、打算、核算、掌握、考核和分析</w:t>
      </w:r>
      <w:r>
        <w:rPr>
          <w:spacing w:val="13"/>
          <w:sz w:val="31"/>
        </w:rPr>
        <w:t>。</w:t>
      </w:r>
      <w:r>
        <w:rPr>
          <w:rFonts w:ascii="Arial Narrow" w:eastAsia="Arial Narrow"/>
          <w:sz w:val="31"/>
        </w:rPr>
        <w:t>(</w:t>
        <w:tab/>
      </w:r>
      <w:r>
        <w:rPr>
          <w:rFonts w:ascii="Arial Narrow" w:eastAsia="Arial Narrow"/>
          <w:w w:val="105"/>
          <w:sz w:val="31"/>
        </w:rPr>
        <w:t>)</w:t>
      </w:r>
    </w:p>
    <w:p>
      <w:pPr>
        <w:pStyle w:val="ListParagraph"/>
        <w:numPr>
          <w:ilvl w:val="0"/>
          <w:numId w:val="13"/>
        </w:numPr>
        <w:tabs>
          <w:tab w:val="left" w:pos="998"/>
          <w:tab w:val="left" w:pos="1264"/>
        </w:tabs>
        <w:spacing w:before="14" w:after="0" w:line="312" w:lineRule="auto"/>
        <w:ind w:left="523" w:right="576" w:firstLine="0"/>
        <w:jc w:val="left"/>
        <w:rPr>
          <w:rFonts w:ascii="Arial Narrow" w:eastAsia="Arial Narrow"/>
          <w:sz w:val="31"/>
        </w:rPr>
      </w:pPr>
      <w:r>
        <w:rPr>
          <w:sz w:val="31"/>
        </w:rPr>
        <w:t>实行计件工资制的企业，工人生产的产品，由于材料缺陷产生的废品，不付计件工资。</w:t>
      </w:r>
      <w:r>
        <w:rPr>
          <w:spacing w:val="1"/>
          <w:sz w:val="31"/>
        </w:rPr>
        <w:t xml:space="preserve"> </w:t>
      </w:r>
      <w:r>
        <w:rPr>
          <w:rFonts w:ascii="Arial Narrow" w:eastAsia="Arial Narrow"/>
          <w:w w:val="105"/>
          <w:sz w:val="31"/>
        </w:rPr>
        <w:t xml:space="preserve"> (</w:t>
        <w:tab/>
        <w:t>)</w:t>
      </w:r>
    </w:p>
    <w:p>
      <w:pPr>
        <w:pStyle w:val="ListParagraph"/>
        <w:numPr>
          <w:ilvl w:val="0"/>
          <w:numId w:val="13"/>
        </w:numPr>
        <w:tabs>
          <w:tab w:val="left" w:pos="998"/>
        </w:tabs>
        <w:spacing w:before="0" w:after="0" w:line="364" w:lineRule="exact"/>
        <w:ind w:left="997" w:right="0" w:hanging="475"/>
        <w:jc w:val="left"/>
        <w:rPr>
          <w:sz w:val="31"/>
        </w:rPr>
      </w:pPr>
      <w:r>
        <w:rPr>
          <w:sz w:val="31"/>
        </w:rPr>
        <w:t>生产人员、车间治理人员和技术人员的工资及福利费，是产品本钱的重要组成局部，应</w:t>
      </w:r>
    </w:p>
    <w:p>
      <w:pPr>
        <w:pStyle w:val="BodyText"/>
        <w:tabs>
          <w:tab w:val="left" w:pos="4961"/>
          <w:tab w:val="left" w:pos="5680"/>
          <w:tab w:val="left" w:pos="8518"/>
        </w:tabs>
        <w:spacing w:before="53" w:line="285" w:lineRule="auto"/>
        <w:ind w:left="523" w:right="576"/>
        <w:rPr>
          <w:rFonts w:ascii="Arial Narrow" w:eastAsia="Arial Narrow"/>
        </w:rPr>
      </w:pPr>
      <w:r>
        <w:rPr>
          <w:w w:val="105"/>
        </w:rPr>
        <w:t>该直接计入各种产品本钱。</w:t>
        <w:tab/>
      </w:r>
      <w:r>
        <w:rPr>
          <w:rFonts w:ascii="Arial Narrow" w:eastAsia="Arial Narrow"/>
          <w:w w:val="105"/>
        </w:rPr>
        <w:t>(</w:t>
        <w:tab/>
        <w:t xml:space="preserve">)                                                                                         </w:t>
      </w:r>
      <w:r>
        <w:rPr>
          <w:rFonts w:ascii="Arial Narrow" w:eastAsia="Arial Narrow"/>
          <w:spacing w:val="74"/>
          <w:w w:val="105"/>
        </w:rPr>
        <w:t xml:space="preserve"> </w:t>
      </w:r>
      <w:r>
        <w:rPr>
          <w:rFonts w:ascii="Arial Narrow" w:eastAsia="Arial Narrow"/>
        </w:rPr>
        <w:t>7</w:t>
      </w:r>
      <w:r>
        <w:t xml:space="preserve">．为了防止多计或少计某些月份产品本钱，预提费用的工程和标准，企业可以自行依据实际状况确定，只是不得任意多提、少提或者不提。  </w:t>
      </w:r>
      <w:r>
        <w:rPr>
          <w:spacing w:val="11"/>
        </w:rPr>
        <w:t xml:space="preserve"> </w:t>
      </w:r>
      <w:r>
        <w:rPr>
          <w:rFonts w:ascii="Arial Narrow" w:eastAsia="Arial Narrow"/>
        </w:rPr>
        <w:t>(</w:t>
        <w:tab/>
      </w:r>
      <w:r>
        <w:rPr>
          <w:rFonts w:ascii="Arial Narrow" w:eastAsia="Arial Narrow"/>
          <w:w w:val="105"/>
        </w:rPr>
        <w:t>)</w:t>
      </w:r>
    </w:p>
    <w:p>
      <w:pPr>
        <w:pStyle w:val="ListParagraph"/>
        <w:numPr>
          <w:ilvl w:val="0"/>
          <w:numId w:val="12"/>
        </w:numPr>
        <w:tabs>
          <w:tab w:val="left" w:pos="998"/>
          <w:tab w:val="left" w:pos="12170"/>
          <w:tab w:val="left" w:pos="12911"/>
        </w:tabs>
        <w:spacing w:before="1" w:after="0" w:line="240" w:lineRule="auto"/>
        <w:ind w:left="997" w:right="0" w:hanging="475"/>
        <w:jc w:val="left"/>
        <w:rPr>
          <w:rFonts w:ascii="Arial Narrow" w:eastAsia="Arial Narrow"/>
          <w:sz w:val="31"/>
        </w:rPr>
      </w:pPr>
      <w:r>
        <w:rPr>
          <w:sz w:val="31"/>
        </w:rPr>
        <w:t>每月按</w:t>
      </w:r>
      <w:r>
        <w:rPr>
          <w:spacing w:val="38"/>
          <w:sz w:val="31"/>
        </w:rPr>
        <w:t xml:space="preserve"> </w:t>
      </w:r>
      <w:r>
        <w:rPr>
          <w:rFonts w:ascii="Arial Narrow" w:eastAsia="Arial Narrow"/>
          <w:sz w:val="31"/>
        </w:rPr>
        <w:t>30</w:t>
      </w:r>
      <w:r>
        <w:rPr>
          <w:rFonts w:ascii="Arial Narrow" w:eastAsia="Arial Narrow"/>
          <w:spacing w:val="120"/>
          <w:sz w:val="31"/>
        </w:rPr>
        <w:t xml:space="preserve"> </w:t>
      </w:r>
      <w:r>
        <w:rPr>
          <w:sz w:val="31"/>
        </w:rPr>
        <w:t>天计算日工资率时</w:t>
      </w:r>
      <w:r>
        <w:rPr>
          <w:spacing w:val="-130"/>
          <w:sz w:val="31"/>
        </w:rPr>
        <w:t>，</w:t>
      </w:r>
      <w:r>
        <w:rPr>
          <w:sz w:val="31"/>
        </w:rPr>
        <w:t>缺勤期间的节假日</w:t>
      </w:r>
      <w:r>
        <w:rPr>
          <w:spacing w:val="-129"/>
          <w:sz w:val="31"/>
        </w:rPr>
        <w:t>、</w:t>
      </w:r>
      <w:r>
        <w:rPr>
          <w:sz w:val="31"/>
        </w:rPr>
        <w:t>星期天不算缺勤</w:t>
      </w:r>
      <w:r>
        <w:rPr>
          <w:spacing w:val="-130"/>
          <w:sz w:val="31"/>
        </w:rPr>
        <w:t>，</w:t>
      </w:r>
      <w:r>
        <w:rPr>
          <w:sz w:val="31"/>
        </w:rPr>
        <w:t>不扣工资。</w:t>
        <w:tab/>
      </w:r>
      <w:r>
        <w:rPr>
          <w:rFonts w:ascii="Arial Narrow" w:eastAsia="Arial Narrow"/>
          <w:w w:val="105"/>
          <w:sz w:val="31"/>
        </w:rPr>
        <w:t>(</w:t>
        <w:tab/>
        <w:t>)</w:t>
      </w:r>
    </w:p>
    <w:p>
      <w:pPr>
        <w:pStyle w:val="ListParagraph"/>
        <w:numPr>
          <w:ilvl w:val="0"/>
          <w:numId w:val="12"/>
        </w:numPr>
        <w:tabs>
          <w:tab w:val="left" w:pos="998"/>
          <w:tab w:val="left" w:pos="2524"/>
          <w:tab w:val="left" w:pos="11269"/>
          <w:tab w:val="left" w:pos="12010"/>
          <w:tab w:val="left" w:pos="12349"/>
        </w:tabs>
        <w:spacing w:before="75" w:after="0" w:line="283" w:lineRule="auto"/>
        <w:ind w:left="523" w:right="419" w:firstLine="0"/>
        <w:jc w:val="left"/>
        <w:rPr>
          <w:sz w:val="31"/>
        </w:rPr>
      </w:pPr>
      <w:r>
        <w:rPr>
          <w:sz w:val="31"/>
        </w:rPr>
        <w:t>承受代数安排法安排关心生产费用时，应用代数中解联立方程的原理，直接安排各受益</w:t>
      </w:r>
      <w:r>
        <w:rPr>
          <w:spacing w:val="1"/>
          <w:sz w:val="31"/>
        </w:rPr>
        <w:t xml:space="preserve"> </w:t>
      </w:r>
      <w:r>
        <w:rPr>
          <w:sz w:val="31"/>
        </w:rPr>
        <w:t>车间、各部门应负担的费用，不需计算关心生产产品或劳务的单位本钱。</w:t>
        <w:tab/>
      </w:r>
      <w:r>
        <w:rPr>
          <w:rFonts w:ascii="Arial Narrow" w:eastAsia="Arial Narrow" w:hAnsi="Arial Narrow"/>
          <w:sz w:val="31"/>
        </w:rPr>
        <w:t>(</w:t>
        <w:tab/>
        <w:t xml:space="preserve">)     </w:t>
      </w:r>
      <w:r>
        <w:rPr>
          <w:rFonts w:ascii="Arial Narrow" w:eastAsia="Arial Narrow" w:hAnsi="Arial Narrow"/>
          <w:spacing w:val="20"/>
          <w:sz w:val="31"/>
        </w:rPr>
        <w:t xml:space="preserve"> </w:t>
      </w:r>
      <w:r>
        <w:rPr>
          <w:rFonts w:ascii="Arial Narrow" w:eastAsia="Arial Narrow" w:hAnsi="Arial Narrow"/>
          <w:sz w:val="31"/>
        </w:rPr>
        <w:t>10</w:t>
      </w:r>
      <w:r>
        <w:rPr>
          <w:sz w:val="31"/>
        </w:rPr>
        <w:t>．处理在产品盘亏和毁损时，一律应借记“营业外支出”科目，贷记“待处理财产损溢”</w:t>
      </w:r>
      <w:r>
        <w:rPr>
          <w:spacing w:val="1"/>
          <w:sz w:val="31"/>
        </w:rPr>
        <w:t xml:space="preserve"> </w:t>
      </w:r>
      <w:r>
        <w:rPr>
          <w:sz w:val="31"/>
        </w:rPr>
        <w:t>科目。</w:t>
      </w:r>
      <w:r>
        <w:rPr>
          <w:rFonts w:ascii="Arial Narrow" w:eastAsia="Arial Narrow" w:hAnsi="Arial Narrow"/>
          <w:sz w:val="31"/>
        </w:rPr>
        <w:t>(</w:t>
        <w:tab/>
        <w:t xml:space="preserve">)                                                                                                                                           </w:t>
      </w:r>
      <w:r>
        <w:rPr>
          <w:rFonts w:ascii="Arial Narrow" w:eastAsia="Arial Narrow" w:hAnsi="Arial Narrow"/>
          <w:spacing w:val="7"/>
          <w:sz w:val="31"/>
        </w:rPr>
        <w:t xml:space="preserve"> </w:t>
      </w:r>
      <w:r>
        <w:rPr>
          <w:sz w:val="31"/>
        </w:rPr>
        <w:t>11．为了正确地计算产品本钱，应当也可能确定正确地分各种产品的费用界限</w:t>
      </w:r>
      <w:r>
        <w:rPr>
          <w:spacing w:val="13"/>
          <w:sz w:val="31"/>
        </w:rPr>
        <w:t>。</w:t>
      </w:r>
      <w:r>
        <w:rPr>
          <w:sz w:val="31"/>
        </w:rPr>
        <w:t>(</w:t>
        <w:tab/>
        <w:tab/>
        <w:t>)</w:t>
      </w:r>
    </w:p>
    <w:p>
      <w:pPr>
        <w:pStyle w:val="ListParagraph"/>
        <w:numPr>
          <w:ilvl w:val="0"/>
          <w:numId w:val="11"/>
        </w:numPr>
        <w:tabs>
          <w:tab w:val="left" w:pos="1155"/>
          <w:tab w:val="left" w:pos="10299"/>
          <w:tab w:val="left" w:pos="11087"/>
        </w:tabs>
        <w:spacing w:before="0" w:after="0" w:line="395" w:lineRule="exact"/>
        <w:ind w:left="1154" w:right="0" w:hanging="632"/>
        <w:jc w:val="left"/>
        <w:rPr>
          <w:sz w:val="31"/>
        </w:rPr>
      </w:pPr>
      <w:r>
        <w:rPr>
          <w:sz w:val="31"/>
        </w:rPr>
        <w:t>企业一次购入的数额较大的印花税，可以作为待摊费用处理。</w:t>
        <w:tab/>
        <w:t>(</w:t>
        <w:tab/>
        <w:t>)</w:t>
      </w:r>
    </w:p>
    <w:p>
      <w:pPr>
        <w:pStyle w:val="ListParagraph"/>
        <w:numPr>
          <w:ilvl w:val="0"/>
          <w:numId w:val="11"/>
        </w:numPr>
        <w:tabs>
          <w:tab w:val="left" w:pos="1155"/>
          <w:tab w:val="left" w:pos="8880"/>
          <w:tab w:val="left" w:pos="9667"/>
        </w:tabs>
        <w:spacing w:before="54" w:after="0" w:line="240" w:lineRule="auto"/>
        <w:ind w:left="1154" w:right="0" w:hanging="632"/>
        <w:jc w:val="left"/>
        <w:rPr>
          <w:sz w:val="31"/>
        </w:rPr>
      </w:pPr>
      <w:r>
        <w:rPr>
          <w:sz w:val="31"/>
        </w:rPr>
        <w:t>本钱会计的监视，包括事前、事中和事后的监视。</w:t>
        <w:tab/>
        <w:t>(</w:t>
        <w:tab/>
        <w:t>)</w:t>
      </w:r>
    </w:p>
    <w:p>
      <w:pPr>
        <w:spacing w:after="0" w:line="240" w:lineRule="auto"/>
        <w:jc w:val="left"/>
        <w:rPr>
          <w:sz w:val="31"/>
        </w:rPr>
        <w:sectPr>
          <w:footerReference w:type="default" r:id="rId9"/>
          <w:type w:val="continuous"/>
          <w:pgSz w:w="17870" w:h="25270"/>
          <w:pgMar w:top="1900" w:right="2140" w:bottom="2020" w:left="2180" w:header="708" w:footer="1825"/>
          <w:pgNumType w:start="1"/>
          <w:cols w:space="708"/>
        </w:sectPr>
      </w:pPr>
    </w:p>
    <w:p>
      <w:pPr>
        <w:pStyle w:val="ListParagraph"/>
        <w:numPr>
          <w:ilvl w:val="0"/>
          <w:numId w:val="11"/>
        </w:numPr>
        <w:tabs>
          <w:tab w:val="left" w:pos="1155"/>
          <w:tab w:val="left" w:pos="11719"/>
        </w:tabs>
        <w:spacing w:before="31" w:after="0" w:line="240" w:lineRule="auto"/>
        <w:ind w:left="1154" w:right="0" w:hanging="632"/>
        <w:jc w:val="left"/>
        <w:rPr>
          <w:sz w:val="31"/>
        </w:rPr>
      </w:pPr>
      <w:r>
        <w:rPr>
          <w:sz w:val="31"/>
        </w:rPr>
        <w:t>在实际工作中，确定本钱的开支范围应以本钱的经济实质为理论依据</w:t>
      </w:r>
      <w:r>
        <w:rPr>
          <w:spacing w:val="13"/>
          <w:sz w:val="31"/>
        </w:rPr>
        <w:t>。</w:t>
      </w:r>
      <w:r>
        <w:rPr>
          <w:sz w:val="31"/>
        </w:rPr>
        <w:t>(</w:t>
        <w:tab/>
        <w:t>)</w:t>
      </w:r>
    </w:p>
    <w:p>
      <w:pPr>
        <w:pStyle w:val="ListParagraph"/>
        <w:numPr>
          <w:ilvl w:val="0"/>
          <w:numId w:val="11"/>
        </w:numPr>
        <w:tabs>
          <w:tab w:val="left" w:pos="1155"/>
          <w:tab w:val="left" w:pos="4937"/>
          <w:tab w:val="left" w:pos="5725"/>
          <w:tab w:val="left" w:pos="9669"/>
          <w:tab w:val="left" w:pos="10456"/>
        </w:tabs>
        <w:spacing w:before="76" w:after="0" w:line="278" w:lineRule="auto"/>
        <w:ind w:left="523" w:right="555" w:firstLine="0"/>
        <w:jc w:val="left"/>
        <w:rPr>
          <w:sz w:val="31"/>
        </w:rPr>
      </w:pPr>
      <w:r>
        <w:rPr>
          <w:sz w:val="31"/>
        </w:rPr>
        <w:t>生产人员、车间治理人员和技术人员的工资及福利费，是产品本钱的重要组成局部，</w:t>
      </w:r>
      <w:r>
        <w:rPr>
          <w:spacing w:val="1"/>
          <w:sz w:val="31"/>
        </w:rPr>
        <w:t xml:space="preserve"> </w:t>
      </w:r>
      <w:r>
        <w:rPr>
          <w:sz w:val="31"/>
        </w:rPr>
        <w:t>应当直接计入各种产品本钱。</w:t>
        <w:tab/>
        <w:t>(</w:t>
        <w:tab/>
        <w:t xml:space="preserve">)                                        </w:t>
      </w:r>
      <w:r>
        <w:rPr>
          <w:spacing w:val="141"/>
          <w:sz w:val="31"/>
        </w:rPr>
        <w:t xml:space="preserve"> </w:t>
      </w:r>
      <w:r>
        <w:rPr>
          <w:sz w:val="31"/>
        </w:rPr>
        <w:t>16．计入产品本钱的大修理费是当月实际发生的大修理费用。</w:t>
        <w:tab/>
        <w:t>(</w:t>
        <w:tab/>
        <w:t>)</w:t>
      </w:r>
    </w:p>
    <w:p>
      <w:pPr>
        <w:pStyle w:val="ListParagraph"/>
        <w:numPr>
          <w:ilvl w:val="0"/>
          <w:numId w:val="10"/>
        </w:numPr>
        <w:tabs>
          <w:tab w:val="left" w:pos="1155"/>
          <w:tab w:val="left" w:pos="10457"/>
        </w:tabs>
        <w:spacing w:before="14" w:after="0" w:line="240" w:lineRule="auto"/>
        <w:ind w:left="1154" w:right="0" w:hanging="632"/>
        <w:jc w:val="left"/>
        <w:rPr>
          <w:sz w:val="29"/>
        </w:rPr>
      </w:pPr>
      <w:r>
        <w:rPr>
          <w:sz w:val="31"/>
        </w:rPr>
        <w:t>在实际工作中，应编制制造费用安排表进展制造费用的安排</w:t>
      </w:r>
      <w:r>
        <w:rPr>
          <w:spacing w:val="11"/>
          <w:sz w:val="31"/>
        </w:rPr>
        <w:t>。</w:t>
      </w:r>
      <w:r>
        <w:rPr>
          <w:sz w:val="31"/>
        </w:rPr>
        <w:t>(</w:t>
        <w:tab/>
        <w:t>)</w:t>
      </w:r>
    </w:p>
    <w:p>
      <w:pPr>
        <w:pStyle w:val="ListParagraph"/>
        <w:numPr>
          <w:ilvl w:val="0"/>
          <w:numId w:val="10"/>
        </w:numPr>
        <w:tabs>
          <w:tab w:val="left" w:pos="1155"/>
          <w:tab w:val="left" w:pos="11400"/>
          <w:tab w:val="left" w:pos="12187"/>
        </w:tabs>
        <w:spacing w:before="76" w:after="0" w:line="240" w:lineRule="auto"/>
        <w:ind w:left="1154" w:right="0" w:hanging="632"/>
        <w:jc w:val="left"/>
        <w:rPr>
          <w:sz w:val="29"/>
        </w:rPr>
      </w:pPr>
      <w:r>
        <w:rPr>
          <w:sz w:val="31"/>
        </w:rPr>
        <w:t>简化的分批法是不分批计算在产品本钱的分批法。</w:t>
        <w:tab/>
        <w:t>(</w:t>
        <w:tab/>
        <w:t>)</w:t>
      </w:r>
    </w:p>
    <w:p>
      <w:pPr>
        <w:pStyle w:val="ListParagraph"/>
        <w:numPr>
          <w:ilvl w:val="0"/>
          <w:numId w:val="10"/>
        </w:numPr>
        <w:tabs>
          <w:tab w:val="left" w:pos="1155"/>
          <w:tab w:val="left" w:pos="10930"/>
          <w:tab w:val="left" w:pos="11718"/>
        </w:tabs>
        <w:spacing w:before="75" w:after="0" w:line="240" w:lineRule="auto"/>
        <w:ind w:left="1154" w:right="0" w:hanging="632"/>
        <w:jc w:val="left"/>
        <w:rPr>
          <w:sz w:val="29"/>
        </w:rPr>
      </w:pPr>
      <w:r>
        <w:rPr>
          <w:sz w:val="31"/>
        </w:rPr>
        <w:t>固定资产折旧费是产品本钱的组成局部，应当全部计入产品本钱。</w:t>
        <w:tab/>
        <w:t>(</w:t>
        <w:tab/>
        <w:t>)</w:t>
      </w:r>
    </w:p>
    <w:p>
      <w:pPr>
        <w:pStyle w:val="ListParagraph"/>
        <w:numPr>
          <w:ilvl w:val="0"/>
          <w:numId w:val="10"/>
        </w:numPr>
        <w:tabs>
          <w:tab w:val="left" w:pos="1155"/>
          <w:tab w:val="left" w:pos="3834"/>
        </w:tabs>
        <w:spacing w:before="76" w:after="0" w:line="271" w:lineRule="auto"/>
        <w:ind w:left="523" w:right="531" w:firstLine="0"/>
        <w:jc w:val="left"/>
        <w:rPr>
          <w:sz w:val="29"/>
        </w:rPr>
      </w:pPr>
      <w:r>
        <w:rPr>
          <w:sz w:val="31"/>
        </w:rPr>
        <w:t>承受在产品按定额本钱计价法时，月末在产品的定额本钱与实际本钱的差异，全部由</w:t>
      </w:r>
      <w:r>
        <w:rPr>
          <w:spacing w:val="1"/>
          <w:sz w:val="31"/>
        </w:rPr>
        <w:t xml:space="preserve"> </w:t>
      </w:r>
      <w:r>
        <w:rPr>
          <w:sz w:val="31"/>
        </w:rPr>
        <w:t>完工产品本钱负担。(</w:t>
        <w:tab/>
        <w:t>)</w:t>
      </w:r>
    </w:p>
    <w:p>
      <w:pPr>
        <w:pStyle w:val="ListParagraph"/>
        <w:numPr>
          <w:ilvl w:val="0"/>
          <w:numId w:val="10"/>
        </w:numPr>
        <w:tabs>
          <w:tab w:val="left" w:pos="1155"/>
          <w:tab w:val="left" w:pos="8115"/>
          <w:tab w:val="left" w:pos="8856"/>
        </w:tabs>
        <w:spacing w:before="26" w:after="0" w:line="240" w:lineRule="auto"/>
        <w:ind w:left="1154" w:right="0" w:hanging="632"/>
        <w:jc w:val="left"/>
        <w:rPr>
          <w:rFonts w:ascii="Arial Narrow" w:eastAsia="Arial Narrow"/>
          <w:sz w:val="29"/>
        </w:rPr>
      </w:pPr>
      <w:r>
        <w:rPr>
          <w:sz w:val="31"/>
        </w:rPr>
        <w:t>由于风灾造成的材料等损失应计入产品本钱。</w:t>
        <w:tab/>
      </w:r>
      <w:r>
        <w:rPr>
          <w:rFonts w:ascii="Arial Narrow" w:eastAsia="Arial Narrow"/>
          <w:w w:val="105"/>
          <w:sz w:val="31"/>
        </w:rPr>
        <w:t>(</w:t>
        <w:tab/>
        <w:t>)</w:t>
      </w:r>
    </w:p>
    <w:p>
      <w:pPr>
        <w:pStyle w:val="ListParagraph"/>
        <w:numPr>
          <w:ilvl w:val="0"/>
          <w:numId w:val="10"/>
        </w:numPr>
        <w:tabs>
          <w:tab w:val="left" w:pos="1155"/>
          <w:tab w:val="left" w:pos="8430"/>
          <w:tab w:val="left" w:pos="9172"/>
        </w:tabs>
        <w:spacing w:before="76" w:after="0" w:line="285" w:lineRule="auto"/>
        <w:ind w:left="523" w:right="543" w:firstLine="0"/>
        <w:jc w:val="left"/>
        <w:rPr>
          <w:rFonts w:ascii="Arial Narrow" w:eastAsia="Arial Narrow"/>
          <w:sz w:val="29"/>
        </w:rPr>
      </w:pPr>
      <w:r>
        <w:rPr>
          <w:sz w:val="31"/>
        </w:rPr>
        <w:t>承受按年初数固定计算在产品本钱法时</w:t>
      </w:r>
      <w:r>
        <w:rPr>
          <w:spacing w:val="-57"/>
          <w:sz w:val="31"/>
        </w:rPr>
        <w:t>，</w:t>
      </w:r>
      <w:r>
        <w:rPr>
          <w:sz w:val="31"/>
        </w:rPr>
        <w:t>某种产品本月发生的生产费用就是本月完工</w:t>
      </w:r>
      <w:r>
        <w:rPr>
          <w:spacing w:val="1"/>
          <w:sz w:val="31"/>
        </w:rPr>
        <w:t xml:space="preserve"> </w:t>
      </w:r>
      <w:r>
        <w:rPr>
          <w:w w:val="105"/>
          <w:sz w:val="31"/>
        </w:rPr>
        <w:t>产品的本钱。</w:t>
        <w:tab/>
      </w:r>
      <w:r>
        <w:rPr>
          <w:rFonts w:ascii="Arial Narrow" w:eastAsia="Arial Narrow"/>
          <w:w w:val="105"/>
          <w:sz w:val="31"/>
        </w:rPr>
        <w:t>(</w:t>
        <w:tab/>
        <w:t>)</w:t>
      </w:r>
    </w:p>
    <w:p>
      <w:pPr>
        <w:pStyle w:val="ListParagraph"/>
        <w:numPr>
          <w:ilvl w:val="0"/>
          <w:numId w:val="10"/>
        </w:numPr>
        <w:tabs>
          <w:tab w:val="left" w:pos="1155"/>
          <w:tab w:val="left" w:pos="10165"/>
          <w:tab w:val="left" w:pos="10796"/>
          <w:tab w:val="left" w:pos="10906"/>
          <w:tab w:val="left" w:pos="11537"/>
        </w:tabs>
        <w:spacing w:before="0" w:after="0" w:line="280" w:lineRule="auto"/>
        <w:ind w:left="523" w:right="419" w:firstLine="0"/>
        <w:jc w:val="left"/>
        <w:rPr>
          <w:rFonts w:ascii="Arial Narrow" w:eastAsia="Arial Narrow" w:hAnsi="Arial Narrow"/>
          <w:sz w:val="29"/>
        </w:rPr>
      </w:pPr>
      <w:r>
        <w:rPr>
          <w:sz w:val="31"/>
        </w:rPr>
        <w:t>完工产品与月末在产品之间安排费用，承受月末在产品按定额本钱计价法时，定额本钱与实际本钱的差异，由完工产品与在产品共同负担。</w:t>
        <w:tab/>
        <w:tab/>
      </w:r>
      <w:r>
        <w:rPr>
          <w:rFonts w:ascii="Arial Narrow" w:eastAsia="Arial Narrow" w:hAnsi="Arial Narrow"/>
          <w:sz w:val="31"/>
        </w:rPr>
        <w:t>(</w:t>
        <w:tab/>
        <w:tab/>
        <w:t xml:space="preserve">)           </w:t>
      </w:r>
      <w:r>
        <w:rPr>
          <w:rFonts w:ascii="Arial Narrow" w:eastAsia="Arial Narrow" w:hAnsi="Arial Narrow"/>
          <w:spacing w:val="69"/>
          <w:sz w:val="31"/>
        </w:rPr>
        <w:t xml:space="preserve"> </w:t>
      </w:r>
      <w:r>
        <w:rPr>
          <w:rFonts w:ascii="Arial Narrow" w:eastAsia="Arial Narrow" w:hAnsi="Arial Narrow"/>
          <w:sz w:val="31"/>
        </w:rPr>
        <w:t>24</w:t>
      </w:r>
      <w:r>
        <w:rPr>
          <w:sz w:val="31"/>
        </w:rPr>
        <w:t>．在产品发生盘亏和毁损时，应借记“待处理财产损溢”科目，贷记“根本生产本钱”科目，冲减在产品的账面价值。</w:t>
        <w:tab/>
      </w:r>
      <w:r>
        <w:rPr>
          <w:rFonts w:ascii="Arial Narrow" w:eastAsia="Arial Narrow" w:hAnsi="Arial Narrow"/>
          <w:sz w:val="31"/>
        </w:rPr>
        <w:t>(</w:t>
        <w:tab/>
        <w:tab/>
        <w:t>)</w:t>
      </w:r>
    </w:p>
    <w:p>
      <w:pPr>
        <w:pStyle w:val="ListParagraph"/>
        <w:numPr>
          <w:ilvl w:val="0"/>
          <w:numId w:val="9"/>
        </w:numPr>
        <w:tabs>
          <w:tab w:val="left" w:pos="1155"/>
          <w:tab w:val="left" w:pos="5592"/>
          <w:tab w:val="left" w:pos="6311"/>
        </w:tabs>
        <w:spacing w:before="11" w:after="0" w:line="285" w:lineRule="auto"/>
        <w:ind w:left="523" w:right="555" w:firstLine="0"/>
        <w:jc w:val="left"/>
        <w:rPr>
          <w:rFonts w:ascii="Arial Narrow" w:eastAsia="Arial Narrow" w:hAnsi="Arial Narrow"/>
          <w:sz w:val="31"/>
        </w:rPr>
      </w:pPr>
      <w:r>
        <w:rPr>
          <w:sz w:val="31"/>
        </w:rPr>
        <w:t>租入固定资产先使用后大修，在大修前要按月分摊修理费用，让受益产品本钱负担</w:t>
      </w:r>
      <w:r>
        <w:rPr>
          <w:spacing w:val="-54"/>
          <w:sz w:val="31"/>
        </w:rPr>
        <w:t>，</w:t>
      </w:r>
      <w:r>
        <w:rPr>
          <w:spacing w:val="-39"/>
          <w:sz w:val="31"/>
        </w:rPr>
        <w:t xml:space="preserve"> </w:t>
      </w:r>
      <w:r>
        <w:rPr>
          <w:sz w:val="31"/>
        </w:rPr>
        <w:t>也即通过“待摊费用”科目核算。</w:t>
        <w:tab/>
      </w:r>
      <w:r>
        <w:rPr>
          <w:rFonts w:ascii="Arial Narrow" w:eastAsia="Arial Narrow" w:hAnsi="Arial Narrow"/>
          <w:w w:val="105"/>
          <w:sz w:val="31"/>
        </w:rPr>
        <w:t>(</w:t>
        <w:tab/>
        <w:t>)</w:t>
      </w:r>
    </w:p>
    <w:p>
      <w:pPr>
        <w:pStyle w:val="ListParagraph"/>
        <w:numPr>
          <w:ilvl w:val="0"/>
          <w:numId w:val="9"/>
        </w:numPr>
        <w:tabs>
          <w:tab w:val="left" w:pos="1155"/>
        </w:tabs>
        <w:spacing w:before="0" w:after="0" w:line="375" w:lineRule="exact"/>
        <w:ind w:left="1154" w:right="0" w:hanging="632"/>
        <w:jc w:val="left"/>
        <w:rPr>
          <w:sz w:val="31"/>
        </w:rPr>
      </w:pPr>
      <w:r>
        <w:rPr>
          <w:sz w:val="31"/>
        </w:rPr>
        <w:t>承受交互安排法安排关心生产费用时，对外安排的关心生产费用，应为交互安排前的费</w:t>
      </w:r>
    </w:p>
    <w:p>
      <w:pPr>
        <w:pStyle w:val="BodyText"/>
        <w:tabs>
          <w:tab w:val="left" w:pos="6538"/>
          <w:tab w:val="left" w:pos="7257"/>
          <w:tab w:val="left" w:pos="8430"/>
          <w:tab w:val="left" w:pos="9172"/>
        </w:tabs>
        <w:spacing w:before="76" w:line="285" w:lineRule="auto"/>
        <w:ind w:left="523" w:right="4265"/>
        <w:rPr>
          <w:rFonts w:ascii="Arial Narrow" w:eastAsia="Arial Narrow"/>
        </w:rPr>
      </w:pPr>
      <w:r>
        <w:t>用，加上交互安排时安排转入的费用。</w:t>
        <w:tab/>
      </w:r>
      <w:r>
        <w:rPr>
          <w:rFonts w:ascii="Arial Narrow" w:eastAsia="Arial Narrow"/>
          <w:w w:val="105"/>
        </w:rPr>
        <w:t>(</w:t>
        <w:tab/>
        <w:t xml:space="preserve">)                 </w:t>
      </w:r>
      <w:r>
        <w:rPr>
          <w:rFonts w:ascii="Arial Narrow" w:eastAsia="Arial Narrow"/>
          <w:spacing w:val="11"/>
          <w:w w:val="105"/>
        </w:rPr>
        <w:t xml:space="preserve"> </w:t>
      </w:r>
      <w:r>
        <w:rPr>
          <w:rFonts w:ascii="Arial Narrow" w:eastAsia="Arial Narrow"/>
        </w:rPr>
        <w:t>27</w:t>
      </w:r>
      <w:r>
        <w:t>．选购过程中发生的定额损耗，应计入生产费用。</w:t>
        <w:tab/>
      </w:r>
      <w:r>
        <w:rPr>
          <w:rFonts w:ascii="Arial Narrow" w:eastAsia="Arial Narrow"/>
          <w:w w:val="105"/>
        </w:rPr>
        <w:t>(</w:t>
        <w:tab/>
        <w:t>)</w:t>
      </w:r>
    </w:p>
    <w:p>
      <w:pPr>
        <w:pStyle w:val="BodyText"/>
        <w:tabs>
          <w:tab w:val="left" w:pos="7484"/>
          <w:tab w:val="left" w:pos="8203"/>
          <w:tab w:val="left" w:pos="10165"/>
          <w:tab w:val="left" w:pos="10906"/>
        </w:tabs>
        <w:spacing w:line="278" w:lineRule="auto"/>
        <w:ind w:left="523" w:right="408"/>
        <w:rPr>
          <w:rFonts w:ascii="Arial Narrow" w:eastAsia="Arial Narrow"/>
        </w:rPr>
      </w:pPr>
      <w:r>
        <w:rPr>
          <w:rFonts w:ascii="Arial Narrow" w:eastAsia="Arial Narrow"/>
          <w:w w:val="111"/>
        </w:rPr>
        <w:t>2</w:t>
      </w:r>
      <w:r>
        <w:rPr>
          <w:rFonts w:ascii="Arial Narrow" w:eastAsia="Arial Narrow"/>
          <w:spacing w:val="-1"/>
          <w:w w:val="111"/>
        </w:rPr>
        <w:t>8</w:t>
      </w:r>
      <w:r>
        <w:rPr>
          <w:spacing w:val="-158"/>
          <w:w w:val="101"/>
        </w:rPr>
        <w:t>．</w:t>
      </w:r>
      <w:r>
        <w:rPr>
          <w:w w:val="101"/>
        </w:rPr>
        <w:t>承受在产品按所耗原材料费用计价法时</w:t>
      </w:r>
      <w:r>
        <w:rPr>
          <w:spacing w:val="-147"/>
          <w:w w:val="101"/>
        </w:rPr>
        <w:t>，</w:t>
      </w:r>
      <w:r>
        <w:rPr>
          <w:w w:val="101"/>
        </w:rPr>
        <w:t>某种产品月末在产品只计算所耗的原材料费用</w:t>
      </w:r>
      <w:r>
        <w:rPr>
          <w:spacing w:val="-16"/>
          <w:w w:val="101"/>
        </w:rPr>
        <w:t>，</w:t>
      </w:r>
      <w:r>
        <w:t>不计算工资等其他费用，产品的其他费用全部计入完工产品本钱。</w:t>
        <w:tab/>
      </w:r>
      <w:r>
        <w:rPr>
          <w:rFonts w:ascii="Arial Narrow" w:eastAsia="Arial Narrow"/>
          <w:w w:val="105"/>
        </w:rPr>
        <w:t>(</w:t>
        <w:tab/>
        <w:t xml:space="preserve">)                   </w:t>
      </w:r>
      <w:r>
        <w:rPr>
          <w:rFonts w:ascii="Arial Narrow" w:eastAsia="Arial Narrow"/>
          <w:spacing w:val="70"/>
          <w:w w:val="105"/>
        </w:rPr>
        <w:t xml:space="preserve"> </w:t>
      </w:r>
      <w:r>
        <w:rPr>
          <w:rFonts w:ascii="Arial Narrow" w:eastAsia="Arial Narrow"/>
        </w:rPr>
        <w:t>29</w:t>
      </w:r>
      <w:r>
        <w:t>．融资租赁的固定资产由承租方计提折旧。</w:t>
        <w:tab/>
      </w:r>
      <w:r>
        <w:rPr>
          <w:rFonts w:ascii="Arial Narrow" w:eastAsia="Arial Narrow"/>
          <w:w w:val="105"/>
        </w:rPr>
        <w:t>(</w:t>
        <w:tab/>
        <w:t>)</w:t>
      </w:r>
    </w:p>
    <w:p>
      <w:pPr>
        <w:pStyle w:val="BodyText"/>
        <w:spacing w:before="14"/>
        <w:ind w:left="523"/>
      </w:pPr>
      <w:r>
        <w:rPr>
          <w:rFonts w:ascii="Arial Narrow" w:eastAsia="Arial Narrow"/>
        </w:rPr>
        <w:t>30</w:t>
      </w:r>
      <w:r>
        <w:rPr>
          <w:spacing w:val="-12"/>
        </w:rPr>
        <w:t>．简化的 分批法 在各批 产品完工 前</w:t>
      </w:r>
      <w:r>
        <w:rPr>
          <w:rFonts w:ascii="Arial Narrow" w:eastAsia="Arial Narrow"/>
          <w:spacing w:val="-16"/>
        </w:rPr>
        <w:t xml:space="preserve">, </w:t>
      </w:r>
      <w:r>
        <w:rPr>
          <w:spacing w:val="-15"/>
        </w:rPr>
        <w:t>产品成 本明细账 只登记 直接费 用和生产 工时。</w:t>
      </w:r>
    </w:p>
    <w:p>
      <w:pPr>
        <w:pStyle w:val="BodyText"/>
        <w:tabs>
          <w:tab w:val="left" w:pos="1264"/>
        </w:tabs>
        <w:spacing w:before="117"/>
        <w:ind w:left="523"/>
        <w:rPr>
          <w:rFonts w:ascii="Arial Narrow"/>
        </w:rPr>
      </w:pPr>
      <w:r>
        <w:rPr>
          <w:rFonts w:ascii="Arial Narrow"/>
          <w:w w:val="125"/>
        </w:rPr>
        <w:t>(</w:t>
        <w:tab/>
        <w:t>)</w:t>
      </w:r>
    </w:p>
    <w:p>
      <w:pPr>
        <w:pStyle w:val="Heading1"/>
        <w:spacing w:before="75"/>
        <w:jc w:val="left"/>
      </w:pPr>
      <w:r>
        <w:t>三、选择题</w:t>
      </w:r>
    </w:p>
    <w:p>
      <w:pPr>
        <w:pStyle w:val="ListParagraph"/>
        <w:numPr>
          <w:ilvl w:val="0"/>
          <w:numId w:val="8"/>
        </w:numPr>
        <w:tabs>
          <w:tab w:val="left" w:pos="998"/>
          <w:tab w:val="left" w:pos="6200"/>
        </w:tabs>
        <w:spacing w:before="77" w:after="0" w:line="240" w:lineRule="auto"/>
        <w:ind w:left="997" w:right="0" w:hanging="475"/>
        <w:jc w:val="left"/>
        <w:rPr>
          <w:sz w:val="29"/>
        </w:rPr>
      </w:pPr>
      <w:r>
        <w:rPr>
          <w:sz w:val="31"/>
        </w:rPr>
        <w:t>以下各项中属于费用要素的是〔</w:t>
        <w:tab/>
      </w:r>
      <w:r>
        <w:rPr>
          <w:spacing w:val="-158"/>
          <w:sz w:val="31"/>
        </w:rPr>
        <w:t>〕</w:t>
      </w:r>
      <w:r>
        <w:rPr>
          <w:sz w:val="31"/>
        </w:rPr>
        <w:t>。</w:t>
      </w:r>
    </w:p>
    <w:p>
      <w:pPr>
        <w:pStyle w:val="ListParagraph"/>
        <w:numPr>
          <w:ilvl w:val="1"/>
          <w:numId w:val="8"/>
        </w:numPr>
        <w:tabs>
          <w:tab w:val="left" w:pos="1471"/>
        </w:tabs>
        <w:spacing w:before="53" w:after="0" w:line="240" w:lineRule="auto"/>
        <w:ind w:left="1470" w:right="0" w:hanging="317"/>
        <w:jc w:val="left"/>
        <w:rPr>
          <w:sz w:val="29"/>
        </w:rPr>
      </w:pPr>
      <w:r>
        <w:rPr>
          <w:sz w:val="31"/>
        </w:rPr>
        <w:t>原材料</w:t>
      </w:r>
    </w:p>
    <w:p>
      <w:pPr>
        <w:pStyle w:val="ListParagraph"/>
        <w:numPr>
          <w:ilvl w:val="1"/>
          <w:numId w:val="8"/>
        </w:numPr>
        <w:tabs>
          <w:tab w:val="left" w:pos="1471"/>
        </w:tabs>
        <w:spacing w:before="75" w:after="0" w:line="285" w:lineRule="auto"/>
        <w:ind w:left="1154" w:right="8923" w:firstLine="0"/>
        <w:jc w:val="left"/>
        <w:rPr>
          <w:sz w:val="29"/>
        </w:rPr>
      </w:pPr>
      <w:r>
        <w:rPr>
          <w:sz w:val="31"/>
        </w:rPr>
        <w:t>生产工人工资及福利费C.折旧费用</w:t>
      </w:r>
    </w:p>
    <w:p>
      <w:pPr>
        <w:pStyle w:val="BodyText"/>
        <w:spacing w:before="1"/>
        <w:ind w:left="1154"/>
      </w:pPr>
      <w:r>
        <w:t>D.制造费用</w:t>
      </w:r>
    </w:p>
    <w:p>
      <w:pPr>
        <w:pStyle w:val="ListParagraph"/>
        <w:numPr>
          <w:ilvl w:val="0"/>
          <w:numId w:val="8"/>
        </w:numPr>
        <w:tabs>
          <w:tab w:val="left" w:pos="840"/>
          <w:tab w:val="left" w:pos="6516"/>
        </w:tabs>
        <w:spacing w:before="76" w:after="0" w:line="283" w:lineRule="auto"/>
        <w:ind w:left="1153" w:right="6247" w:hanging="630"/>
        <w:jc w:val="left"/>
        <w:rPr>
          <w:sz w:val="29"/>
        </w:rPr>
      </w:pPr>
      <w:r>
        <w:rPr>
          <w:sz w:val="31"/>
        </w:rPr>
        <w:t>以下各项中不应计入产品本钱的是〔</w:t>
        <w:tab/>
      </w:r>
      <w:r>
        <w:rPr>
          <w:spacing w:val="-158"/>
          <w:sz w:val="31"/>
        </w:rPr>
        <w:t>〕</w:t>
      </w:r>
      <w:r>
        <w:rPr>
          <w:sz w:val="31"/>
        </w:rPr>
        <w:t xml:space="preserve">。A．企业行政治理部门用固定资产的折旧费用B．车间厂房的折旧费用              </w:t>
      </w:r>
      <w:r>
        <w:rPr>
          <w:spacing w:val="105"/>
          <w:sz w:val="31"/>
        </w:rPr>
        <w:t xml:space="preserve"> </w:t>
      </w:r>
      <w:r>
        <w:rPr>
          <w:sz w:val="31"/>
        </w:rPr>
        <w:t xml:space="preserve">C．车间生产用设备的折旧费用        </w:t>
      </w:r>
      <w:r>
        <w:rPr>
          <w:spacing w:val="105"/>
          <w:sz w:val="31"/>
        </w:rPr>
        <w:t xml:space="preserve"> </w:t>
      </w:r>
      <w:r>
        <w:rPr>
          <w:sz w:val="31"/>
        </w:rPr>
        <w:t>D．车间关心人员的工资</w:t>
      </w:r>
    </w:p>
    <w:p>
      <w:pPr>
        <w:pStyle w:val="ListParagraph"/>
        <w:numPr>
          <w:ilvl w:val="0"/>
          <w:numId w:val="8"/>
        </w:numPr>
        <w:tabs>
          <w:tab w:val="left" w:pos="998"/>
        </w:tabs>
        <w:spacing w:before="0" w:after="0" w:line="396" w:lineRule="exact"/>
        <w:ind w:left="997" w:right="0" w:hanging="475"/>
        <w:jc w:val="left"/>
        <w:rPr>
          <w:sz w:val="29"/>
        </w:rPr>
      </w:pPr>
      <w:r>
        <w:rPr>
          <w:spacing w:val="-12"/>
          <w:sz w:val="31"/>
        </w:rPr>
        <w:t xml:space="preserve">某职工 </w:t>
      </w:r>
      <w:r>
        <w:rPr>
          <w:sz w:val="31"/>
        </w:rPr>
        <w:t>5</w:t>
      </w:r>
      <w:r>
        <w:rPr>
          <w:spacing w:val="-11"/>
          <w:sz w:val="31"/>
        </w:rPr>
        <w:t xml:space="preserve"> 月份生产合格品 </w:t>
      </w:r>
      <w:r>
        <w:rPr>
          <w:sz w:val="31"/>
        </w:rPr>
        <w:t>25</w:t>
      </w:r>
      <w:r>
        <w:rPr>
          <w:spacing w:val="-14"/>
          <w:sz w:val="31"/>
        </w:rPr>
        <w:t xml:space="preserve"> 件，料废品 </w:t>
      </w:r>
      <w:r>
        <w:rPr>
          <w:sz w:val="31"/>
        </w:rPr>
        <w:t>5</w:t>
      </w:r>
      <w:r>
        <w:rPr>
          <w:spacing w:val="-10"/>
          <w:sz w:val="31"/>
        </w:rPr>
        <w:t xml:space="preserve"> 件，加工失误产生废品 </w:t>
      </w:r>
      <w:r>
        <w:rPr>
          <w:sz w:val="31"/>
        </w:rPr>
        <w:t>2</w:t>
      </w:r>
      <w:r>
        <w:rPr>
          <w:spacing w:val="-11"/>
          <w:sz w:val="31"/>
        </w:rPr>
        <w:t xml:space="preserve"> 件，计件单价为 </w:t>
      </w:r>
      <w:r>
        <w:rPr>
          <w:sz w:val="31"/>
        </w:rPr>
        <w:t>10</w:t>
      </w:r>
    </w:p>
    <w:p>
      <w:pPr>
        <w:pStyle w:val="BodyText"/>
        <w:tabs>
          <w:tab w:val="left" w:pos="4149"/>
        </w:tabs>
        <w:spacing w:before="53" w:line="285" w:lineRule="auto"/>
        <w:ind w:left="1153" w:right="8921" w:hanging="630"/>
      </w:pPr>
      <w:r>
        <w:t>元，应付计件工资为(</w:t>
        <w:tab/>
        <w:t>)。A．2500</w:t>
      </w:r>
      <w:r>
        <w:rPr>
          <w:spacing w:val="-63"/>
        </w:rPr>
        <w:t xml:space="preserve"> </w:t>
      </w:r>
      <w:r>
        <w:t>元</w:t>
      </w:r>
    </w:p>
    <w:p>
      <w:pPr>
        <w:pStyle w:val="BodyText"/>
        <w:spacing w:line="285" w:lineRule="auto"/>
        <w:ind w:left="1153" w:right="10879"/>
        <w:jc w:val="both"/>
      </w:pPr>
      <w:r>
        <w:t>B．3000</w:t>
      </w:r>
      <w:r>
        <w:rPr>
          <w:spacing w:val="-30"/>
        </w:rPr>
        <w:t xml:space="preserve"> 元</w:t>
      </w:r>
      <w:r>
        <w:t>C．3200</w:t>
      </w:r>
      <w:r>
        <w:rPr>
          <w:spacing w:val="-30"/>
        </w:rPr>
        <w:t xml:space="preserve"> 元</w:t>
      </w:r>
      <w:r>
        <w:t>D．2700</w:t>
      </w:r>
      <w:r>
        <w:rPr>
          <w:spacing w:val="-29"/>
        </w:rPr>
        <w:t xml:space="preserve"> 元</w:t>
      </w:r>
    </w:p>
    <w:p>
      <w:pPr>
        <w:pStyle w:val="ListParagraph"/>
        <w:numPr>
          <w:ilvl w:val="0"/>
          <w:numId w:val="8"/>
        </w:numPr>
        <w:tabs>
          <w:tab w:val="left" w:pos="998"/>
        </w:tabs>
        <w:spacing w:before="0" w:after="0" w:line="376" w:lineRule="exact"/>
        <w:ind w:left="997" w:right="0" w:hanging="475"/>
        <w:jc w:val="both"/>
        <w:rPr>
          <w:sz w:val="29"/>
        </w:rPr>
      </w:pPr>
      <w:r>
        <w:rPr>
          <w:spacing w:val="-5"/>
          <w:sz w:val="31"/>
        </w:rPr>
        <w:t xml:space="preserve">某企业 </w:t>
      </w:r>
      <w:r>
        <w:rPr>
          <w:sz w:val="31"/>
        </w:rPr>
        <w:t>11</w:t>
      </w:r>
      <w:r>
        <w:rPr>
          <w:spacing w:val="-6"/>
          <w:sz w:val="31"/>
        </w:rPr>
        <w:t xml:space="preserve"> 月份固定资产应计提折旧额为 </w:t>
      </w:r>
      <w:r>
        <w:rPr>
          <w:sz w:val="31"/>
        </w:rPr>
        <w:t>400，000</w:t>
      </w:r>
      <w:r>
        <w:rPr>
          <w:spacing w:val="-5"/>
          <w:sz w:val="31"/>
        </w:rPr>
        <w:t xml:space="preserve"> 元，上月增加固定资产应计提折旧额</w:t>
      </w:r>
    </w:p>
    <w:p>
      <w:pPr>
        <w:spacing w:after="0" w:line="376" w:lineRule="exact"/>
        <w:jc w:val="both"/>
        <w:rPr>
          <w:sz w:val="29"/>
        </w:rPr>
      </w:pPr>
      <w:r>
        <w:rPr>
          <w:sz w:val="29"/>
        </w:rPr>
        <w:br/>
      </w:r>
      <w:r>
        <w:rPr>
          <w:sz w:val="29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https://d.book118.com/208031017077006023</w:t>
        </w:r>
      </w:hyperlink>
    </w:p>
    <w:p>
      <w:pPr>
        <w:spacing w:after="0" w:line="376" w:lineRule="exact"/>
        <w:jc w:val="both"/>
        <w:rPr>
          <w:sz w:val="29"/>
        </w:rPr>
      </w:pPr>
    </w:p>
    <w:sectPr>
      <w:footerReference w:type="default" r:id="rId11"/>
      <w:pgSz w:w="17870" w:h="25270"/>
      <w:pgMar w:top="1880" w:right="2140" w:bottom="2020" w:left="2180" w:header="0" w:footer="1825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.5pt;height:17.9pt;margin-top:1159.58pt;margin-left:437.4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7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5pt;height:17.9pt;margin-top:1159.58pt;margin-left:437.4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7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259672"/>
    <w:multiLevelType w:val="hybridMultilevel"/>
    <w:tmpl w:val="00000000"/>
    <w:lvl w:ilvl="0">
      <w:start w:val="17"/>
      <w:numFmt w:val="decimal"/>
      <w:lvlText w:val="%1."/>
      <w:lvlJc w:val="left"/>
      <w:pPr>
        <w:ind w:left="1154" w:hanging="631"/>
        <w:jc w:val="left"/>
      </w:pPr>
      <w:rPr>
        <w:rFonts w:hint="default"/>
        <w:spacing w:val="-1"/>
        <w:w w:val="101"/>
      </w:rPr>
    </w:lvl>
    <w:lvl w:ilvl="1">
      <w:start w:val="0"/>
      <w:numFmt w:val="bullet"/>
      <w:lvlText w:val="•"/>
      <w:lvlJc w:val="left"/>
      <w:pPr>
        <w:ind w:left="2398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7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5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4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2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1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9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68" w:hanging="631"/>
      </w:pPr>
      <w:rPr>
        <w:rFonts w:hint="default"/>
      </w:rPr>
    </w:lvl>
  </w:abstractNum>
  <w:abstractNum w:abstractNumId="1">
    <w:nsid w:val="11D1C815"/>
    <w:multiLevelType w:val="hybridMultilevel"/>
    <w:tmpl w:val="00000000"/>
    <w:lvl w:ilvl="0">
      <w:start w:val="8"/>
      <w:numFmt w:val="decimal"/>
      <w:lvlText w:val="%1."/>
      <w:lvlJc w:val="left"/>
      <w:pPr>
        <w:ind w:left="997" w:hanging="474"/>
        <w:jc w:val="left"/>
      </w:pPr>
      <w:rPr>
        <w:rFonts w:ascii="Arial Narrow" w:eastAsia="Arial Narrow" w:hAnsi="Arial Narrow" w:cs="Arial Narrow" w:hint="default"/>
        <w:spacing w:val="-136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254" w:hanging="4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09" w:hanging="4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3" w:hanging="4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8" w:hanging="4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2" w:hanging="4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7" w:hanging="4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1" w:hanging="4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6" w:hanging="474"/>
      </w:pPr>
      <w:rPr>
        <w:rFonts w:hint="default"/>
      </w:rPr>
    </w:lvl>
  </w:abstractNum>
  <w:abstractNum w:abstractNumId="2">
    <w:nsid w:val="2F4FAE06"/>
    <w:multiLevelType w:val="hybridMultilevel"/>
    <w:tmpl w:val="00000000"/>
    <w:lvl w:ilvl="0">
      <w:start w:val="25"/>
      <w:numFmt w:val="decimal"/>
      <w:lvlText w:val="%1."/>
      <w:lvlJc w:val="left"/>
      <w:pPr>
        <w:ind w:left="523" w:hanging="631"/>
        <w:jc w:val="left"/>
      </w:pPr>
      <w:rPr>
        <w:rFonts w:ascii="Arial Narrow" w:eastAsia="Arial Narrow" w:hAnsi="Arial Narrow" w:cs="Arial Narrow" w:hint="default"/>
        <w:spacing w:val="-45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1822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5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7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0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2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5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7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0" w:hanging="631"/>
      </w:pPr>
      <w:rPr>
        <w:rFonts w:hint="default"/>
      </w:rPr>
    </w:lvl>
  </w:abstractNum>
  <w:abstractNum w:abstractNumId="3">
    <w:nsid w:val="32F0CAB4"/>
    <w:multiLevelType w:val="hybridMultilevel"/>
    <w:tmpl w:val="00000000"/>
    <w:lvl w:ilvl="0">
      <w:start w:val="1"/>
      <w:numFmt w:val="upperLetter"/>
      <w:lvlText w:val="%1."/>
      <w:lvlJc w:val="left"/>
      <w:pPr>
        <w:ind w:left="1177" w:hanging="519"/>
        <w:jc w:val="right"/>
      </w:pPr>
      <w:rPr>
        <w:rFonts w:ascii="Times New Roman" w:eastAsia="Times New Roman" w:hAnsi="Times New Roman" w:cs="Times New Roman" w:hint="default"/>
        <w:spacing w:val="-25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416" w:hanging="5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3" w:hanging="5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9" w:hanging="5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26" w:hanging="5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2" w:hanging="5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5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5" w:hanging="5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2" w:hanging="519"/>
      </w:pPr>
      <w:rPr>
        <w:rFonts w:hint="default"/>
      </w:rPr>
    </w:lvl>
  </w:abstractNum>
  <w:abstractNum w:abstractNumId="4">
    <w:nsid w:val="332C8DC8"/>
    <w:multiLevelType w:val="hybridMultilevel"/>
    <w:tmpl w:val="00000000"/>
    <w:lvl w:ilvl="0">
      <w:start w:val="2"/>
      <w:numFmt w:val="decimal"/>
      <w:lvlText w:val="%1."/>
      <w:lvlJc w:val="left"/>
      <w:pPr>
        <w:ind w:left="523" w:hanging="474"/>
        <w:jc w:val="left"/>
      </w:pPr>
      <w:rPr>
        <w:rFonts w:ascii="宋体" w:eastAsia="宋体" w:hAnsi="宋体" w:cs="宋体" w:hint="default"/>
        <w:spacing w:val="-68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1822" w:hanging="4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5" w:hanging="4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7" w:hanging="4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0" w:hanging="4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2" w:hanging="4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5" w:hanging="4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7" w:hanging="4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0" w:hanging="474"/>
      </w:pPr>
      <w:rPr>
        <w:rFonts w:hint="default"/>
      </w:rPr>
    </w:lvl>
  </w:abstractNum>
  <w:abstractNum w:abstractNumId="5">
    <w:nsid w:val="353C22A8"/>
    <w:multiLevelType w:val="hybridMultilevel"/>
    <w:tmpl w:val="00000000"/>
    <w:lvl w:ilvl="0">
      <w:start w:val="15"/>
      <w:numFmt w:val="decimal"/>
      <w:lvlText w:val="%1."/>
      <w:lvlJc w:val="left"/>
      <w:pPr>
        <w:ind w:left="996" w:hanging="631"/>
        <w:jc w:val="left"/>
      </w:pPr>
      <w:rPr>
        <w:rFonts w:ascii="宋体" w:eastAsia="宋体" w:hAnsi="宋体" w:cs="宋体" w:hint="default"/>
        <w:spacing w:val="-1"/>
        <w:w w:val="101"/>
        <w:sz w:val="29"/>
        <w:szCs w:val="29"/>
      </w:rPr>
    </w:lvl>
    <w:lvl w:ilvl="1">
      <w:start w:val="1"/>
      <w:numFmt w:val="decimal"/>
      <w:lvlText w:val="%2."/>
      <w:lvlJc w:val="left"/>
      <w:pPr>
        <w:ind w:left="1537" w:hanging="541"/>
        <w:jc w:val="right"/>
      </w:pPr>
      <w:rPr>
        <w:rFonts w:hint="default"/>
        <w:b/>
        <w:bCs/>
        <w:w w:val="100"/>
      </w:rPr>
    </w:lvl>
    <w:lvl w:ilvl="2">
      <w:start w:val="2"/>
      <w:numFmt w:val="decimal"/>
      <w:lvlText w:val="(%3)"/>
      <w:lvlJc w:val="left"/>
      <w:pPr>
        <w:ind w:left="1627" w:hanging="474"/>
        <w:jc w:val="left"/>
      </w:pPr>
      <w:rPr>
        <w:rFonts w:hint="default"/>
        <w:w w:val="101"/>
      </w:rPr>
    </w:lvl>
    <w:lvl w:ilvl="3">
      <w:start w:val="0"/>
      <w:numFmt w:val="bullet"/>
      <w:lvlText w:val="•"/>
      <w:lvlJc w:val="left"/>
      <w:pPr>
        <w:ind w:left="1620" w:hanging="4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23" w:hanging="4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27" w:hanging="4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30" w:hanging="4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34" w:hanging="4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37" w:hanging="474"/>
      </w:pPr>
      <w:rPr>
        <w:rFonts w:hint="default"/>
      </w:rPr>
    </w:lvl>
  </w:abstractNum>
  <w:abstractNum w:abstractNumId="6">
    <w:nsid w:val="37EE1EEC"/>
    <w:multiLevelType w:val="hybridMultilevel"/>
    <w:tmpl w:val="00000000"/>
    <w:lvl w:ilvl="0">
      <w:start w:val="2"/>
      <w:numFmt w:val="upperLetter"/>
      <w:lvlText w:val="%1."/>
      <w:lvlJc w:val="left"/>
      <w:pPr>
        <w:ind w:left="1154" w:hanging="496"/>
        <w:jc w:val="right"/>
      </w:pPr>
      <w:rPr>
        <w:rFonts w:hint="default"/>
        <w:spacing w:val="-31"/>
        <w:w w:val="101"/>
      </w:rPr>
    </w:lvl>
    <w:lvl w:ilvl="1">
      <w:start w:val="0"/>
      <w:numFmt w:val="bullet"/>
      <w:lvlText w:val="•"/>
      <w:lvlJc w:val="left"/>
      <w:pPr>
        <w:ind w:left="2398" w:hanging="4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7" w:hanging="4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5" w:hanging="4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4" w:hanging="4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2" w:hanging="4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1" w:hanging="4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9" w:hanging="4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68" w:hanging="496"/>
      </w:pPr>
      <w:rPr>
        <w:rFonts w:hint="default"/>
      </w:rPr>
    </w:lvl>
  </w:abstractNum>
  <w:abstractNum w:abstractNumId="7">
    <w:nsid w:val="401FFCD3"/>
    <w:multiLevelType w:val="hybridMultilevel"/>
    <w:tmpl w:val="00000000"/>
    <w:lvl w:ilvl="0">
      <w:start w:val="2"/>
      <w:numFmt w:val="decimal"/>
      <w:lvlText w:val="(%1)"/>
      <w:lvlJc w:val="left"/>
      <w:pPr>
        <w:ind w:left="1559" w:hanging="383"/>
        <w:jc w:val="right"/>
      </w:pPr>
      <w:rPr>
        <w:rFonts w:ascii="Arial Narrow" w:eastAsia="Arial Narrow" w:hAnsi="Arial Narrow" w:cs="Arial Narrow" w:hint="default"/>
        <w:w w:val="118"/>
        <w:sz w:val="29"/>
        <w:szCs w:val="29"/>
      </w:rPr>
    </w:lvl>
    <w:lvl w:ilvl="1">
      <w:start w:val="0"/>
      <w:numFmt w:val="bullet"/>
      <w:lvlText w:val="•"/>
      <w:lvlJc w:val="left"/>
      <w:pPr>
        <w:ind w:left="2758" w:hanging="3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7" w:hanging="3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5" w:hanging="3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4" w:hanging="3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2" w:hanging="3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1" w:hanging="3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9" w:hanging="3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48" w:hanging="383"/>
      </w:pPr>
      <w:rPr>
        <w:rFonts w:hint="default"/>
      </w:rPr>
    </w:lvl>
  </w:abstractNum>
  <w:abstractNum w:abstractNumId="8">
    <w:nsid w:val="540CC44B"/>
    <w:multiLevelType w:val="hybridMultilevel"/>
    <w:tmpl w:val="00000000"/>
    <w:lvl w:ilvl="0">
      <w:start w:val="20"/>
      <w:numFmt w:val="decimal"/>
      <w:lvlText w:val="%1."/>
      <w:lvlJc w:val="left"/>
      <w:pPr>
        <w:ind w:left="1154" w:hanging="631"/>
        <w:jc w:val="left"/>
      </w:pPr>
      <w:rPr>
        <w:rFonts w:hint="default"/>
        <w:spacing w:val="-1"/>
        <w:w w:val="101"/>
      </w:rPr>
    </w:lvl>
    <w:lvl w:ilvl="1">
      <w:start w:val="1"/>
      <w:numFmt w:val="upperLetter"/>
      <w:lvlText w:val="%2."/>
      <w:lvlJc w:val="left"/>
      <w:pPr>
        <w:ind w:left="1153" w:hanging="475"/>
        <w:jc w:val="left"/>
      </w:pPr>
      <w:rPr>
        <w:rFonts w:hint="default"/>
        <w:w w:val="101"/>
      </w:rPr>
    </w:lvl>
    <w:lvl w:ilvl="2">
      <w:start w:val="0"/>
      <w:numFmt w:val="bullet"/>
      <w:lvlText w:val="•"/>
      <w:lvlJc w:val="left"/>
      <w:pPr>
        <w:ind w:left="1540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00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92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84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76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68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60" w:hanging="475"/>
      </w:pPr>
      <w:rPr>
        <w:rFonts w:hint="default"/>
      </w:rPr>
    </w:lvl>
  </w:abstractNum>
  <w:abstractNum w:abstractNumId="9">
    <w:nsid w:val="5C6D475E"/>
    <w:multiLevelType w:val="hybridMultilevel"/>
    <w:tmpl w:val="00000000"/>
    <w:lvl w:ilvl="0">
      <w:start w:val="12"/>
      <w:numFmt w:val="decimal"/>
      <w:lvlText w:val="%1."/>
      <w:lvlJc w:val="left"/>
      <w:pPr>
        <w:ind w:left="1154" w:hanging="631"/>
        <w:jc w:val="left"/>
      </w:pPr>
      <w:rPr>
        <w:rFonts w:ascii="宋体" w:eastAsia="宋体" w:hAnsi="宋体" w:cs="宋体" w:hint="default"/>
        <w:spacing w:val="-1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398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7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5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4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2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1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9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68" w:hanging="631"/>
      </w:pPr>
      <w:rPr>
        <w:rFonts w:hint="default"/>
      </w:rPr>
    </w:lvl>
  </w:abstractNum>
  <w:abstractNum w:abstractNumId="10">
    <w:nsid w:val="6D03F455"/>
    <w:multiLevelType w:val="hybridMultilevel"/>
    <w:tmpl w:val="00000000"/>
    <w:lvl w:ilvl="0">
      <w:start w:val="1"/>
      <w:numFmt w:val="decimal"/>
      <w:lvlText w:val="%1."/>
      <w:lvlJc w:val="left"/>
      <w:pPr>
        <w:ind w:left="997" w:hanging="474"/>
        <w:jc w:val="left"/>
      </w:pPr>
      <w:rPr>
        <w:rFonts w:hint="default"/>
        <w:spacing w:val="-1"/>
        <w:w w:val="101"/>
      </w:rPr>
    </w:lvl>
    <w:lvl w:ilvl="1">
      <w:start w:val="1"/>
      <w:numFmt w:val="upperLetter"/>
      <w:lvlText w:val="%2."/>
      <w:lvlJc w:val="left"/>
      <w:pPr>
        <w:ind w:left="838" w:hanging="474"/>
        <w:jc w:val="left"/>
      </w:pPr>
      <w:rPr>
        <w:rFonts w:hint="default"/>
        <w:spacing w:val="-1"/>
        <w:w w:val="101"/>
      </w:rPr>
    </w:lvl>
    <w:lvl w:ilvl="2">
      <w:start w:val="0"/>
      <w:numFmt w:val="bullet"/>
      <w:lvlText w:val="•"/>
      <w:lvlJc w:val="left"/>
      <w:pPr>
        <w:ind w:left="1000" w:hanging="4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20" w:hanging="4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60" w:hanging="4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80" w:hanging="4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53" w:hanging="4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126" w:hanging="4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599" w:hanging="474"/>
      </w:pPr>
      <w:rPr>
        <w:rFonts w:hint="default"/>
      </w:rPr>
    </w:lvl>
  </w:abstractNum>
  <w:abstractNum w:abstractNumId="11">
    <w:nsid w:val="743A7D84"/>
    <w:multiLevelType w:val="hybridMultilevel"/>
    <w:tmpl w:val="00000000"/>
    <w:lvl w:ilvl="0">
      <w:start w:val="5"/>
      <w:numFmt w:val="decimal"/>
      <w:lvlText w:val="%1."/>
      <w:lvlJc w:val="left"/>
      <w:pPr>
        <w:ind w:left="523" w:hanging="474"/>
        <w:jc w:val="left"/>
      </w:pPr>
      <w:rPr>
        <w:rFonts w:ascii="Arial Narrow" w:eastAsia="Arial Narrow" w:hAnsi="Arial Narrow" w:cs="Arial Narrow" w:hint="default"/>
        <w:spacing w:val="-1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1822" w:hanging="4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5" w:hanging="4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7" w:hanging="4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0" w:hanging="4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2" w:hanging="4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5" w:hanging="4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7" w:hanging="4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0" w:hanging="474"/>
      </w:pPr>
      <w:rPr>
        <w:rFonts w:hint="default"/>
      </w:rPr>
    </w:lvl>
  </w:abstractNum>
  <w:abstractNum w:abstractNumId="12">
    <w:nsid w:val="7B990575"/>
    <w:multiLevelType w:val="hybridMultilevel"/>
    <w:tmpl w:val="00000000"/>
    <w:lvl w:ilvl="0">
      <w:start w:val="2"/>
      <w:numFmt w:val="upperLetter"/>
      <w:lvlText w:val="%1."/>
      <w:lvlJc w:val="left"/>
      <w:pPr>
        <w:ind w:left="1673" w:hanging="496"/>
        <w:jc w:val="left"/>
      </w:pPr>
      <w:rPr>
        <w:rFonts w:ascii="Times New Roman" w:eastAsia="Times New Roman" w:hAnsi="Times New Roman" w:cs="Times New Roman" w:hint="default"/>
        <w:spacing w:val="-31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866" w:hanging="4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3" w:hanging="4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9" w:hanging="4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26" w:hanging="4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2" w:hanging="4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9" w:hanging="4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5" w:hanging="4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72" w:hanging="496"/>
      </w:pPr>
      <w:rPr>
        <w:rFonts w:hint="default"/>
      </w:rPr>
    </w:lvl>
  </w:abstractNum>
  <w:abstractNum w:abstractNumId="13">
    <w:nsid w:val="7DB5F14A"/>
    <w:multiLevelType w:val="hybridMultilevel"/>
    <w:tmpl w:val="00000000"/>
    <w:lvl w:ilvl="0">
      <w:start w:val="1"/>
      <w:numFmt w:val="decimal"/>
      <w:lvlText w:val="%1."/>
      <w:lvlJc w:val="left"/>
      <w:pPr>
        <w:ind w:left="997" w:hanging="474"/>
        <w:jc w:val="left"/>
      </w:pPr>
      <w:rPr>
        <w:rFonts w:hint="default"/>
        <w:spacing w:val="-1"/>
        <w:w w:val="97"/>
      </w:rPr>
    </w:lvl>
    <w:lvl w:ilvl="1">
      <w:start w:val="1"/>
      <w:numFmt w:val="upperLetter"/>
      <w:lvlText w:val="%2."/>
      <w:lvlJc w:val="left"/>
      <w:pPr>
        <w:ind w:left="1177" w:hanging="519"/>
        <w:jc w:val="left"/>
      </w:pPr>
      <w:rPr>
        <w:rFonts w:hint="default"/>
        <w:spacing w:val="-25"/>
        <w:w w:val="101"/>
      </w:rPr>
    </w:lvl>
    <w:lvl w:ilvl="2">
      <w:start w:val="0"/>
      <w:numFmt w:val="bullet"/>
      <w:lvlText w:val="•"/>
      <w:lvlJc w:val="left"/>
      <w:pPr>
        <w:ind w:left="1000" w:hanging="5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20" w:hanging="5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80" w:hanging="5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80" w:hanging="5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93" w:hanging="5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06" w:hanging="5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719" w:hanging="519"/>
      </w:pPr>
      <w:rPr>
        <w:rFonts w:hint="default"/>
      </w:rPr>
    </w:lvl>
  </w:abstractNum>
  <w:abstractNum w:abstractNumId="14">
    <w:nsid w:val="7F729AD1"/>
    <w:multiLevelType w:val="hybridMultilevel"/>
    <w:tmpl w:val="00000000"/>
    <w:lvl w:ilvl="0">
      <w:start w:val="1"/>
      <w:numFmt w:val="decimal"/>
      <w:lvlText w:val="%1."/>
      <w:lvlJc w:val="left"/>
      <w:pPr>
        <w:ind w:left="997" w:hanging="474"/>
        <w:jc w:val="left"/>
      </w:pPr>
      <w:rPr>
        <w:rFonts w:ascii="Arial Narrow" w:eastAsia="Arial Narrow" w:hAnsi="Arial Narrow" w:cs="Arial Narrow" w:hint="default"/>
        <w:spacing w:val="-1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254" w:hanging="4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09" w:hanging="4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3" w:hanging="4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8" w:hanging="4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2" w:hanging="4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7" w:hanging="4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1" w:hanging="4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6" w:hanging="474"/>
      </w:pPr>
      <w:rPr>
        <w:rFonts w:hint="default"/>
      </w:rPr>
    </w:lvl>
  </w:abstractNum>
  <w:num w:numId="1">
    <w:abstractNumId w:val="12"/>
  </w:num>
  <w:num w:numId="2">
    <w:abstractNumId w:val="7"/>
  </w:num>
  <w:num w:numId="3">
    <w:abstractNumId w:val="5"/>
  </w:num>
  <w:num w:numId="4">
    <w:abstractNumId w:val="6"/>
  </w:num>
  <w:num w:numId="5">
    <w:abstractNumId w:val="10"/>
  </w:num>
  <w:num w:numId="6">
    <w:abstractNumId w:val="8"/>
  </w:num>
  <w:num w:numId="7">
    <w:abstractNumId w:val="3"/>
  </w:num>
  <w:num w:numId="8">
    <w:abstractNumId w:val="13"/>
  </w:num>
  <w:num w:numId="9">
    <w:abstractNumId w:val="2"/>
  </w:num>
  <w:num w:numId="10">
    <w:abstractNumId w:val="0"/>
  </w:num>
  <w:num w:numId="11">
    <w:abstractNumId w:val="9"/>
  </w:num>
  <w:num w:numId="12">
    <w:abstractNumId w:val="1"/>
  </w:num>
  <w:num w:numId="13">
    <w:abstractNumId w:val="11"/>
  </w:num>
  <w:num w:numId="14">
    <w:abstractNumId w:val="14"/>
  </w:num>
  <w:num w:numId="1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customStyle="1" w:styleId="Heading1">
    <w:name w:val="Heading 1"/>
    <w:basedOn w:val="Normal"/>
    <w:uiPriority w:val="1"/>
    <w:qFormat/>
    <w:pPr>
      <w:spacing w:before="76"/>
      <w:ind w:left="523"/>
      <w:jc w:val="center"/>
      <w:outlineLvl w:val="1"/>
    </w:pPr>
    <w:rPr>
      <w:rFonts w:ascii="宋体" w:eastAsia="宋体" w:hAnsi="宋体" w:cs="宋体"/>
      <w:b/>
      <w:bCs/>
      <w:sz w:val="31"/>
      <w:szCs w:val="31"/>
    </w:rPr>
  </w:style>
  <w:style w:type="paragraph" w:styleId="Title">
    <w:name w:val="Title"/>
    <w:basedOn w:val="Normal"/>
    <w:uiPriority w:val="1"/>
    <w:qFormat/>
    <w:pPr>
      <w:spacing w:before="8"/>
      <w:ind w:left="459" w:right="541"/>
      <w:jc w:val="center"/>
    </w:pPr>
    <w:rPr>
      <w:rFonts w:ascii="宋体" w:eastAsia="宋体" w:hAnsi="宋体" w:cs="宋体"/>
      <w:b/>
      <w:bCs/>
      <w:sz w:val="47"/>
      <w:szCs w:val="47"/>
    </w:rPr>
  </w:style>
  <w:style w:type="paragraph" w:styleId="ListParagraph">
    <w:name w:val="List Paragraph"/>
    <w:basedOn w:val="Normal"/>
    <w:uiPriority w:val="1"/>
    <w:qFormat/>
    <w:pPr>
      <w:ind w:left="523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08031017077006023" TargetMode="External" /><Relationship Id="rId11" Type="http://schemas.openxmlformats.org/officeDocument/2006/relationships/footer" Target="footer2.xm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2023-10-21T17:57:41Z</dcterms:created>
  <dcterms:modified xsi:type="dcterms:W3CDTF">2023-10-21T17:57:41Z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2022-12-04T00:00:00Z</vt:filetime>
  </property>
  <property fmtid="{D5CDD505-2E9C-101B-9397-08002B2CF9AE}" pid="3" name="LastSaved">
    <vt:filetime>2023-10-21T00:00:00Z</vt:filetime>
  </property>
</Properties>
</file>