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91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高纯金属及氧化物项目商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业计</w:t>
      </w:r>
    </w:p>
    <w:p>
      <w:pPr>
        <w:spacing w:before="224" w:line="219" w:lineRule="auto"/>
        <w:ind w:left="3585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0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划</w:t>
      </w:r>
      <w:r>
        <w:rPr>
          <w:rFonts w:ascii="SimSun" w:eastAsia="SimSun" w:hAnsi="SimSun" w:cs="SimSun"/>
          <w:spacing w:val="-9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26320460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(二)、高纯金属及氧化物项目技术工艺分析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0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、高纯金属及氧化物项目技术流程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1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三、高纯金属及氧化物项目建设背景及必要性分析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五、土建工程方案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二)、高纯金属及氧化物项目总平面设计要求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二)、社会责任高纯金属及氧化物项目与计划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七、劳动安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202963525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37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62456888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46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)、高纯金属及氧化物项目实施保障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、高纯金属及氧化物项目管理与团队协作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48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一)、高纯金属及氧化物项目管理方法论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49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、高纯金属及氧化物项目计划与进度管理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2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、高纯金属及氧化物项目风险管理与应对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1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项目商业计划书旨在全面介绍和规划一个创新性的高纯金属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</w:t>
      </w:r>
      <w:r>
        <w:rPr>
          <w:rFonts w:ascii="FangSong" w:eastAsia="FangSong" w:hAnsi="FangSong" w:cs="FangSong"/>
          <w:spacing w:val="-8"/>
          <w:sz w:val="28"/>
          <w:szCs w:val="28"/>
        </w:rPr>
        <w:t>氧化物项目，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以满足需求。该方案的目的是为了提供高纯金属及氧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物项目的全面概览，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施</w:t>
      </w:r>
      <w:r>
        <w:rPr>
          <w:rFonts w:ascii="FangSong" w:eastAsia="FangSong" w:hAnsi="FangSong" w:cs="FangSong"/>
          <w:spacing w:val="-8"/>
          <w:sz w:val="28"/>
          <w:szCs w:val="28"/>
        </w:rPr>
        <w:t>计划。通过本方案的学习交流，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希望能为相关人员提供一个深入了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解</w:t>
      </w:r>
      <w:r>
        <w:rPr>
          <w:rFonts w:ascii="FangSong" w:eastAsia="FangSong" w:hAnsi="FangSong" w:cs="FangSong"/>
          <w:spacing w:val="-12"/>
          <w:sz w:val="28"/>
          <w:szCs w:val="28"/>
        </w:rPr>
        <w:t>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以促进进一步的合作和研究。请注意，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为商业</w:t>
      </w:r>
      <w:r>
        <w:rPr>
          <w:rFonts w:ascii="FangSong" w:eastAsia="FangSong" w:hAnsi="FangSong" w:cs="FangSong"/>
          <w:spacing w:val="-3"/>
          <w:sz w:val="28"/>
          <w:szCs w:val="28"/>
        </w:rPr>
        <w:t>用途，只用作学习交流。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1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7" w:line="219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我们将在市场营销战略上寻求跨足式发展，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</w:p>
    <w:p>
      <w:pPr>
        <w:sectPr>
          <w:pgSz w:w="11906" w:h="16839"/>
          <w:pgMar w:top="1431" w:right="1704" w:bottom="0" w:left="1785" w:header="0" w:footer="0" w:gutter="0"/>
          <w:pgNumType w:start="5"/>
          <w:cols w:space="708"/>
        </w:sectPr>
      </w:pPr>
    </w:p>
    <w:p>
      <w:pPr>
        <w:spacing w:before="185" w:line="411" w:lineRule="auto"/>
        <w:ind w:left="39" w:right="49" w:hanging="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9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中的竞争力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(二)、高纯金属及氧化物项目技术工艺分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4" w:lineRule="auto"/>
        <w:ind w:left="31" w:right="49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ectPr>
          <w:pgSz w:w="11906" w:h="16839"/>
          <w:pgMar w:top="1431" w:right="1750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31" w:right="45" w:firstLine="555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3" w:right="102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提供优质产品和服务。保障工艺流程能够满足高纯金属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及</w:t>
      </w:r>
      <w:r>
        <w:rPr>
          <w:rFonts w:ascii="FangSong" w:eastAsia="FangSong" w:hAnsi="FangSong" w:cs="FangSong"/>
          <w:spacing w:val="-12"/>
          <w:sz w:val="28"/>
          <w:szCs w:val="28"/>
        </w:rPr>
        <w:t>氧化物项目产品要求，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要求进</w:t>
      </w:r>
      <w:r>
        <w:rPr>
          <w:rFonts w:ascii="FangSong" w:eastAsia="FangSong" w:hAnsi="FangSong" w:cs="FangSong"/>
          <w:spacing w:val="-3"/>
          <w:sz w:val="28"/>
          <w:szCs w:val="28"/>
        </w:rPr>
        <w:t>行操作，提高产品合格率。</w:t>
      </w:r>
    </w:p>
    <w:p>
      <w:pPr>
        <w:spacing w:before="1" w:line="411" w:lineRule="auto"/>
        <w:ind w:left="32" w:right="6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38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高纯金属及氧化物项目建设贯彻“三同时”的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原</w:t>
      </w:r>
      <w:r>
        <w:rPr>
          <w:rFonts w:ascii="FangSong" w:eastAsia="FangSong" w:hAnsi="FangSong" w:cs="FangSong"/>
          <w:spacing w:val="-20"/>
          <w:sz w:val="28"/>
          <w:szCs w:val="28"/>
        </w:rPr>
        <w:t>则</w:t>
      </w:r>
      <w:r>
        <w:rPr>
          <w:rFonts w:ascii="FangSong" w:eastAsia="FangSong" w:hAnsi="FangSong" w:cs="FangSong"/>
          <w:spacing w:val="-13"/>
          <w:sz w:val="28"/>
          <w:szCs w:val="28"/>
        </w:rPr>
        <w:t>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注重环境保护、职业安全卫生、消防及节能等各项措施的落实。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9" w:line="411" w:lineRule="auto"/>
        <w:ind w:left="41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纯金属及氧化物项目拟采用国内成熟的生产工艺，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生产技术人员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pacing w:val="-2"/>
          <w:sz w:val="28"/>
          <w:szCs w:val="28"/>
        </w:rPr>
        <w:t>研发技术人员共同制定。所采用的技术具有能耗低、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高</w:t>
      </w:r>
      <w:r>
        <w:rPr>
          <w:rFonts w:ascii="FangSong" w:eastAsia="FangSong" w:hAnsi="FangSong" w:cs="FangSong"/>
          <w:spacing w:val="-23"/>
          <w:sz w:val="28"/>
          <w:szCs w:val="28"/>
        </w:rPr>
        <w:t>质</w:t>
      </w:r>
      <w:r>
        <w:rPr>
          <w:rFonts w:ascii="FangSong" w:eastAsia="FangSong" w:hAnsi="FangSong" w:cs="FangSong"/>
          <w:spacing w:val="-13"/>
          <w:sz w:val="28"/>
          <w:szCs w:val="28"/>
        </w:rPr>
        <w:t>量、高环保性的特点，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所生产的产品已经在国内外市场获得认可。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7" w:line="414" w:lineRule="auto"/>
        <w:ind w:left="31" w:right="102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高纯</w:t>
      </w:r>
      <w:r>
        <w:rPr>
          <w:rFonts w:ascii="FangSong" w:eastAsia="FangSong" w:hAnsi="FangSong" w:cs="FangSong"/>
          <w:spacing w:val="-6"/>
          <w:sz w:val="28"/>
          <w:szCs w:val="28"/>
        </w:rPr>
        <w:t>金</w:t>
      </w:r>
      <w:r>
        <w:rPr>
          <w:rFonts w:ascii="FangSong" w:eastAsia="FangSong" w:hAnsi="FangSong" w:cs="FangSong"/>
          <w:spacing w:val="-4"/>
          <w:sz w:val="28"/>
          <w:szCs w:val="28"/>
        </w:rPr>
        <w:t>属及氧化物项目的技术保障措施从设计、施工、试运行到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投</w:t>
      </w:r>
      <w:r>
        <w:rPr>
          <w:rFonts w:ascii="FangSong" w:eastAsia="FangSong" w:hAnsi="FangSong" w:cs="FangSong"/>
          <w:spacing w:val="-12"/>
          <w:sz w:val="28"/>
          <w:szCs w:val="28"/>
        </w:rPr>
        <w:t>产、销售等各个环节，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以确保高纯金属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及氧化物项目在</w:t>
      </w:r>
      <w:r>
        <w:rPr>
          <w:rFonts w:ascii="FangSong" w:eastAsia="FangSong" w:hAnsi="FangSong" w:cs="FangSong"/>
          <w:spacing w:val="-4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术开发和生产技术应用上达到现代化生产水平。这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种综合的技术支持将确保高纯金属及氧化物项目的可持续发展和</w:t>
      </w:r>
      <w:r>
        <w:rPr>
          <w:rFonts w:ascii="FangSong" w:eastAsia="FangSong" w:hAnsi="FangSong" w:cs="FangSong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10"/>
          <w:sz w:val="28"/>
          <w:szCs w:val="28"/>
        </w:rPr>
        <w:t>运营。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、高纯金属及氧化物项目技术流程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90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60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在高纯金属</w:t>
      </w:r>
      <w:r>
        <w:rPr>
          <w:rFonts w:ascii="FangSong" w:eastAsia="FangSong" w:hAnsi="FangSong" w:cs="FangSong"/>
          <w:spacing w:val="-2"/>
          <w:sz w:val="28"/>
          <w:szCs w:val="28"/>
        </w:rPr>
        <w:t>及氧化物项目运营中，进行技术持续改进。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39" w:right="103" w:firstLine="11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运用</w:t>
      </w:r>
      <w:r>
        <w:rPr>
          <w:rFonts w:ascii="FangSong" w:eastAsia="FangSong" w:hAnsi="FangSong" w:cs="FangSong"/>
          <w:spacing w:val="8"/>
          <w:sz w:val="28"/>
          <w:szCs w:val="28"/>
        </w:rPr>
        <w:t>数</w:t>
      </w:r>
      <w:r>
        <w:rPr>
          <w:rFonts w:ascii="FangSong" w:eastAsia="FangSong" w:hAnsi="FangSong" w:cs="FangSong"/>
          <w:spacing w:val="6"/>
          <w:sz w:val="28"/>
          <w:szCs w:val="28"/>
        </w:rPr>
        <w:t>据分析工具监测和分析高纯金属及氧化物项目各环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节</w:t>
      </w:r>
      <w:r>
        <w:rPr>
          <w:rFonts w:ascii="FangSong" w:eastAsia="FangSong" w:hAnsi="FangSong" w:cs="FangSong"/>
          <w:spacing w:val="-11"/>
          <w:sz w:val="28"/>
          <w:szCs w:val="28"/>
        </w:rPr>
        <w:t>数据。</w:t>
      </w:r>
    </w:p>
    <w:p>
      <w:pPr>
        <w:spacing w:before="1" w:line="222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88"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共同构建了高效、稳定的高纯金属及氧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化物项目技术实施框架，确保高纯金属及氧化物项目顺利推进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34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选</w:t>
      </w:r>
      <w:r>
        <w:rPr>
          <w:rFonts w:ascii="FangSong" w:eastAsia="FangSong" w:hAnsi="FangSong" w:cs="FangSong"/>
          <w:spacing w:val="-8"/>
          <w:sz w:val="28"/>
          <w:szCs w:val="28"/>
        </w:rPr>
        <w:t>用的设备能够满足高纯金属及氧化物项目的技术要求，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如</w:t>
      </w:r>
      <w:r>
        <w:rPr>
          <w:rFonts w:ascii="FangSong" w:eastAsia="FangSong" w:hAnsi="FangSong" w:cs="FangSong"/>
          <w:spacing w:val="-20"/>
          <w:sz w:val="28"/>
          <w:szCs w:val="28"/>
        </w:rPr>
        <w:t>：</w:t>
      </w:r>
    </w:p>
    <w:p>
      <w:pPr>
        <w:spacing w:before="2" w:line="220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确保所选设备与高纯金属及氧化物项目工艺流程相匹配，例</w:t>
      </w:r>
      <w:r>
        <w:rPr>
          <w:rFonts w:ascii="FangSong" w:eastAsia="FangSong" w:hAnsi="FangSong" w:cs="FangSong"/>
          <w:spacing w:val="-2"/>
          <w:sz w:val="28"/>
          <w:szCs w:val="28"/>
        </w:rPr>
        <w:t>如</w:t>
      </w:r>
      <w:r>
        <w:rPr>
          <w:rFonts w:ascii="FangSong" w:eastAsia="FangSong" w:hAnsi="FangSong" w:cs="FangSong"/>
          <w:sz w:val="28"/>
          <w:szCs w:val="28"/>
        </w:rPr>
        <w:t>：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40" w:right="14" w:firstLine="693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1"/>
          <w:sz w:val="28"/>
          <w:szCs w:val="28"/>
        </w:rPr>
        <w:t>确认设备的生产能力是否符合高纯金属及氧化物项目的产能</w:t>
      </w:r>
      <w:r>
        <w:rPr>
          <w:rFonts w:ascii="FangSong" w:eastAsia="FangSong" w:hAnsi="FangSong" w:cs="FangSong"/>
          <w:sz w:val="28"/>
          <w:szCs w:val="28"/>
        </w:rPr>
        <w:t>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求。</w:t>
      </w:r>
    </w:p>
    <w:p>
      <w:pPr>
        <w:spacing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290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90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4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9" w:line="411" w:lineRule="auto"/>
        <w:ind w:left="733" w:right="542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选择</w:t>
      </w:r>
      <w:r>
        <w:rPr>
          <w:rFonts w:ascii="FangSong" w:eastAsia="FangSong" w:hAnsi="FangSong" w:cs="FangSong"/>
          <w:spacing w:val="-4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有良好信誉和提供及时售后服务的设备厂家，例如：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9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ectPr>
          <w:pgSz w:w="11906" w:h="16839"/>
          <w:pgMar w:top="1431" w:right="1785" w:bottom="0" w:left="1785" w:header="0" w:footer="0" w:gutter="0"/>
          <w:pgNumType w:start="10"/>
          <w:cols w:space="708"/>
        </w:sectPr>
      </w:pPr>
    </w:p>
    <w:p>
      <w:pPr>
        <w:spacing w:before="183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89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89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9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2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87" w:line="415" w:lineRule="auto"/>
        <w:ind w:left="34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纯金属及氧化物行业作为一个充满活力的领域，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品和服务，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务领域使得该行业成为科技进步、市场需求不断演变的前沿阵地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03" w:bottom="0" w:left="1785" w:header="0" w:footer="0" w:gutter="0"/>
          <w:pgNumType w:start="11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3" w:line="414" w:lineRule="auto"/>
        <w:ind w:left="32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高纯金属及氧化物行业在技术上取得了显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著</w:t>
      </w:r>
      <w:r>
        <w:rPr>
          <w:rFonts w:ascii="FangSong" w:eastAsia="FangSong" w:hAnsi="FangSong" w:cs="FangSong"/>
          <w:spacing w:val="-12"/>
          <w:sz w:val="28"/>
          <w:szCs w:val="28"/>
        </w:rPr>
        <w:t>的突破。高新技术的广泛应用，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</w:t>
      </w:r>
      <w:r>
        <w:rPr>
          <w:rFonts w:ascii="FangSong" w:eastAsia="FangSong" w:hAnsi="FangSong" w:cs="FangSong"/>
          <w:spacing w:val="-8"/>
          <w:sz w:val="28"/>
          <w:szCs w:val="28"/>
        </w:rPr>
        <w:t>高了生产效率，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行业带来了更多的发展可能性，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5"/>
          <w:sz w:val="28"/>
          <w:szCs w:val="28"/>
        </w:rPr>
        <w:t>化方向迅速发展。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415" w:lineRule="auto"/>
        <w:ind w:left="32" w:right="14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**高纯金属及氧化物行业**是一片充满活力的领域，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</w:t>
      </w:r>
      <w:r>
        <w:rPr>
          <w:rFonts w:ascii="FangSong" w:eastAsia="FangSong" w:hAnsi="FangSong" w:cs="FangSong"/>
          <w:spacing w:val="-3"/>
          <w:sz w:val="28"/>
          <w:szCs w:val="28"/>
        </w:rPr>
        <w:t>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产品和服务。根据最新的统计数据，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该行业在过去几年保持了平稳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增</w:t>
      </w:r>
      <w:r>
        <w:rPr>
          <w:rFonts w:ascii="FangSong" w:eastAsia="FangSong" w:hAnsi="FangSong" w:cs="FangSong"/>
          <w:spacing w:val="-8"/>
          <w:sz w:val="28"/>
          <w:szCs w:val="28"/>
        </w:rPr>
        <w:t>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为国家经济的健康发展做出了积极贡献。行业内涉及的领域包</w:t>
      </w:r>
    </w:p>
    <w:p>
      <w:pPr>
        <w:sectPr>
          <w:pgSz w:w="11906" w:h="16839"/>
          <w:pgMar w:top="1431" w:right="1785" w:bottom="0" w:left="1785" w:header="0" w:footer="0" w:gutter="0"/>
          <w:pgNumType w:start="12"/>
          <w:cols w:space="708"/>
        </w:sectPr>
      </w:pPr>
    </w:p>
    <w:p>
      <w:pPr>
        <w:spacing w:before="182" w:line="222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r>
        <w:rPr>
          <w:rFonts w:ascii="FangSong" w:eastAsia="FangSong" w:hAnsi="FangSong" w:cs="FangSong"/>
          <w:spacing w:val="-16"/>
          <w:sz w:val="28"/>
          <w:szCs w:val="28"/>
        </w:rPr>
        <w:t>括</w:t>
      </w:r>
      <w:r>
        <w:rPr>
          <w:rFonts w:ascii="FangSong" w:eastAsia="FangSong" w:hAnsi="FangSong" w:cs="FangSong"/>
          <w:spacing w:val="-9"/>
          <w:sz w:val="28"/>
          <w:szCs w:val="28"/>
        </w:rPr>
        <w:t>但不限于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</w:t>
      </w:r>
    </w:p>
    <w:p>
      <w:pPr>
        <w:spacing w:before="287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38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高</w:t>
      </w:r>
      <w:r>
        <w:rPr>
          <w:rFonts w:ascii="FangSong" w:eastAsia="FangSong" w:hAnsi="FangSong" w:cs="FangSong"/>
          <w:spacing w:val="-7"/>
          <w:sz w:val="28"/>
          <w:szCs w:val="28"/>
        </w:rPr>
        <w:t>纯金属及氧化物行业市场规模庞大，年复一年的增长势头不减。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这主要受益于消费者对高品质产品和创新服务的不断追求。市场规</w:t>
      </w:r>
      <w:r>
        <w:rPr>
          <w:rFonts w:ascii="FangSong" w:eastAsia="FangSong" w:hAnsi="FangSong" w:cs="FangSong"/>
          <w:spacing w:val="-3"/>
          <w:sz w:val="28"/>
          <w:szCs w:val="28"/>
        </w:rPr>
        <w:t>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的扩</w:t>
      </w:r>
      <w:r>
        <w:rPr>
          <w:rFonts w:ascii="FangSong" w:eastAsia="FangSong" w:hAnsi="FangSong" w:cs="FangSong"/>
          <w:spacing w:val="-2"/>
          <w:sz w:val="28"/>
          <w:szCs w:val="28"/>
        </w:rPr>
        <w:t>大也为新进入者提供了更多的机遇，加剧了行业内的竞争。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4" w:lineRule="auto"/>
        <w:ind w:left="32" w:right="19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高纯金属及氧化物行业在技术上取得了显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著</w:t>
      </w:r>
      <w:r>
        <w:rPr>
          <w:rFonts w:ascii="FangSong" w:eastAsia="FangSong" w:hAnsi="FangSong" w:cs="FangSong"/>
          <w:spacing w:val="-12"/>
          <w:sz w:val="28"/>
          <w:szCs w:val="28"/>
        </w:rPr>
        <w:t>的突破。高新技术的应用，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了</w:t>
      </w:r>
      <w:r>
        <w:rPr>
          <w:rFonts w:ascii="FangSong" w:eastAsia="FangSong" w:hAnsi="FangSong" w:cs="FangSong"/>
          <w:spacing w:val="-12"/>
          <w:sz w:val="28"/>
          <w:szCs w:val="28"/>
        </w:rPr>
        <w:t>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能性。</w:t>
      </w:r>
    </w:p>
    <w:p>
      <w:pPr>
        <w:sectPr>
          <w:pgSz w:w="11906" w:h="16839"/>
          <w:pgMar w:top="1431" w:right="1603" w:bottom="0" w:left="1785" w:header="0" w:footer="0" w:gutter="0"/>
          <w:pgNumType w:start="13"/>
          <w:cols w:space="708"/>
        </w:sectPr>
      </w:pPr>
    </w:p>
    <w:p>
      <w:pPr>
        <w:spacing w:before="245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三、高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纯金属及氧化物项目建设背景及必要性分析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14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2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8" w:line="416" w:lineRule="auto"/>
        <w:ind w:left="4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为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12"/>
          <w:sz w:val="28"/>
          <w:szCs w:val="28"/>
        </w:rPr>
        <w:t>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</w:p>
    <w:p>
      <w:pPr>
        <w:sectPr>
          <w:pgSz w:w="11906" w:h="16839"/>
          <w:pgMar w:top="1431" w:right="1697" w:bottom="0" w:left="1785" w:header="0" w:footer="0" w:gutter="0"/>
          <w:pgNumType w:start="15"/>
          <w:cols w:space="708"/>
        </w:sectPr>
      </w:pPr>
    </w:p>
    <w:p>
      <w:pPr>
        <w:spacing w:before="182" w:line="414" w:lineRule="auto"/>
        <w:ind w:left="34" w:right="95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人才培养和科技创新。通过设立研发基地、提供奖学金和实习机会</w:t>
      </w:r>
      <w:r>
        <w:rPr>
          <w:rFonts w:ascii="FangSong" w:eastAsia="FangSong" w:hAnsi="FangSong" w:cs="FangSong"/>
          <w:spacing w:val="-2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3" w:line="413" w:lineRule="auto"/>
        <w:ind w:left="32" w:right="9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</w:p>
    <w:p>
      <w:pPr>
        <w:sectPr>
          <w:pgSz w:w="11906" w:h="16839"/>
          <w:pgMar w:top="1431" w:right="1704" w:bottom="0" w:left="1785" w:header="0" w:footer="0" w:gutter="0"/>
          <w:pgNumType w:start="16"/>
          <w:cols w:space="708"/>
        </w:sectPr>
      </w:pPr>
    </w:p>
    <w:p>
      <w:pPr>
        <w:spacing w:before="183" w:line="417" w:lineRule="auto"/>
        <w:ind w:left="32" w:right="102" w:firstLine="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的基</w:t>
      </w:r>
      <w:r>
        <w:rPr>
          <w:rFonts w:ascii="FangSong" w:eastAsia="FangSong" w:hAnsi="FangSong" w:cs="FangSong"/>
          <w:spacing w:val="-14"/>
          <w:sz w:val="28"/>
          <w:szCs w:val="28"/>
        </w:rPr>
        <w:t>础</w:t>
      </w:r>
      <w:r>
        <w:rPr>
          <w:rFonts w:ascii="FangSong" w:eastAsia="FangSong" w:hAnsi="FangSong" w:cs="FangSong"/>
          <w:spacing w:val="-8"/>
          <w:sz w:val="28"/>
          <w:szCs w:val="28"/>
        </w:rPr>
        <w:t>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2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6" w:lineRule="auto"/>
        <w:ind w:left="32" w:right="71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ectPr>
          <w:pgSz w:w="11906" w:h="16839"/>
          <w:pgMar w:top="1431" w:right="1697" w:bottom="0" w:left="1785" w:header="0" w:footer="0" w:gutter="0"/>
          <w:pgNumType w:start="17"/>
          <w:cols w:space="708"/>
        </w:sectPr>
      </w:pPr>
    </w:p>
    <w:p>
      <w:pPr>
        <w:spacing w:before="184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7" w:line="416" w:lineRule="auto"/>
        <w:ind w:left="38" w:right="12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</w:p>
    <w:p>
      <w:pPr>
        <w:sectPr>
          <w:pgSz w:w="11906" w:h="16839"/>
          <w:pgMar w:top="1431" w:right="1623" w:bottom="0" w:left="1785" w:header="0" w:footer="0" w:gutter="0"/>
          <w:pgNumType w:start="18"/>
          <w:cols w:space="708"/>
        </w:sectPr>
      </w:pPr>
    </w:p>
    <w:p>
      <w:pPr>
        <w:spacing w:before="182" w:line="222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ectPr>
          <w:pgSz w:w="11906" w:h="16839"/>
          <w:pgMar w:top="1431" w:right="1743" w:bottom="0" w:left="1785" w:header="0" w:footer="0" w:gutter="0"/>
          <w:pgNumType w:start="19"/>
          <w:cols w:space="708"/>
        </w:sectPr>
      </w:pPr>
    </w:p>
    <w:p>
      <w:pPr>
        <w:spacing w:before="184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90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ectPr>
          <w:pgSz w:w="11906" w:h="16839"/>
          <w:pgMar w:top="1431" w:right="1763" w:bottom="0" w:left="1785" w:header="0" w:footer="0" w:gutter="0"/>
          <w:pgNumType w:start="20"/>
          <w:cols w:space="708"/>
        </w:sectPr>
      </w:pPr>
    </w:p>
    <w:p>
      <w:pPr>
        <w:spacing w:before="184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1" w:line="415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ectPr>
          <w:pgSz w:w="11906" w:h="16839"/>
          <w:pgMar w:top="1431" w:right="1603" w:bottom="0" w:left="1785" w:header="0" w:footer="0" w:gutter="0"/>
          <w:pgNumType w:start="21"/>
          <w:cols w:space="708"/>
        </w:sectPr>
      </w:pPr>
    </w:p>
    <w:p>
      <w:pPr>
        <w:spacing w:before="18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1" w:line="416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</w:p>
    <w:p>
      <w:pPr>
        <w:sectPr>
          <w:pgSz w:w="11906" w:h="16839"/>
          <w:pgMar w:top="1431" w:right="1785" w:bottom="0" w:left="1785" w:header="0" w:footer="0" w:gutter="0"/>
          <w:pgNumType w:start="22"/>
          <w:cols w:space="708"/>
        </w:sectPr>
      </w:pPr>
    </w:p>
    <w:p>
      <w:pPr>
        <w:spacing w:before="182" w:line="222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87" w:line="416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8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在高</w:t>
      </w:r>
      <w:r>
        <w:rPr>
          <w:rFonts w:ascii="FangSong" w:eastAsia="FangSong" w:hAnsi="FangSong" w:cs="FangSong"/>
          <w:spacing w:val="-15"/>
          <w:sz w:val="28"/>
          <w:szCs w:val="28"/>
        </w:rPr>
        <w:t>纯</w:t>
      </w:r>
      <w:r>
        <w:rPr>
          <w:rFonts w:ascii="FangSong" w:eastAsia="FangSong" w:hAnsi="FangSong" w:cs="FangSong"/>
          <w:spacing w:val="-8"/>
          <w:sz w:val="28"/>
          <w:szCs w:val="28"/>
        </w:rPr>
        <w:t>金属及氧化物项目的建筑工程设计过程中，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下</w:t>
      </w:r>
      <w:r>
        <w:rPr>
          <w:rFonts w:ascii="FangSong" w:eastAsia="FangSong" w:hAnsi="FangSong" w:cs="FangSong"/>
          <w:spacing w:val="-11"/>
          <w:sz w:val="28"/>
          <w:szCs w:val="28"/>
        </w:rPr>
        <w:t>基</w:t>
      </w:r>
      <w:r>
        <w:rPr>
          <w:rFonts w:ascii="FangSong" w:eastAsia="FangSong" w:hAnsi="FangSong" w:cs="FangSong"/>
          <w:spacing w:val="-8"/>
          <w:sz w:val="28"/>
          <w:szCs w:val="28"/>
        </w:rPr>
        <w:t>本设计原则，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以确保高纯金属及氧化物项目的可持续发展和建筑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构的安全性：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9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88" w:line="416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3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0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(二)、高纯金属及氧化物项目总平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面设计要求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纯金属及氧化物项目总平面设计将充分考虑以下要求，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整</w:t>
      </w:r>
      <w:r>
        <w:rPr>
          <w:rFonts w:ascii="FangSong" w:eastAsia="FangSong" w:hAnsi="FangSong" w:cs="FangSong"/>
          <w:spacing w:val="-4"/>
          <w:sz w:val="28"/>
          <w:szCs w:val="28"/>
        </w:rPr>
        <w:t>体设计满足工程的需要并符合相关规范：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ectPr>
          <w:pgSz w:w="11906" w:h="16839"/>
          <w:pgMar w:top="1431" w:right="1743" w:bottom="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89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定，适应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纯金属及氧化物项目的实际使用需要。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7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8"/>
          <w:sz w:val="28"/>
          <w:szCs w:val="28"/>
        </w:rPr>
        <w:t>纯金属及氧化物项目所处地区的地质条件和地震风险，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定适当的抗震设</w:t>
      </w:r>
      <w:r>
        <w:rPr>
          <w:rFonts w:ascii="FangSong" w:eastAsia="FangSong" w:hAnsi="FangSong" w:cs="FangSong"/>
          <w:spacing w:val="-5"/>
          <w:sz w:val="28"/>
          <w:szCs w:val="28"/>
        </w:rPr>
        <w:t>防</w:t>
      </w:r>
      <w:r>
        <w:rPr>
          <w:rFonts w:ascii="FangSong" w:eastAsia="FangSong" w:hAnsi="FangSong" w:cs="FangSong"/>
          <w:spacing w:val="-3"/>
          <w:sz w:val="28"/>
          <w:szCs w:val="28"/>
        </w:rPr>
        <w:t>烈度。结构将被设计以保证在地震发生时能够安全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稳</w:t>
      </w:r>
      <w:r>
        <w:rPr>
          <w:rFonts w:ascii="FangSong" w:eastAsia="FangSong" w:hAnsi="FangSong" w:cs="FangSong"/>
          <w:spacing w:val="-5"/>
          <w:sz w:val="28"/>
          <w:szCs w:val="28"/>
        </w:rPr>
        <w:t>定地承受地震作用。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89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</w:p>
    <w:p>
      <w:pPr>
        <w:sectPr>
          <w:pgSz w:w="11906" w:h="16839"/>
          <w:pgMar w:top="1431" w:right="1718" w:bottom="0" w:left="1785" w:header="0" w:footer="0" w:gutter="0"/>
          <w:pgNumType w:start="25"/>
          <w:cols w:space="708"/>
        </w:sectPr>
      </w:pPr>
    </w:p>
    <w:p>
      <w:pPr>
        <w:spacing w:before="183" w:line="219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before="291"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95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4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结合高纯金属及氧化物项目的实际需求和环境条件，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</w:t>
      </w:r>
      <w:r>
        <w:rPr>
          <w:rFonts w:ascii="FangSong" w:eastAsia="FangSong" w:hAnsi="FangSong" w:cs="FangSong"/>
          <w:spacing w:val="-7"/>
          <w:sz w:val="28"/>
          <w:szCs w:val="28"/>
        </w:rPr>
        <w:t>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程</w:t>
      </w:r>
      <w:r>
        <w:rPr>
          <w:rFonts w:ascii="FangSong" w:eastAsia="FangSong" w:hAnsi="FangSong" w:cs="FangSong"/>
          <w:spacing w:val="-8"/>
          <w:sz w:val="28"/>
          <w:szCs w:val="28"/>
        </w:rPr>
        <w:t>的耐久性和使用寿命。采用合适的材料和工艺，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间内能够保持良好的结构性能和外观状态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2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1"/>
          <w:sz w:val="28"/>
          <w:szCs w:val="28"/>
        </w:rPr>
        <w:t>建</w:t>
      </w:r>
      <w:r>
        <w:rPr>
          <w:rFonts w:ascii="FangSong" w:eastAsia="FangSong" w:hAnsi="FangSong" w:cs="FangSong"/>
          <w:spacing w:val="6"/>
          <w:sz w:val="28"/>
          <w:szCs w:val="28"/>
        </w:rPr>
        <w:t>筑工程的设计总体要求是确保高纯金属及氧化物项目实现预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功能、安全稳定、符合法规标准，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面取</w:t>
      </w:r>
      <w:r>
        <w:rPr>
          <w:rFonts w:ascii="FangSong" w:eastAsia="FangSong" w:hAnsi="FangSong" w:cs="FangSong"/>
          <w:spacing w:val="-3"/>
          <w:sz w:val="28"/>
          <w:szCs w:val="28"/>
        </w:rPr>
        <w:t>得平衡。下面是我们对建筑工程设计的总体要求：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建筑的功能布局满足高纯金属及氧化物项目需求，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能区域合理</w:t>
      </w:r>
      <w:r>
        <w:rPr>
          <w:rFonts w:ascii="FangSong" w:eastAsia="FangSong" w:hAnsi="FangSong" w:cs="FangSong"/>
          <w:spacing w:val="-3"/>
          <w:sz w:val="28"/>
          <w:szCs w:val="28"/>
        </w:rPr>
        <w:t>分布，形成高效的空间利用。</w:t>
      </w:r>
    </w:p>
    <w:p>
      <w:pPr>
        <w:spacing w:before="2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1" w:line="416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ectPr>
          <w:pgSz w:w="11906" w:h="16839"/>
          <w:pgMar w:top="1431" w:right="1704" w:bottom="0" w:left="1785" w:header="0" w:footer="0" w:gutter="0"/>
          <w:pgNumType w:start="26"/>
          <w:cols w:space="708"/>
        </w:sectPr>
      </w:pPr>
    </w:p>
    <w:p>
      <w:pPr>
        <w:spacing w:before="182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1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https://d.book118.com/208033053020006046</w:t>
        </w:r>
      </w:hyperlink>
    </w:p>
    <w:p/>
    <w:sectPr>
      <w:pgSz w:w="11906" w:h="16839"/>
      <w:pgMar w:top="1431" w:right="1724" w:bottom="0" w:left="1785" w:header="0" w:footer="0" w:gutter="0"/>
      <w:pgNumType w:start="2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08033053020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2024-03-14T07:23:19Z</vt:filetime>
  </property>
  <property fmtid="{D5CDD505-2E9C-101B-9397-08002B2CF9AE}" pid="3" name="CRO">
    <vt:lpwstr>wqlLaW5nc29mdCBQREYgdG8gV1BTIDgw</vt:lpwstr>
  </property>
</Properties>
</file>