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1" w:history="1">
        <w:r>
          <w:rPr>
            <w:rFonts w:ascii="仿宋" w:eastAsia="仿宋" w:hAnsi="仿宋" w:cs="仿宋" w:hint="eastAsia"/>
            <w:lang w:eastAsia="zh-CN"/>
          </w:rPr>
          <w:t>前言</w:t>
        </w:r>
        <w:r>
          <w:tab/>
        </w:r>
        <w:r>
          <w:fldChar w:fldCharType="begin"/>
        </w:r>
        <w:r>
          <w:instrText xml:space="preserve"> PAGEREF _Toc13411 \h </w:instrText>
        </w:r>
        <w:r>
          <w:fldChar w:fldCharType="separate"/>
        </w:r>
        <w:r>
          <w:t>3</w:t>
        </w:r>
        <w:r>
          <w:fldChar w:fldCharType="end"/>
        </w:r>
      </w:hyperlink>
    </w:p>
    <w:p>
      <w:pPr>
        <w:pStyle w:val="TOC1"/>
        <w:tabs>
          <w:tab w:val="right" w:leader="dot" w:pos="8306"/>
        </w:tabs>
      </w:pPr>
      <w:hyperlink w:anchor="_Toc10031" w:history="1">
        <w:r>
          <w:rPr>
            <w:rFonts w:ascii="仿宋" w:eastAsia="仿宋" w:hAnsi="仿宋" w:cs="仿宋" w:hint="eastAsia"/>
            <w:lang w:eastAsia="zh-CN"/>
          </w:rPr>
          <w:t>一、氮肥项目选址可行性分析</w:t>
        </w:r>
        <w:r>
          <w:tab/>
        </w:r>
        <w:r>
          <w:fldChar w:fldCharType="begin"/>
        </w:r>
        <w:r>
          <w:instrText xml:space="preserve"> PAGEREF _Toc10031 \h </w:instrText>
        </w:r>
        <w:r>
          <w:fldChar w:fldCharType="separate"/>
        </w:r>
        <w:r>
          <w:t>3</w:t>
        </w:r>
        <w:r>
          <w:fldChar w:fldCharType="end"/>
        </w:r>
      </w:hyperlink>
    </w:p>
    <w:p>
      <w:pPr>
        <w:pStyle w:val="TOC2"/>
        <w:tabs>
          <w:tab w:val="right" w:leader="dot" w:pos="8306"/>
        </w:tabs>
      </w:pPr>
      <w:hyperlink w:anchor="_Toc18049" w:history="1">
        <w:r>
          <w:rPr>
            <w:rFonts w:ascii="仿宋" w:eastAsia="仿宋" w:hAnsi="仿宋" w:cs="仿宋" w:hint="eastAsia"/>
            <w:lang w:eastAsia="zh-CN"/>
          </w:rPr>
          <w:t>(一)、氮肥项目选址</w:t>
        </w:r>
        <w:r>
          <w:tab/>
        </w:r>
        <w:r>
          <w:fldChar w:fldCharType="begin"/>
        </w:r>
        <w:r>
          <w:instrText xml:space="preserve"> PAGEREF _Toc18049 \h </w:instrText>
        </w:r>
        <w:r>
          <w:fldChar w:fldCharType="separate"/>
        </w:r>
        <w:r>
          <w:t>3</w:t>
        </w:r>
        <w:r>
          <w:fldChar w:fldCharType="end"/>
        </w:r>
      </w:hyperlink>
    </w:p>
    <w:p>
      <w:pPr>
        <w:pStyle w:val="TOC2"/>
        <w:tabs>
          <w:tab w:val="right" w:leader="dot" w:pos="8306"/>
        </w:tabs>
      </w:pPr>
      <w:hyperlink w:anchor="_Toc853" w:history="1">
        <w:r>
          <w:rPr>
            <w:rFonts w:ascii="仿宋" w:eastAsia="仿宋" w:hAnsi="仿宋" w:cs="仿宋" w:hint="eastAsia"/>
            <w:lang w:eastAsia="zh-CN"/>
          </w:rPr>
          <w:t>(二)、用地控制指标</w:t>
        </w:r>
        <w:r>
          <w:tab/>
        </w:r>
        <w:r>
          <w:fldChar w:fldCharType="begin"/>
        </w:r>
        <w:r>
          <w:instrText xml:space="preserve"> PAGEREF _Toc853 \h </w:instrText>
        </w:r>
        <w:r>
          <w:fldChar w:fldCharType="separate"/>
        </w:r>
        <w:r>
          <w:t>3</w:t>
        </w:r>
        <w:r>
          <w:fldChar w:fldCharType="end"/>
        </w:r>
      </w:hyperlink>
    </w:p>
    <w:p>
      <w:pPr>
        <w:pStyle w:val="TOC2"/>
        <w:tabs>
          <w:tab w:val="right" w:leader="dot" w:pos="8306"/>
        </w:tabs>
      </w:pPr>
      <w:hyperlink w:anchor="_Toc13999" w:history="1">
        <w:r>
          <w:rPr>
            <w:rFonts w:ascii="仿宋" w:eastAsia="仿宋" w:hAnsi="仿宋" w:cs="仿宋" w:hint="eastAsia"/>
            <w:lang w:eastAsia="zh-CN"/>
          </w:rPr>
          <w:t>(三)、节约用地措施</w:t>
        </w:r>
        <w:r>
          <w:tab/>
        </w:r>
        <w:r>
          <w:fldChar w:fldCharType="begin"/>
        </w:r>
        <w:r>
          <w:instrText xml:space="preserve"> PAGEREF _Toc13999 \h </w:instrText>
        </w:r>
        <w:r>
          <w:fldChar w:fldCharType="separate"/>
        </w:r>
        <w:r>
          <w:t>5</w:t>
        </w:r>
        <w:r>
          <w:fldChar w:fldCharType="end"/>
        </w:r>
      </w:hyperlink>
    </w:p>
    <w:p>
      <w:pPr>
        <w:pStyle w:val="TOC2"/>
        <w:tabs>
          <w:tab w:val="right" w:leader="dot" w:pos="8306"/>
        </w:tabs>
      </w:pPr>
      <w:hyperlink w:anchor="_Toc28816" w:history="1">
        <w:r>
          <w:rPr>
            <w:rFonts w:ascii="仿宋" w:eastAsia="仿宋" w:hAnsi="仿宋" w:cs="仿宋" w:hint="eastAsia"/>
            <w:lang w:eastAsia="zh-CN"/>
          </w:rPr>
          <w:t>(四)、总图布置方案</w:t>
        </w:r>
        <w:r>
          <w:tab/>
        </w:r>
        <w:r>
          <w:fldChar w:fldCharType="begin"/>
        </w:r>
        <w:r>
          <w:instrText xml:space="preserve"> PAGEREF _Toc28816 \h </w:instrText>
        </w:r>
        <w:r>
          <w:fldChar w:fldCharType="separate"/>
        </w:r>
        <w:r>
          <w:t>6</w:t>
        </w:r>
        <w:r>
          <w:fldChar w:fldCharType="end"/>
        </w:r>
      </w:hyperlink>
    </w:p>
    <w:p>
      <w:pPr>
        <w:pStyle w:val="TOC2"/>
        <w:tabs>
          <w:tab w:val="right" w:leader="dot" w:pos="8306"/>
        </w:tabs>
      </w:pPr>
      <w:hyperlink w:anchor="_Toc21199" w:history="1">
        <w:r>
          <w:rPr>
            <w:rFonts w:ascii="仿宋" w:eastAsia="仿宋" w:hAnsi="仿宋" w:cs="仿宋" w:hint="eastAsia"/>
            <w:lang w:eastAsia="zh-CN"/>
          </w:rPr>
          <w:t>(五)、选址综合评价</w:t>
        </w:r>
        <w:r>
          <w:tab/>
        </w:r>
        <w:r>
          <w:fldChar w:fldCharType="begin"/>
        </w:r>
        <w:r>
          <w:instrText xml:space="preserve"> PAGEREF _Toc21199 \h </w:instrText>
        </w:r>
        <w:r>
          <w:fldChar w:fldCharType="separate"/>
        </w:r>
        <w:r>
          <w:t>7</w:t>
        </w:r>
        <w:r>
          <w:fldChar w:fldCharType="end"/>
        </w:r>
      </w:hyperlink>
    </w:p>
    <w:p>
      <w:pPr>
        <w:pStyle w:val="TOC1"/>
        <w:tabs>
          <w:tab w:val="right" w:leader="dot" w:pos="8306"/>
        </w:tabs>
      </w:pPr>
      <w:hyperlink w:anchor="_Toc6491" w:history="1">
        <w:r>
          <w:rPr>
            <w:rFonts w:ascii="仿宋" w:eastAsia="仿宋" w:hAnsi="仿宋" w:cs="仿宋" w:hint="eastAsia"/>
            <w:lang w:eastAsia="zh-CN"/>
          </w:rPr>
          <w:t>二、氮肥项目危机管理</w:t>
        </w:r>
        <w:r>
          <w:tab/>
        </w:r>
        <w:r>
          <w:fldChar w:fldCharType="begin"/>
        </w:r>
        <w:r>
          <w:instrText xml:space="preserve"> PAGEREF _Toc6491 \h </w:instrText>
        </w:r>
        <w:r>
          <w:fldChar w:fldCharType="separate"/>
        </w:r>
        <w:r>
          <w:t>8</w:t>
        </w:r>
        <w:r>
          <w:fldChar w:fldCharType="end"/>
        </w:r>
      </w:hyperlink>
    </w:p>
    <w:p>
      <w:pPr>
        <w:pStyle w:val="TOC2"/>
        <w:tabs>
          <w:tab w:val="right" w:leader="dot" w:pos="8306"/>
        </w:tabs>
      </w:pPr>
      <w:hyperlink w:anchor="_Toc26381" w:history="1">
        <w:r>
          <w:rPr>
            <w:rFonts w:ascii="仿宋" w:eastAsia="仿宋" w:hAnsi="仿宋" w:cs="仿宋" w:hint="eastAsia"/>
            <w:lang w:eastAsia="zh-CN"/>
          </w:rPr>
          <w:t>(一)、危机预警与识别</w:t>
        </w:r>
        <w:r>
          <w:tab/>
        </w:r>
        <w:r>
          <w:fldChar w:fldCharType="begin"/>
        </w:r>
        <w:r>
          <w:instrText xml:space="preserve"> PAGEREF _Toc26381 \h </w:instrText>
        </w:r>
        <w:r>
          <w:fldChar w:fldCharType="separate"/>
        </w:r>
        <w:r>
          <w:t>8</w:t>
        </w:r>
        <w:r>
          <w:fldChar w:fldCharType="end"/>
        </w:r>
      </w:hyperlink>
    </w:p>
    <w:p>
      <w:pPr>
        <w:pStyle w:val="TOC2"/>
        <w:tabs>
          <w:tab w:val="right" w:leader="dot" w:pos="8306"/>
        </w:tabs>
      </w:pPr>
      <w:hyperlink w:anchor="_Toc7781" w:history="1">
        <w:r>
          <w:rPr>
            <w:rFonts w:ascii="仿宋" w:eastAsia="仿宋" w:hAnsi="仿宋" w:cs="仿宋" w:hint="eastAsia"/>
            <w:lang w:eastAsia="zh-CN"/>
          </w:rPr>
          <w:t>(二)、危机应对与恢复</w:t>
        </w:r>
        <w:r>
          <w:tab/>
        </w:r>
        <w:r>
          <w:fldChar w:fldCharType="begin"/>
        </w:r>
        <w:r>
          <w:instrText xml:space="preserve"> PAGEREF _Toc7781 \h </w:instrText>
        </w:r>
        <w:r>
          <w:fldChar w:fldCharType="separate"/>
        </w:r>
        <w:r>
          <w:t>9</w:t>
        </w:r>
        <w:r>
          <w:fldChar w:fldCharType="end"/>
        </w:r>
      </w:hyperlink>
    </w:p>
    <w:p>
      <w:pPr>
        <w:pStyle w:val="TOC1"/>
        <w:tabs>
          <w:tab w:val="right" w:leader="dot" w:pos="8306"/>
        </w:tabs>
      </w:pPr>
      <w:hyperlink w:anchor="_Toc18885" w:history="1">
        <w:r>
          <w:rPr>
            <w:rFonts w:ascii="仿宋" w:eastAsia="仿宋" w:hAnsi="仿宋" w:cs="仿宋" w:hint="eastAsia"/>
            <w:lang w:eastAsia="zh-CN"/>
          </w:rPr>
          <w:t>三、产品规划分析</w:t>
        </w:r>
        <w:r>
          <w:tab/>
        </w:r>
        <w:r>
          <w:fldChar w:fldCharType="begin"/>
        </w:r>
        <w:r>
          <w:instrText xml:space="preserve"> PAGEREF _Toc18885 \h </w:instrText>
        </w:r>
        <w:r>
          <w:fldChar w:fldCharType="separate"/>
        </w:r>
        <w:r>
          <w:t>11</w:t>
        </w:r>
        <w:r>
          <w:fldChar w:fldCharType="end"/>
        </w:r>
      </w:hyperlink>
    </w:p>
    <w:p>
      <w:pPr>
        <w:pStyle w:val="TOC2"/>
        <w:tabs>
          <w:tab w:val="right" w:leader="dot" w:pos="8306"/>
        </w:tabs>
      </w:pPr>
      <w:hyperlink w:anchor="_Toc31578" w:history="1">
        <w:r>
          <w:rPr>
            <w:rFonts w:ascii="仿宋" w:eastAsia="仿宋" w:hAnsi="仿宋" w:cs="仿宋" w:hint="eastAsia"/>
            <w:lang w:eastAsia="zh-CN"/>
          </w:rPr>
          <w:t>(一)、产品规划</w:t>
        </w:r>
        <w:r>
          <w:tab/>
        </w:r>
        <w:r>
          <w:fldChar w:fldCharType="begin"/>
        </w:r>
        <w:r>
          <w:instrText xml:space="preserve"> PAGEREF _Toc31578 \h </w:instrText>
        </w:r>
        <w:r>
          <w:fldChar w:fldCharType="separate"/>
        </w:r>
        <w:r>
          <w:t>11</w:t>
        </w:r>
        <w:r>
          <w:fldChar w:fldCharType="end"/>
        </w:r>
      </w:hyperlink>
    </w:p>
    <w:p>
      <w:pPr>
        <w:pStyle w:val="TOC2"/>
        <w:tabs>
          <w:tab w:val="right" w:leader="dot" w:pos="8306"/>
        </w:tabs>
      </w:pPr>
      <w:hyperlink w:anchor="_Toc5039" w:history="1">
        <w:r>
          <w:rPr>
            <w:rFonts w:ascii="仿宋" w:eastAsia="仿宋" w:hAnsi="仿宋" w:cs="仿宋" w:hint="eastAsia"/>
            <w:lang w:eastAsia="zh-CN"/>
          </w:rPr>
          <w:t>(二)、建设规模</w:t>
        </w:r>
        <w:r>
          <w:tab/>
        </w:r>
        <w:r>
          <w:fldChar w:fldCharType="begin"/>
        </w:r>
        <w:r>
          <w:instrText xml:space="preserve"> PAGEREF _Toc5039 \h </w:instrText>
        </w:r>
        <w:r>
          <w:fldChar w:fldCharType="separate"/>
        </w:r>
        <w:r>
          <w:t>11</w:t>
        </w:r>
        <w:r>
          <w:fldChar w:fldCharType="end"/>
        </w:r>
      </w:hyperlink>
    </w:p>
    <w:p>
      <w:pPr>
        <w:pStyle w:val="TOC1"/>
        <w:tabs>
          <w:tab w:val="right" w:leader="dot" w:pos="8306"/>
        </w:tabs>
      </w:pPr>
      <w:hyperlink w:anchor="_Toc10982" w:history="1">
        <w:r>
          <w:rPr>
            <w:rFonts w:ascii="仿宋" w:eastAsia="仿宋" w:hAnsi="仿宋" w:cs="仿宋" w:hint="eastAsia"/>
            <w:lang w:eastAsia="zh-CN"/>
          </w:rPr>
          <w:t>四、氮肥项目概论</w:t>
        </w:r>
        <w:r>
          <w:tab/>
        </w:r>
        <w:r>
          <w:fldChar w:fldCharType="begin"/>
        </w:r>
        <w:r>
          <w:instrText xml:space="preserve"> PAGEREF _Toc10982 \h </w:instrText>
        </w:r>
        <w:r>
          <w:fldChar w:fldCharType="separate"/>
        </w:r>
        <w:r>
          <w:t>13</w:t>
        </w:r>
        <w:r>
          <w:fldChar w:fldCharType="end"/>
        </w:r>
      </w:hyperlink>
    </w:p>
    <w:p>
      <w:pPr>
        <w:pStyle w:val="TOC2"/>
        <w:tabs>
          <w:tab w:val="right" w:leader="dot" w:pos="8306"/>
        </w:tabs>
      </w:pPr>
      <w:hyperlink w:anchor="_Toc20046" w:history="1">
        <w:r>
          <w:rPr>
            <w:rFonts w:ascii="仿宋" w:eastAsia="仿宋" w:hAnsi="仿宋" w:cs="仿宋" w:hint="eastAsia"/>
            <w:lang w:eastAsia="zh-CN"/>
          </w:rPr>
          <w:t>(一)、氮肥项目概况</w:t>
        </w:r>
        <w:r>
          <w:tab/>
        </w:r>
        <w:r>
          <w:fldChar w:fldCharType="begin"/>
        </w:r>
        <w:r>
          <w:instrText xml:space="preserve"> PAGEREF _Toc20046 \h </w:instrText>
        </w:r>
        <w:r>
          <w:fldChar w:fldCharType="separate"/>
        </w:r>
        <w:r>
          <w:t>13</w:t>
        </w:r>
        <w:r>
          <w:fldChar w:fldCharType="end"/>
        </w:r>
      </w:hyperlink>
    </w:p>
    <w:p>
      <w:pPr>
        <w:pStyle w:val="TOC2"/>
        <w:tabs>
          <w:tab w:val="right" w:leader="dot" w:pos="8306"/>
        </w:tabs>
      </w:pPr>
      <w:hyperlink w:anchor="_Toc19425" w:history="1">
        <w:r>
          <w:rPr>
            <w:rFonts w:ascii="仿宋" w:eastAsia="仿宋" w:hAnsi="仿宋" w:cs="仿宋" w:hint="eastAsia"/>
            <w:lang w:eastAsia="zh-CN"/>
          </w:rPr>
          <w:t>(二)、氮肥项目目标</w:t>
        </w:r>
        <w:r>
          <w:tab/>
        </w:r>
        <w:r>
          <w:fldChar w:fldCharType="begin"/>
        </w:r>
        <w:r>
          <w:instrText xml:space="preserve"> PAGEREF _Toc19425 \h </w:instrText>
        </w:r>
        <w:r>
          <w:fldChar w:fldCharType="separate"/>
        </w:r>
        <w:r>
          <w:t>15</w:t>
        </w:r>
        <w:r>
          <w:fldChar w:fldCharType="end"/>
        </w:r>
      </w:hyperlink>
    </w:p>
    <w:p>
      <w:pPr>
        <w:pStyle w:val="TOC2"/>
        <w:tabs>
          <w:tab w:val="right" w:leader="dot" w:pos="8306"/>
        </w:tabs>
      </w:pPr>
      <w:hyperlink w:anchor="_Toc29429" w:history="1">
        <w:r>
          <w:rPr>
            <w:rFonts w:ascii="仿宋" w:eastAsia="仿宋" w:hAnsi="仿宋" w:cs="仿宋" w:hint="eastAsia"/>
            <w:lang w:eastAsia="zh-CN"/>
          </w:rPr>
          <w:t>(三)、氮肥项目提出的理由</w:t>
        </w:r>
        <w:r>
          <w:tab/>
        </w:r>
        <w:r>
          <w:fldChar w:fldCharType="begin"/>
        </w:r>
        <w:r>
          <w:instrText xml:space="preserve"> PAGEREF _Toc29429 \h </w:instrText>
        </w:r>
        <w:r>
          <w:fldChar w:fldCharType="separate"/>
        </w:r>
        <w:r>
          <w:t>16</w:t>
        </w:r>
        <w:r>
          <w:fldChar w:fldCharType="end"/>
        </w:r>
      </w:hyperlink>
    </w:p>
    <w:p>
      <w:pPr>
        <w:pStyle w:val="TOC2"/>
        <w:tabs>
          <w:tab w:val="right" w:leader="dot" w:pos="8306"/>
        </w:tabs>
      </w:pPr>
      <w:hyperlink w:anchor="_Toc22724" w:history="1">
        <w:r>
          <w:rPr>
            <w:rFonts w:ascii="仿宋" w:eastAsia="仿宋" w:hAnsi="仿宋" w:cs="仿宋" w:hint="eastAsia"/>
            <w:lang w:eastAsia="zh-CN"/>
          </w:rPr>
          <w:t>(四)、氮肥项目意义</w:t>
        </w:r>
        <w:r>
          <w:tab/>
        </w:r>
        <w:r>
          <w:fldChar w:fldCharType="begin"/>
        </w:r>
        <w:r>
          <w:instrText xml:space="preserve"> PAGEREF _Toc22724 \h </w:instrText>
        </w:r>
        <w:r>
          <w:fldChar w:fldCharType="separate"/>
        </w:r>
        <w:r>
          <w:t>17</w:t>
        </w:r>
        <w:r>
          <w:fldChar w:fldCharType="end"/>
        </w:r>
      </w:hyperlink>
    </w:p>
    <w:p>
      <w:pPr>
        <w:pStyle w:val="TOC2"/>
        <w:tabs>
          <w:tab w:val="right" w:leader="dot" w:pos="8306"/>
        </w:tabs>
      </w:pPr>
      <w:hyperlink w:anchor="_Toc9955" w:history="1">
        <w:r>
          <w:rPr>
            <w:rFonts w:ascii="仿宋" w:eastAsia="仿宋" w:hAnsi="仿宋" w:cs="仿宋" w:hint="eastAsia"/>
            <w:lang w:eastAsia="zh-CN"/>
          </w:rPr>
          <w:t>(五)、氮肥项目背景</w:t>
        </w:r>
        <w:r>
          <w:tab/>
        </w:r>
        <w:r>
          <w:fldChar w:fldCharType="begin"/>
        </w:r>
        <w:r>
          <w:instrText xml:space="preserve"> PAGEREF _Toc9955 \h </w:instrText>
        </w:r>
        <w:r>
          <w:fldChar w:fldCharType="separate"/>
        </w:r>
        <w:r>
          <w:t>18</w:t>
        </w:r>
        <w:r>
          <w:fldChar w:fldCharType="end"/>
        </w:r>
      </w:hyperlink>
    </w:p>
    <w:p>
      <w:pPr>
        <w:pStyle w:val="TOC1"/>
        <w:tabs>
          <w:tab w:val="right" w:leader="dot" w:pos="8306"/>
        </w:tabs>
      </w:pPr>
      <w:hyperlink w:anchor="_Toc19413" w:history="1">
        <w:r>
          <w:rPr>
            <w:rFonts w:ascii="仿宋" w:eastAsia="仿宋" w:hAnsi="仿宋" w:cs="仿宋" w:hint="eastAsia"/>
            <w:lang w:eastAsia="zh-CN"/>
          </w:rPr>
          <w:t>五、市场分析、调研</w:t>
        </w:r>
        <w:r>
          <w:tab/>
        </w:r>
        <w:r>
          <w:fldChar w:fldCharType="begin"/>
        </w:r>
        <w:r>
          <w:instrText xml:space="preserve"> PAGEREF _Toc19413 \h </w:instrText>
        </w:r>
        <w:r>
          <w:fldChar w:fldCharType="separate"/>
        </w:r>
        <w:r>
          <w:t>19</w:t>
        </w:r>
        <w:r>
          <w:fldChar w:fldCharType="end"/>
        </w:r>
      </w:hyperlink>
    </w:p>
    <w:p>
      <w:pPr>
        <w:pStyle w:val="TOC2"/>
        <w:tabs>
          <w:tab w:val="right" w:leader="dot" w:pos="8306"/>
        </w:tabs>
      </w:pPr>
      <w:hyperlink w:anchor="_Toc17726" w:history="1">
        <w:r>
          <w:rPr>
            <w:rFonts w:ascii="仿宋" w:eastAsia="仿宋" w:hAnsi="仿宋" w:cs="仿宋" w:hint="eastAsia"/>
            <w:lang w:eastAsia="zh-CN"/>
          </w:rPr>
          <w:t>(一)、氮肥行业分析</w:t>
        </w:r>
        <w:r>
          <w:tab/>
        </w:r>
        <w:r>
          <w:fldChar w:fldCharType="begin"/>
        </w:r>
        <w:r>
          <w:instrText xml:space="preserve"> PAGEREF _Toc17726 \h </w:instrText>
        </w:r>
        <w:r>
          <w:fldChar w:fldCharType="separate"/>
        </w:r>
        <w:r>
          <w:t>19</w:t>
        </w:r>
        <w:r>
          <w:fldChar w:fldCharType="end"/>
        </w:r>
      </w:hyperlink>
    </w:p>
    <w:p>
      <w:pPr>
        <w:pStyle w:val="TOC2"/>
        <w:tabs>
          <w:tab w:val="right" w:leader="dot" w:pos="8306"/>
        </w:tabs>
      </w:pPr>
      <w:hyperlink w:anchor="_Toc7601" w:history="1">
        <w:r>
          <w:rPr>
            <w:rFonts w:ascii="仿宋" w:eastAsia="仿宋" w:hAnsi="仿宋" w:cs="仿宋" w:hint="eastAsia"/>
            <w:lang w:eastAsia="zh-CN"/>
          </w:rPr>
          <w:t>(二)、氮肥市场分析预测</w:t>
        </w:r>
        <w:r>
          <w:tab/>
        </w:r>
        <w:r>
          <w:fldChar w:fldCharType="begin"/>
        </w:r>
        <w:r>
          <w:instrText xml:space="preserve"> PAGEREF _Toc7601 \h </w:instrText>
        </w:r>
        <w:r>
          <w:fldChar w:fldCharType="separate"/>
        </w:r>
        <w:r>
          <w:t>20</w:t>
        </w:r>
        <w:r>
          <w:fldChar w:fldCharType="end"/>
        </w:r>
      </w:hyperlink>
    </w:p>
    <w:p>
      <w:pPr>
        <w:pStyle w:val="TOC1"/>
        <w:tabs>
          <w:tab w:val="right" w:leader="dot" w:pos="8306"/>
        </w:tabs>
      </w:pPr>
      <w:hyperlink w:anchor="_Toc3582" w:history="1">
        <w:r>
          <w:rPr>
            <w:rFonts w:ascii="仿宋" w:eastAsia="仿宋" w:hAnsi="仿宋" w:cs="仿宋" w:hint="eastAsia"/>
            <w:lang w:eastAsia="zh-CN"/>
          </w:rPr>
          <w:t>六、氮肥项目文档管理</w:t>
        </w:r>
        <w:r>
          <w:tab/>
        </w:r>
        <w:r>
          <w:fldChar w:fldCharType="begin"/>
        </w:r>
        <w:r>
          <w:instrText xml:space="preserve"> PAGEREF _Toc3582 \h </w:instrText>
        </w:r>
        <w:r>
          <w:fldChar w:fldCharType="separate"/>
        </w:r>
        <w:r>
          <w:t>20</w:t>
        </w:r>
        <w:r>
          <w:fldChar w:fldCharType="end"/>
        </w:r>
      </w:hyperlink>
    </w:p>
    <w:p>
      <w:pPr>
        <w:pStyle w:val="TOC2"/>
        <w:tabs>
          <w:tab w:val="right" w:leader="dot" w:pos="8306"/>
        </w:tabs>
      </w:pPr>
      <w:hyperlink w:anchor="_Toc14615" w:history="1">
        <w:r>
          <w:rPr>
            <w:rFonts w:ascii="仿宋" w:eastAsia="仿宋" w:hAnsi="仿宋" w:cs="仿宋" w:hint="eastAsia"/>
            <w:lang w:eastAsia="zh-CN"/>
          </w:rPr>
          <w:t>(一)、文档编制与审查</w:t>
        </w:r>
        <w:r>
          <w:tab/>
        </w:r>
        <w:r>
          <w:fldChar w:fldCharType="begin"/>
        </w:r>
        <w:r>
          <w:instrText xml:space="preserve"> PAGEREF _Toc14615 \h </w:instrText>
        </w:r>
        <w:r>
          <w:fldChar w:fldCharType="separate"/>
        </w:r>
        <w:r>
          <w:t>20</w:t>
        </w:r>
        <w:r>
          <w:fldChar w:fldCharType="end"/>
        </w:r>
      </w:hyperlink>
    </w:p>
    <w:p>
      <w:pPr>
        <w:pStyle w:val="TOC2"/>
        <w:tabs>
          <w:tab w:val="right" w:leader="dot" w:pos="8306"/>
        </w:tabs>
      </w:pPr>
      <w:hyperlink w:anchor="_Toc18687" w:history="1">
        <w:r>
          <w:rPr>
            <w:rFonts w:ascii="仿宋" w:eastAsia="仿宋" w:hAnsi="仿宋" w:cs="仿宋" w:hint="eastAsia"/>
            <w:lang w:eastAsia="zh-CN"/>
          </w:rPr>
          <w:t>(二)、文档发布与分发</w:t>
        </w:r>
        <w:r>
          <w:tab/>
        </w:r>
        <w:r>
          <w:fldChar w:fldCharType="begin"/>
        </w:r>
        <w:r>
          <w:instrText xml:space="preserve"> PAGEREF _Toc18687 \h </w:instrText>
        </w:r>
        <w:r>
          <w:fldChar w:fldCharType="separate"/>
        </w:r>
        <w:r>
          <w:t>22</w:t>
        </w:r>
        <w:r>
          <w:fldChar w:fldCharType="end"/>
        </w:r>
      </w:hyperlink>
    </w:p>
    <w:p>
      <w:pPr>
        <w:pStyle w:val="TOC2"/>
        <w:tabs>
          <w:tab w:val="right" w:leader="dot" w:pos="8306"/>
        </w:tabs>
      </w:pPr>
      <w:hyperlink w:anchor="_Toc5667" w:history="1">
        <w:r>
          <w:rPr>
            <w:rFonts w:ascii="仿宋" w:eastAsia="仿宋" w:hAnsi="仿宋" w:cs="仿宋" w:hint="eastAsia"/>
            <w:lang w:eastAsia="zh-CN"/>
          </w:rPr>
          <w:t>(三)、文档存档与归档</w:t>
        </w:r>
        <w:r>
          <w:tab/>
        </w:r>
        <w:r>
          <w:fldChar w:fldCharType="begin"/>
        </w:r>
        <w:r>
          <w:instrText xml:space="preserve"> PAGEREF _Toc5667 \h </w:instrText>
        </w:r>
        <w:r>
          <w:fldChar w:fldCharType="separate"/>
        </w:r>
        <w:r>
          <w:t>23</w:t>
        </w:r>
        <w:r>
          <w:fldChar w:fldCharType="end"/>
        </w:r>
      </w:hyperlink>
    </w:p>
    <w:p>
      <w:pPr>
        <w:pStyle w:val="TOC1"/>
        <w:tabs>
          <w:tab w:val="right" w:leader="dot" w:pos="8306"/>
        </w:tabs>
      </w:pPr>
      <w:hyperlink w:anchor="_Toc26322" w:history="1">
        <w:r>
          <w:rPr>
            <w:rFonts w:ascii="仿宋" w:eastAsia="仿宋" w:hAnsi="仿宋" w:cs="仿宋" w:hint="eastAsia"/>
            <w:lang w:eastAsia="zh-CN"/>
          </w:rPr>
          <w:t>七、氮肥项目风险管理</w:t>
        </w:r>
        <w:r>
          <w:tab/>
        </w:r>
        <w:r>
          <w:fldChar w:fldCharType="begin"/>
        </w:r>
        <w:r>
          <w:instrText xml:space="preserve"> PAGEREF _Toc26322 \h </w:instrText>
        </w:r>
        <w:r>
          <w:fldChar w:fldCharType="separate"/>
        </w:r>
        <w:r>
          <w:t>24</w:t>
        </w:r>
        <w:r>
          <w:fldChar w:fldCharType="end"/>
        </w:r>
      </w:hyperlink>
    </w:p>
    <w:p>
      <w:pPr>
        <w:pStyle w:val="TOC2"/>
        <w:tabs>
          <w:tab w:val="right" w:leader="dot" w:pos="8306"/>
        </w:tabs>
      </w:pPr>
      <w:hyperlink w:anchor="_Toc97" w:history="1">
        <w:r>
          <w:rPr>
            <w:rFonts w:ascii="仿宋" w:eastAsia="仿宋" w:hAnsi="仿宋" w:cs="仿宋" w:hint="eastAsia"/>
            <w:lang w:eastAsia="zh-CN"/>
          </w:rPr>
          <w:t>(一)、风险识别与评估</w:t>
        </w:r>
        <w:r>
          <w:tab/>
        </w:r>
        <w:r>
          <w:fldChar w:fldCharType="begin"/>
        </w:r>
        <w:r>
          <w:instrText xml:space="preserve"> PAGEREF _Toc97 \h </w:instrText>
        </w:r>
        <w:r>
          <w:fldChar w:fldCharType="separate"/>
        </w:r>
        <w:r>
          <w:t>24</w:t>
        </w:r>
        <w:r>
          <w:fldChar w:fldCharType="end"/>
        </w:r>
      </w:hyperlink>
    </w:p>
    <w:p>
      <w:pPr>
        <w:pStyle w:val="TOC2"/>
        <w:tabs>
          <w:tab w:val="right" w:leader="dot" w:pos="8306"/>
        </w:tabs>
      </w:pPr>
      <w:hyperlink w:anchor="_Toc13586" w:history="1">
        <w:r>
          <w:rPr>
            <w:rFonts w:ascii="仿宋" w:eastAsia="仿宋" w:hAnsi="仿宋" w:cs="仿宋" w:hint="eastAsia"/>
            <w:lang w:eastAsia="zh-CN"/>
          </w:rPr>
          <w:t>(二)、风险应对策略</w:t>
        </w:r>
        <w:r>
          <w:tab/>
        </w:r>
        <w:r>
          <w:fldChar w:fldCharType="begin"/>
        </w:r>
        <w:r>
          <w:instrText xml:space="preserve"> PAGEREF _Toc13586 \h </w:instrText>
        </w:r>
        <w:r>
          <w:fldChar w:fldCharType="separate"/>
        </w:r>
        <w:r>
          <w:t>25</w:t>
        </w:r>
        <w:r>
          <w:fldChar w:fldCharType="end"/>
        </w:r>
      </w:hyperlink>
    </w:p>
    <w:p>
      <w:pPr>
        <w:pStyle w:val="TOC2"/>
        <w:tabs>
          <w:tab w:val="right" w:leader="dot" w:pos="8306"/>
        </w:tabs>
      </w:pPr>
      <w:hyperlink w:anchor="_Toc26197" w:history="1">
        <w:r>
          <w:rPr>
            <w:rFonts w:ascii="仿宋" w:eastAsia="仿宋" w:hAnsi="仿宋" w:cs="仿宋" w:hint="eastAsia"/>
            <w:lang w:eastAsia="zh-CN"/>
          </w:rPr>
          <w:t>(三)、风险监控与控制</w:t>
        </w:r>
        <w:r>
          <w:tab/>
        </w:r>
        <w:r>
          <w:fldChar w:fldCharType="begin"/>
        </w:r>
        <w:r>
          <w:instrText xml:space="preserve"> PAGEREF _Toc26197 \h </w:instrText>
        </w:r>
        <w:r>
          <w:fldChar w:fldCharType="separate"/>
        </w:r>
        <w:r>
          <w:t>27</w:t>
        </w:r>
        <w:r>
          <w:fldChar w:fldCharType="end"/>
        </w:r>
      </w:hyperlink>
    </w:p>
    <w:p>
      <w:pPr>
        <w:pStyle w:val="TOC1"/>
        <w:tabs>
          <w:tab w:val="right" w:leader="dot" w:pos="8306"/>
        </w:tabs>
      </w:pPr>
      <w:hyperlink w:anchor="_Toc10809" w:history="1">
        <w:r>
          <w:rPr>
            <w:rFonts w:ascii="仿宋" w:eastAsia="仿宋" w:hAnsi="仿宋" w:cs="仿宋" w:hint="eastAsia"/>
            <w:lang w:eastAsia="zh-CN"/>
          </w:rPr>
          <w:t>八、氮肥项目社会影响</w:t>
        </w:r>
        <w:r>
          <w:tab/>
        </w:r>
        <w:r>
          <w:fldChar w:fldCharType="begin"/>
        </w:r>
        <w:r>
          <w:instrText xml:space="preserve"> PAGEREF _Toc10809 \h </w:instrText>
        </w:r>
        <w:r>
          <w:fldChar w:fldCharType="separate"/>
        </w:r>
        <w:r>
          <w:t>28</w:t>
        </w:r>
        <w:r>
          <w:fldChar w:fldCharType="end"/>
        </w:r>
      </w:hyperlink>
    </w:p>
    <w:p>
      <w:pPr>
        <w:pStyle w:val="TOC2"/>
        <w:tabs>
          <w:tab w:val="right" w:leader="dot" w:pos="8306"/>
        </w:tabs>
      </w:pPr>
      <w:hyperlink w:anchor="_Toc18033" w:history="1">
        <w:r>
          <w:rPr>
            <w:rFonts w:ascii="仿宋" w:eastAsia="仿宋" w:hAnsi="仿宋" w:cs="仿宋" w:hint="eastAsia"/>
            <w:lang w:eastAsia="zh-CN"/>
          </w:rPr>
          <w:t>(一)、社会责任与义务</w:t>
        </w:r>
        <w:r>
          <w:tab/>
        </w:r>
        <w:r>
          <w:fldChar w:fldCharType="begin"/>
        </w:r>
        <w:r>
          <w:instrText xml:space="preserve"> PAGEREF _Toc18033 \h </w:instrText>
        </w:r>
        <w:r>
          <w:fldChar w:fldCharType="separate"/>
        </w:r>
        <w:r>
          <w:t>28</w:t>
        </w:r>
        <w:r>
          <w:fldChar w:fldCharType="end"/>
        </w:r>
      </w:hyperlink>
    </w:p>
    <w:p>
      <w:pPr>
        <w:pStyle w:val="TOC2"/>
        <w:tabs>
          <w:tab w:val="right" w:leader="dot" w:pos="8306"/>
        </w:tabs>
      </w:pPr>
      <w:hyperlink w:anchor="_Toc11600" w:history="1">
        <w:r>
          <w:rPr>
            <w:rFonts w:ascii="仿宋" w:eastAsia="仿宋" w:hAnsi="仿宋" w:cs="仿宋" w:hint="eastAsia"/>
            <w:lang w:eastAsia="zh-CN"/>
          </w:rPr>
          <w:t>(二)、社会参与与沟通</w:t>
        </w:r>
        <w:r>
          <w:tab/>
        </w:r>
        <w:r>
          <w:fldChar w:fldCharType="begin"/>
        </w:r>
        <w:r>
          <w:instrText xml:space="preserve"> PAGEREF _Toc11600 \h </w:instrText>
        </w:r>
        <w:r>
          <w:fldChar w:fldCharType="separate"/>
        </w:r>
        <w:r>
          <w:t>28</w:t>
        </w:r>
        <w:r>
          <w:fldChar w:fldCharType="end"/>
        </w:r>
      </w:hyperlink>
    </w:p>
    <w:p>
      <w:pPr>
        <w:pStyle w:val="TOC1"/>
        <w:tabs>
          <w:tab w:val="right" w:leader="dot" w:pos="8306"/>
        </w:tabs>
      </w:pPr>
      <w:hyperlink w:anchor="_Toc11407" w:history="1">
        <w:r>
          <w:rPr>
            <w:rFonts w:ascii="仿宋" w:eastAsia="仿宋" w:hAnsi="仿宋" w:cs="仿宋" w:hint="eastAsia"/>
            <w:lang w:eastAsia="zh-CN"/>
          </w:rPr>
          <w:t>九、氮肥项目技术管理</w:t>
        </w:r>
        <w:r>
          <w:tab/>
        </w:r>
        <w:r>
          <w:fldChar w:fldCharType="begin"/>
        </w:r>
        <w:r>
          <w:instrText xml:space="preserve"> PAGEREF _Toc11407 \h </w:instrText>
        </w:r>
        <w:r>
          <w:fldChar w:fldCharType="separate"/>
        </w:r>
        <w:r>
          <w:t>29</w:t>
        </w:r>
        <w:r>
          <w:fldChar w:fldCharType="end"/>
        </w:r>
      </w:hyperlink>
    </w:p>
    <w:p>
      <w:pPr>
        <w:pStyle w:val="TOC2"/>
        <w:tabs>
          <w:tab w:val="right" w:leader="dot" w:pos="8306"/>
        </w:tabs>
      </w:pPr>
      <w:hyperlink w:anchor="_Toc8174" w:history="1">
        <w:r>
          <w:rPr>
            <w:rFonts w:ascii="仿宋" w:eastAsia="仿宋" w:hAnsi="仿宋" w:cs="仿宋" w:hint="eastAsia"/>
            <w:lang w:eastAsia="zh-CN"/>
          </w:rPr>
          <w:t>(一)、技术方案选用方向</w:t>
        </w:r>
        <w:r>
          <w:tab/>
        </w:r>
        <w:r>
          <w:fldChar w:fldCharType="begin"/>
        </w:r>
        <w:r>
          <w:instrText xml:space="preserve"> PAGEREF _Toc8174 \h </w:instrText>
        </w:r>
        <w:r>
          <w:fldChar w:fldCharType="separate"/>
        </w:r>
        <w:r>
          <w:t>29</w:t>
        </w:r>
        <w:r>
          <w:fldChar w:fldCharType="end"/>
        </w:r>
      </w:hyperlink>
    </w:p>
    <w:p>
      <w:pPr>
        <w:pStyle w:val="TOC2"/>
        <w:tabs>
          <w:tab w:val="right" w:leader="dot" w:pos="8306"/>
        </w:tabs>
      </w:pPr>
      <w:hyperlink w:anchor="_Toc3178" w:history="1">
        <w:r>
          <w:rPr>
            <w:rFonts w:ascii="仿宋" w:eastAsia="仿宋" w:hAnsi="仿宋" w:cs="仿宋" w:hint="eastAsia"/>
            <w:lang w:eastAsia="zh-CN"/>
          </w:rPr>
          <w:t>(二)、工艺技术方案选用原则</w:t>
        </w:r>
        <w:r>
          <w:tab/>
        </w:r>
        <w:r>
          <w:fldChar w:fldCharType="begin"/>
        </w:r>
        <w:r>
          <w:instrText xml:space="preserve"> PAGEREF _Toc3178 \h </w:instrText>
        </w:r>
        <w:r>
          <w:fldChar w:fldCharType="separate"/>
        </w:r>
        <w:r>
          <w:t>31</w:t>
        </w:r>
        <w:r>
          <w:fldChar w:fldCharType="end"/>
        </w:r>
      </w:hyperlink>
    </w:p>
    <w:p>
      <w:pPr>
        <w:pStyle w:val="TOC2"/>
        <w:tabs>
          <w:tab w:val="right" w:leader="dot" w:pos="8306"/>
        </w:tabs>
      </w:pPr>
      <w:hyperlink w:anchor="_Toc25953" w:history="1">
        <w:r>
          <w:rPr>
            <w:rFonts w:ascii="仿宋" w:eastAsia="仿宋" w:hAnsi="仿宋" w:cs="仿宋" w:hint="eastAsia"/>
            <w:lang w:eastAsia="zh-CN"/>
          </w:rPr>
          <w:t>(三)、工艺技术方案要求</w:t>
        </w:r>
        <w:r>
          <w:tab/>
        </w:r>
        <w:r>
          <w:fldChar w:fldCharType="begin"/>
        </w:r>
        <w:r>
          <w:instrText xml:space="preserve"> PAGEREF _Toc25953 \h </w:instrText>
        </w:r>
        <w:r>
          <w:fldChar w:fldCharType="separate"/>
        </w:r>
        <w:r>
          <w:t>33</w:t>
        </w:r>
        <w:r>
          <w:fldChar w:fldCharType="end"/>
        </w:r>
      </w:hyperlink>
    </w:p>
    <w:p>
      <w:pPr>
        <w:pStyle w:val="TOC1"/>
        <w:tabs>
          <w:tab w:val="right" w:leader="dot" w:pos="8306"/>
        </w:tabs>
      </w:pPr>
      <w:hyperlink w:anchor="_Toc26792" w:history="1">
        <w:r>
          <w:rPr>
            <w:rFonts w:ascii="仿宋" w:eastAsia="仿宋" w:hAnsi="仿宋" w:cs="仿宋" w:hint="eastAsia"/>
            <w:lang w:eastAsia="zh-CN"/>
          </w:rPr>
          <w:t>十、氮肥项目环境影响分析</w:t>
        </w:r>
        <w:r>
          <w:tab/>
        </w:r>
        <w:r>
          <w:fldChar w:fldCharType="begin"/>
        </w:r>
        <w:r>
          <w:instrText xml:space="preserve"> PAGEREF _Toc26792 \h </w:instrText>
        </w:r>
        <w:r>
          <w:fldChar w:fldCharType="separate"/>
        </w:r>
        <w:r>
          <w:t>35</w:t>
        </w:r>
        <w:r>
          <w:fldChar w:fldCharType="end"/>
        </w:r>
      </w:hyperlink>
    </w:p>
    <w:p>
      <w:pPr>
        <w:pStyle w:val="TOC2"/>
        <w:tabs>
          <w:tab w:val="right" w:leader="dot" w:pos="8306"/>
        </w:tabs>
      </w:pPr>
      <w:hyperlink w:anchor="_Toc14332" w:history="1">
        <w:r>
          <w:rPr>
            <w:rFonts w:ascii="仿宋" w:eastAsia="仿宋" w:hAnsi="仿宋" w:cs="仿宋" w:hint="eastAsia"/>
            <w:lang w:eastAsia="zh-CN"/>
          </w:rPr>
          <w:t>(一)、建设区域环境质量现状</w:t>
        </w:r>
        <w:r>
          <w:tab/>
        </w:r>
        <w:r>
          <w:fldChar w:fldCharType="begin"/>
        </w:r>
        <w:r>
          <w:instrText xml:space="preserve"> PAGEREF _Toc14332 \h </w:instrText>
        </w:r>
        <w:r>
          <w:fldChar w:fldCharType="separate"/>
        </w:r>
        <w:r>
          <w:t>35</w:t>
        </w:r>
        <w:r>
          <w:fldChar w:fldCharType="end"/>
        </w:r>
      </w:hyperlink>
    </w:p>
    <w:p>
      <w:pPr>
        <w:pStyle w:val="TOC2"/>
        <w:tabs>
          <w:tab w:val="right" w:leader="dot" w:pos="8306"/>
        </w:tabs>
      </w:pPr>
      <w:hyperlink w:anchor="_Toc29559" w:history="1">
        <w:r>
          <w:rPr>
            <w:rFonts w:ascii="仿宋" w:eastAsia="仿宋" w:hAnsi="仿宋" w:cs="仿宋" w:hint="eastAsia"/>
            <w:lang w:eastAsia="zh-CN"/>
          </w:rPr>
          <w:t>(二)、建设期环境保护</w:t>
        </w:r>
        <w:r>
          <w:tab/>
        </w:r>
        <w:r>
          <w:fldChar w:fldCharType="begin"/>
        </w:r>
        <w:r>
          <w:instrText xml:space="preserve"> PAGEREF _Toc29559 \h </w:instrText>
        </w:r>
        <w:r>
          <w:fldChar w:fldCharType="separate"/>
        </w:r>
        <w:r>
          <w:t>37</w:t>
        </w:r>
        <w:r>
          <w:fldChar w:fldCharType="end"/>
        </w:r>
      </w:hyperlink>
    </w:p>
    <w:p>
      <w:pPr>
        <w:pStyle w:val="TOC2"/>
        <w:tabs>
          <w:tab w:val="right" w:leader="dot" w:pos="8306"/>
        </w:tabs>
      </w:pPr>
      <w:hyperlink w:anchor="_Toc26067" w:history="1">
        <w:r>
          <w:rPr>
            <w:rFonts w:ascii="仿宋" w:eastAsia="仿宋" w:hAnsi="仿宋" w:cs="仿宋" w:hint="eastAsia"/>
            <w:lang w:eastAsia="zh-CN"/>
          </w:rPr>
          <w:t>(三)、运营期环境保护</w:t>
        </w:r>
        <w:r>
          <w:tab/>
        </w:r>
        <w:r>
          <w:fldChar w:fldCharType="begin"/>
        </w:r>
        <w:r>
          <w:instrText xml:space="preserve"> PAGEREF _Toc26067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5" w:history="1">
        <w:r>
          <w:rPr>
            <w:rFonts w:ascii="仿宋" w:eastAsia="仿宋" w:hAnsi="仿宋" w:cs="仿宋" w:hint="eastAsia"/>
            <w:lang w:eastAsia="zh-CN"/>
          </w:rPr>
          <w:t>(四)、氮肥项目建设对区域经济的影响</w:t>
        </w:r>
        <w:r>
          <w:tab/>
        </w:r>
        <w:r>
          <w:fldChar w:fldCharType="begin"/>
        </w:r>
        <w:r>
          <w:instrText xml:space="preserve"> PAGEREF _Toc31945 \h </w:instrText>
        </w:r>
        <w:r>
          <w:fldChar w:fldCharType="separate"/>
        </w:r>
        <w:r>
          <w:t>39</w:t>
        </w:r>
        <w:r>
          <w:fldChar w:fldCharType="end"/>
        </w:r>
      </w:hyperlink>
    </w:p>
    <w:p>
      <w:pPr>
        <w:pStyle w:val="TOC2"/>
        <w:tabs>
          <w:tab w:val="right" w:leader="dot" w:pos="8306"/>
        </w:tabs>
      </w:pPr>
      <w:hyperlink w:anchor="_Toc6262" w:history="1">
        <w:r>
          <w:rPr>
            <w:rFonts w:ascii="仿宋" w:eastAsia="仿宋" w:hAnsi="仿宋" w:cs="仿宋" w:hint="eastAsia"/>
            <w:lang w:eastAsia="zh-CN"/>
          </w:rPr>
          <w:t>(五)、废弃物处理</w:t>
        </w:r>
        <w:r>
          <w:tab/>
        </w:r>
        <w:r>
          <w:fldChar w:fldCharType="begin"/>
        </w:r>
        <w:r>
          <w:instrText xml:space="preserve"> PAGEREF _Toc6262 \h </w:instrText>
        </w:r>
        <w:r>
          <w:fldChar w:fldCharType="separate"/>
        </w:r>
        <w:r>
          <w:t>41</w:t>
        </w:r>
        <w:r>
          <w:fldChar w:fldCharType="end"/>
        </w:r>
      </w:hyperlink>
    </w:p>
    <w:p>
      <w:pPr>
        <w:pStyle w:val="TOC2"/>
        <w:tabs>
          <w:tab w:val="right" w:leader="dot" w:pos="8306"/>
        </w:tabs>
      </w:pPr>
      <w:hyperlink w:anchor="_Toc25521" w:history="1">
        <w:r>
          <w:rPr>
            <w:rFonts w:ascii="仿宋" w:eastAsia="仿宋" w:hAnsi="仿宋" w:cs="仿宋" w:hint="eastAsia"/>
            <w:lang w:eastAsia="zh-CN"/>
          </w:rPr>
          <w:t>(六)、特殊环境影响分析</w:t>
        </w:r>
        <w:r>
          <w:tab/>
        </w:r>
        <w:r>
          <w:fldChar w:fldCharType="begin"/>
        </w:r>
        <w:r>
          <w:instrText xml:space="preserve"> PAGEREF _Toc25521 \h </w:instrText>
        </w:r>
        <w:r>
          <w:fldChar w:fldCharType="separate"/>
        </w:r>
        <w:r>
          <w:t>42</w:t>
        </w:r>
        <w:r>
          <w:fldChar w:fldCharType="end"/>
        </w:r>
      </w:hyperlink>
    </w:p>
    <w:p>
      <w:pPr>
        <w:pStyle w:val="TOC2"/>
        <w:tabs>
          <w:tab w:val="right" w:leader="dot" w:pos="8306"/>
        </w:tabs>
      </w:pPr>
      <w:hyperlink w:anchor="_Toc10090" w:history="1">
        <w:r>
          <w:rPr>
            <w:rFonts w:ascii="仿宋" w:eastAsia="仿宋" w:hAnsi="仿宋" w:cs="仿宋" w:hint="eastAsia"/>
            <w:lang w:eastAsia="zh-CN"/>
          </w:rPr>
          <w:t>(七)、清洁生产</w:t>
        </w:r>
        <w:r>
          <w:tab/>
        </w:r>
        <w:r>
          <w:fldChar w:fldCharType="begin"/>
        </w:r>
        <w:r>
          <w:instrText xml:space="preserve"> PAGEREF _Toc10090 \h </w:instrText>
        </w:r>
        <w:r>
          <w:fldChar w:fldCharType="separate"/>
        </w:r>
        <w:r>
          <w:t>43</w:t>
        </w:r>
        <w:r>
          <w:fldChar w:fldCharType="end"/>
        </w:r>
      </w:hyperlink>
    </w:p>
    <w:p>
      <w:pPr>
        <w:pStyle w:val="TOC2"/>
        <w:tabs>
          <w:tab w:val="right" w:leader="dot" w:pos="8306"/>
        </w:tabs>
      </w:pPr>
      <w:hyperlink w:anchor="_Toc11123" w:history="1">
        <w:r>
          <w:rPr>
            <w:rFonts w:ascii="仿宋" w:eastAsia="仿宋" w:hAnsi="仿宋" w:cs="仿宋" w:hint="eastAsia"/>
            <w:lang w:eastAsia="zh-CN"/>
          </w:rPr>
          <w:t>(八)、环境保护综合评价</w:t>
        </w:r>
        <w:r>
          <w:tab/>
        </w:r>
        <w:r>
          <w:fldChar w:fldCharType="begin"/>
        </w:r>
        <w:r>
          <w:instrText xml:space="preserve"> PAGEREF _Toc11123 \h </w:instrText>
        </w:r>
        <w:r>
          <w:fldChar w:fldCharType="separate"/>
        </w:r>
        <w:r>
          <w:t>44</w:t>
        </w:r>
        <w:r>
          <w:fldChar w:fldCharType="end"/>
        </w:r>
      </w:hyperlink>
    </w:p>
    <w:p>
      <w:pPr>
        <w:pStyle w:val="TOC1"/>
        <w:tabs>
          <w:tab w:val="right" w:leader="dot" w:pos="8306"/>
        </w:tabs>
      </w:pPr>
      <w:hyperlink w:anchor="_Toc13161" w:history="1">
        <w:r>
          <w:rPr>
            <w:rFonts w:ascii="仿宋" w:eastAsia="仿宋" w:hAnsi="仿宋" w:cs="仿宋" w:hint="eastAsia"/>
            <w:lang w:eastAsia="zh-CN"/>
          </w:rPr>
          <w:t>十一、氮肥项目创新与研发</w:t>
        </w:r>
        <w:r>
          <w:tab/>
        </w:r>
        <w:r>
          <w:fldChar w:fldCharType="begin"/>
        </w:r>
        <w:r>
          <w:instrText xml:space="preserve"> PAGEREF _Toc13161 \h </w:instrText>
        </w:r>
        <w:r>
          <w:fldChar w:fldCharType="separate"/>
        </w:r>
        <w:r>
          <w:t>46</w:t>
        </w:r>
        <w:r>
          <w:fldChar w:fldCharType="end"/>
        </w:r>
      </w:hyperlink>
    </w:p>
    <w:p>
      <w:pPr>
        <w:pStyle w:val="TOC2"/>
        <w:tabs>
          <w:tab w:val="right" w:leader="dot" w:pos="8306"/>
        </w:tabs>
      </w:pPr>
      <w:hyperlink w:anchor="_Toc6723" w:history="1">
        <w:r>
          <w:rPr>
            <w:rFonts w:ascii="仿宋" w:eastAsia="仿宋" w:hAnsi="仿宋" w:cs="仿宋" w:hint="eastAsia"/>
            <w:lang w:eastAsia="zh-CN"/>
          </w:rPr>
          <w:t>(一)、创新策略与方向</w:t>
        </w:r>
        <w:r>
          <w:tab/>
        </w:r>
        <w:r>
          <w:fldChar w:fldCharType="begin"/>
        </w:r>
        <w:r>
          <w:instrText xml:space="preserve"> PAGEREF _Toc6723 \h </w:instrText>
        </w:r>
        <w:r>
          <w:fldChar w:fldCharType="separate"/>
        </w:r>
        <w:r>
          <w:t>46</w:t>
        </w:r>
        <w:r>
          <w:fldChar w:fldCharType="end"/>
        </w:r>
      </w:hyperlink>
    </w:p>
    <w:p>
      <w:pPr>
        <w:pStyle w:val="TOC2"/>
        <w:tabs>
          <w:tab w:val="right" w:leader="dot" w:pos="8306"/>
        </w:tabs>
      </w:pPr>
      <w:hyperlink w:anchor="_Toc30903" w:history="1">
        <w:r>
          <w:rPr>
            <w:rFonts w:ascii="仿宋" w:eastAsia="仿宋" w:hAnsi="仿宋" w:cs="仿宋" w:hint="eastAsia"/>
            <w:lang w:eastAsia="zh-CN"/>
          </w:rPr>
          <w:t>(二)、研发规划与投入</w:t>
        </w:r>
        <w:r>
          <w:tab/>
        </w:r>
        <w:r>
          <w:fldChar w:fldCharType="begin"/>
        </w:r>
        <w:r>
          <w:instrText xml:space="preserve"> PAGEREF _Toc30903 \h </w:instrText>
        </w:r>
        <w:r>
          <w:fldChar w:fldCharType="separate"/>
        </w:r>
        <w:r>
          <w:t>47</w:t>
        </w:r>
        <w:r>
          <w:fldChar w:fldCharType="end"/>
        </w:r>
      </w:hyperlink>
    </w:p>
    <w:p>
      <w:pPr>
        <w:pStyle w:val="TOC1"/>
        <w:tabs>
          <w:tab w:val="right" w:leader="dot" w:pos="8306"/>
        </w:tabs>
      </w:pPr>
      <w:hyperlink w:anchor="_Toc14020" w:history="1">
        <w:r>
          <w:rPr>
            <w:rFonts w:ascii="仿宋" w:eastAsia="仿宋" w:hAnsi="仿宋" w:cs="仿宋" w:hint="eastAsia"/>
            <w:lang w:eastAsia="zh-CN"/>
          </w:rPr>
          <w:t>十二、氮肥项目人力资源管理</w:t>
        </w:r>
        <w:r>
          <w:tab/>
        </w:r>
        <w:r>
          <w:fldChar w:fldCharType="begin"/>
        </w:r>
        <w:r>
          <w:instrText xml:space="preserve"> PAGEREF _Toc14020 \h </w:instrText>
        </w:r>
        <w:r>
          <w:fldChar w:fldCharType="separate"/>
        </w:r>
        <w:r>
          <w:t>49</w:t>
        </w:r>
        <w:r>
          <w:fldChar w:fldCharType="end"/>
        </w:r>
      </w:hyperlink>
    </w:p>
    <w:p>
      <w:pPr>
        <w:pStyle w:val="TOC2"/>
        <w:tabs>
          <w:tab w:val="right" w:leader="dot" w:pos="8306"/>
        </w:tabs>
      </w:pPr>
      <w:hyperlink w:anchor="_Toc30991" w:history="1">
        <w:r>
          <w:rPr>
            <w:rFonts w:ascii="仿宋" w:eastAsia="仿宋" w:hAnsi="仿宋" w:cs="仿宋" w:hint="eastAsia"/>
            <w:lang w:eastAsia="zh-CN"/>
          </w:rPr>
          <w:t>(一)、建立健全的预算管理制度</w:t>
        </w:r>
        <w:r>
          <w:tab/>
        </w:r>
        <w:r>
          <w:fldChar w:fldCharType="begin"/>
        </w:r>
        <w:r>
          <w:instrText xml:space="preserve"> PAGEREF _Toc30991 \h </w:instrText>
        </w:r>
        <w:r>
          <w:fldChar w:fldCharType="separate"/>
        </w:r>
        <w:r>
          <w:t>49</w:t>
        </w:r>
        <w:r>
          <w:fldChar w:fldCharType="end"/>
        </w:r>
      </w:hyperlink>
    </w:p>
    <w:p>
      <w:pPr>
        <w:pStyle w:val="TOC2"/>
        <w:tabs>
          <w:tab w:val="right" w:leader="dot" w:pos="8306"/>
        </w:tabs>
      </w:pPr>
      <w:hyperlink w:anchor="_Toc25291" w:history="1">
        <w:r>
          <w:rPr>
            <w:rFonts w:ascii="仿宋" w:eastAsia="仿宋" w:hAnsi="仿宋" w:cs="仿宋" w:hint="eastAsia"/>
            <w:lang w:eastAsia="zh-CN"/>
          </w:rPr>
          <w:t>(二)、加强资金流动监控</w:t>
        </w:r>
        <w:r>
          <w:tab/>
        </w:r>
        <w:r>
          <w:fldChar w:fldCharType="begin"/>
        </w:r>
        <w:r>
          <w:instrText xml:space="preserve"> PAGEREF _Toc25291 \h </w:instrText>
        </w:r>
        <w:r>
          <w:fldChar w:fldCharType="separate"/>
        </w:r>
        <w:r>
          <w:t>50</w:t>
        </w:r>
        <w:r>
          <w:fldChar w:fldCharType="end"/>
        </w:r>
      </w:hyperlink>
    </w:p>
    <w:p>
      <w:pPr>
        <w:pStyle w:val="TOC2"/>
        <w:tabs>
          <w:tab w:val="right" w:leader="dot" w:pos="8306"/>
        </w:tabs>
      </w:pPr>
      <w:hyperlink w:anchor="_Toc25068" w:history="1">
        <w:r>
          <w:rPr>
            <w:rFonts w:ascii="仿宋" w:eastAsia="仿宋" w:hAnsi="仿宋" w:cs="仿宋" w:hint="eastAsia"/>
            <w:lang w:eastAsia="zh-CN"/>
          </w:rPr>
          <w:t>(三)、制定完善的风险控制机制</w:t>
        </w:r>
        <w:r>
          <w:tab/>
        </w:r>
        <w:r>
          <w:fldChar w:fldCharType="begin"/>
        </w:r>
        <w:r>
          <w:instrText xml:space="preserve"> PAGEREF _Toc25068 \h </w:instrText>
        </w:r>
        <w:r>
          <w:fldChar w:fldCharType="separate"/>
        </w:r>
        <w:r>
          <w:t>51</w:t>
        </w:r>
        <w:r>
          <w:fldChar w:fldCharType="end"/>
        </w:r>
      </w:hyperlink>
    </w:p>
    <w:p>
      <w:pPr>
        <w:pStyle w:val="TOC2"/>
        <w:tabs>
          <w:tab w:val="right" w:leader="dot" w:pos="8306"/>
        </w:tabs>
      </w:pPr>
      <w:hyperlink w:anchor="_Toc1270" w:history="1">
        <w:r>
          <w:rPr>
            <w:rFonts w:ascii="仿宋" w:eastAsia="仿宋" w:hAnsi="仿宋" w:cs="仿宋" w:hint="eastAsia"/>
            <w:lang w:eastAsia="zh-CN"/>
          </w:rPr>
          <w:t>(四)、优化成本管理</w:t>
        </w:r>
        <w:r>
          <w:tab/>
        </w:r>
        <w:r>
          <w:fldChar w:fldCharType="begin"/>
        </w:r>
        <w:r>
          <w:instrText xml:space="preserve"> PAGEREF _Toc1270 \h </w:instrText>
        </w:r>
        <w:r>
          <w:fldChar w:fldCharType="separate"/>
        </w:r>
        <w:r>
          <w:t>53</w:t>
        </w:r>
        <w:r>
          <w:fldChar w:fldCharType="end"/>
        </w:r>
      </w:hyperlink>
    </w:p>
    <w:p>
      <w:pPr>
        <w:pStyle w:val="TOC1"/>
        <w:tabs>
          <w:tab w:val="right" w:leader="dot" w:pos="8306"/>
        </w:tabs>
      </w:pPr>
      <w:hyperlink w:anchor="_Toc31301" w:history="1">
        <w:r>
          <w:rPr>
            <w:rFonts w:ascii="仿宋" w:eastAsia="仿宋" w:hAnsi="仿宋" w:cs="仿宋" w:hint="eastAsia"/>
            <w:lang w:eastAsia="zh-CN"/>
          </w:rPr>
          <w:t>十三、氮肥项目实施保障措施</w:t>
        </w:r>
        <w:r>
          <w:tab/>
        </w:r>
        <w:r>
          <w:fldChar w:fldCharType="begin"/>
        </w:r>
        <w:r>
          <w:instrText xml:space="preserve"> PAGEREF _Toc31301 \h </w:instrText>
        </w:r>
        <w:r>
          <w:fldChar w:fldCharType="separate"/>
        </w:r>
        <w:r>
          <w:t>54</w:t>
        </w:r>
        <w:r>
          <w:fldChar w:fldCharType="end"/>
        </w:r>
      </w:hyperlink>
    </w:p>
    <w:p>
      <w:pPr>
        <w:pStyle w:val="TOC2"/>
        <w:tabs>
          <w:tab w:val="right" w:leader="dot" w:pos="8306"/>
        </w:tabs>
      </w:pPr>
      <w:hyperlink w:anchor="_Toc4" w:history="1">
        <w:r>
          <w:rPr>
            <w:rFonts w:ascii="仿宋" w:eastAsia="仿宋" w:hAnsi="仿宋" w:cs="仿宋" w:hint="eastAsia"/>
            <w:lang w:eastAsia="zh-CN"/>
          </w:rPr>
          <w:t>(一)、氮肥项目实施保障机制</w:t>
        </w:r>
        <w:r>
          <w:tab/>
        </w:r>
        <w:r>
          <w:fldChar w:fldCharType="begin"/>
        </w:r>
        <w:r>
          <w:instrText xml:space="preserve"> PAGEREF _Toc4 \h </w:instrText>
        </w:r>
        <w:r>
          <w:fldChar w:fldCharType="separate"/>
        </w:r>
        <w:r>
          <w:t>54</w:t>
        </w:r>
        <w:r>
          <w:fldChar w:fldCharType="end"/>
        </w:r>
      </w:hyperlink>
    </w:p>
    <w:p>
      <w:pPr>
        <w:pStyle w:val="TOC2"/>
        <w:tabs>
          <w:tab w:val="right" w:leader="dot" w:pos="8306"/>
        </w:tabs>
      </w:pPr>
      <w:hyperlink w:anchor="_Toc31471" w:history="1">
        <w:r>
          <w:rPr>
            <w:rFonts w:ascii="仿宋" w:eastAsia="仿宋" w:hAnsi="仿宋" w:cs="仿宋" w:hint="eastAsia"/>
            <w:lang w:eastAsia="zh-CN"/>
          </w:rPr>
          <w:t>(二)、氮肥项目法律合规要求</w:t>
        </w:r>
        <w:r>
          <w:tab/>
        </w:r>
        <w:r>
          <w:fldChar w:fldCharType="begin"/>
        </w:r>
        <w:r>
          <w:instrText xml:space="preserve"> PAGEREF _Toc31471 \h </w:instrText>
        </w:r>
        <w:r>
          <w:fldChar w:fldCharType="separate"/>
        </w:r>
        <w:r>
          <w:t>57</w:t>
        </w:r>
        <w:r>
          <w:fldChar w:fldCharType="end"/>
        </w:r>
      </w:hyperlink>
    </w:p>
    <w:p>
      <w:pPr>
        <w:pStyle w:val="TOC2"/>
        <w:tabs>
          <w:tab w:val="right" w:leader="dot" w:pos="8306"/>
        </w:tabs>
      </w:pPr>
      <w:hyperlink w:anchor="_Toc28200" w:history="1">
        <w:r>
          <w:rPr>
            <w:rFonts w:ascii="仿宋" w:eastAsia="仿宋" w:hAnsi="仿宋" w:cs="仿宋" w:hint="eastAsia"/>
            <w:lang w:eastAsia="zh-CN"/>
          </w:rPr>
          <w:t>(三)、氮肥项目合同管理与法律事务</w:t>
        </w:r>
        <w:r>
          <w:tab/>
        </w:r>
        <w:r>
          <w:fldChar w:fldCharType="begin"/>
        </w:r>
        <w:r>
          <w:instrText xml:space="preserve"> PAGEREF _Toc28200 \h </w:instrText>
        </w:r>
        <w:r>
          <w:fldChar w:fldCharType="separate"/>
        </w:r>
        <w:r>
          <w:t>61</w:t>
        </w:r>
        <w:r>
          <w:fldChar w:fldCharType="end"/>
        </w:r>
      </w:hyperlink>
    </w:p>
    <w:p>
      <w:pPr>
        <w:pStyle w:val="TOC2"/>
        <w:tabs>
          <w:tab w:val="right" w:leader="dot" w:pos="8306"/>
        </w:tabs>
      </w:pPr>
      <w:hyperlink w:anchor="_Toc3903" w:history="1">
        <w:r>
          <w:rPr>
            <w:rFonts w:ascii="仿宋" w:eastAsia="仿宋" w:hAnsi="仿宋" w:cs="仿宋" w:hint="eastAsia"/>
            <w:lang w:eastAsia="zh-CN"/>
          </w:rPr>
          <w:t>(四)、氮肥项目知识产权保护策略</w:t>
        </w:r>
        <w:r>
          <w:tab/>
        </w:r>
        <w:r>
          <w:fldChar w:fldCharType="begin"/>
        </w:r>
        <w:r>
          <w:instrText xml:space="preserve"> PAGEREF _Toc3903 \h </w:instrText>
        </w:r>
        <w:r>
          <w:fldChar w:fldCharType="separate"/>
        </w:r>
        <w:r>
          <w:t>67</w:t>
        </w:r>
        <w:r>
          <w:fldChar w:fldCharType="end"/>
        </w:r>
      </w:hyperlink>
    </w:p>
    <w:p>
      <w:pPr>
        <w:pStyle w:val="TOC1"/>
        <w:tabs>
          <w:tab w:val="right" w:leader="dot" w:pos="8306"/>
        </w:tabs>
      </w:pPr>
      <w:hyperlink w:anchor="_Toc1955" w:history="1">
        <w:r>
          <w:rPr>
            <w:rFonts w:ascii="仿宋" w:eastAsia="仿宋" w:hAnsi="仿宋" w:cs="仿宋" w:hint="eastAsia"/>
            <w:lang w:eastAsia="zh-CN"/>
          </w:rPr>
          <w:t>十四、氮肥项目治理与监督</w:t>
        </w:r>
        <w:r>
          <w:tab/>
        </w:r>
        <w:r>
          <w:fldChar w:fldCharType="begin"/>
        </w:r>
        <w:r>
          <w:instrText xml:space="preserve"> PAGEREF _Toc1955 \h </w:instrText>
        </w:r>
        <w:r>
          <w:fldChar w:fldCharType="separate"/>
        </w:r>
        <w:r>
          <w:t>69</w:t>
        </w:r>
        <w:r>
          <w:fldChar w:fldCharType="end"/>
        </w:r>
      </w:hyperlink>
    </w:p>
    <w:p>
      <w:pPr>
        <w:pStyle w:val="TOC2"/>
        <w:tabs>
          <w:tab w:val="right" w:leader="dot" w:pos="8306"/>
        </w:tabs>
      </w:pPr>
      <w:hyperlink w:anchor="_Toc26541" w:history="1">
        <w:r>
          <w:rPr>
            <w:rFonts w:ascii="仿宋" w:eastAsia="仿宋" w:hAnsi="仿宋" w:cs="仿宋" w:hint="eastAsia"/>
            <w:lang w:eastAsia="zh-CN"/>
          </w:rPr>
          <w:t>(一)、氮肥项目治理结构</w:t>
        </w:r>
        <w:r>
          <w:tab/>
        </w:r>
        <w:r>
          <w:fldChar w:fldCharType="begin"/>
        </w:r>
        <w:r>
          <w:instrText xml:space="preserve"> PAGEREF _Toc26541 \h </w:instrText>
        </w:r>
        <w:r>
          <w:fldChar w:fldCharType="separate"/>
        </w:r>
        <w:r>
          <w:t>69</w:t>
        </w:r>
        <w:r>
          <w:fldChar w:fldCharType="end"/>
        </w:r>
      </w:hyperlink>
    </w:p>
    <w:p>
      <w:pPr>
        <w:pStyle w:val="TOC2"/>
        <w:tabs>
          <w:tab w:val="right" w:leader="dot" w:pos="8306"/>
        </w:tabs>
      </w:pPr>
      <w:hyperlink w:anchor="_Toc5985" w:history="1">
        <w:r>
          <w:rPr>
            <w:rFonts w:ascii="仿宋" w:eastAsia="仿宋" w:hAnsi="仿宋" w:cs="仿宋" w:hint="eastAsia"/>
            <w:lang w:eastAsia="zh-CN"/>
          </w:rPr>
          <w:t>(二)、监督与审计</w:t>
        </w:r>
        <w:r>
          <w:tab/>
        </w:r>
        <w:r>
          <w:fldChar w:fldCharType="begin"/>
        </w:r>
        <w:r>
          <w:instrText xml:space="preserve"> PAGEREF _Toc5985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31"/>
      <w:r>
        <w:rPr>
          <w:rFonts w:ascii="仿宋" w:eastAsia="仿宋" w:hAnsi="仿宋" w:cs="仿宋" w:hint="eastAsia"/>
          <w:sz w:val="28"/>
          <w:lang w:eastAsia="zh-CN"/>
        </w:rPr>
        <w:t>一、氮肥项目选址可行性分析</w:t>
      </w:r>
      <w:bookmarkEnd w:id="2"/>
    </w:p>
    <w:p>
      <w:pPr>
        <w:pStyle w:val="Heading2"/>
        <w:rPr>
          <w:rFonts w:ascii="仿宋" w:eastAsia="仿宋" w:hAnsi="仿宋" w:cs="仿宋" w:hint="eastAsia"/>
          <w:lang w:eastAsia="zh-CN"/>
        </w:rPr>
      </w:pPr>
      <w:bookmarkStart w:id="3" w:name="_Toc18049"/>
      <w:r>
        <w:rPr>
          <w:rFonts w:ascii="仿宋" w:eastAsia="仿宋" w:hAnsi="仿宋" w:cs="仿宋" w:hint="eastAsia"/>
          <w:lang w:eastAsia="zh-CN"/>
        </w:rPr>
        <w:t>(一)、氮肥项目选址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该氮肥项目选址位于XX省XX市XX区XXX街道</w:t>
      </w:r>
    </w:p>
    <w:p>
      <w:pPr>
        <w:pStyle w:val="Heading2"/>
        <w:ind w:firstLine="560" w:firstLineChars="200"/>
        <w:rPr>
          <w:rFonts w:ascii="仿宋" w:eastAsia="仿宋" w:hAnsi="仿宋" w:cs="仿宋" w:hint="eastAsia"/>
          <w:sz w:val="28"/>
          <w:lang w:eastAsia="zh-CN"/>
        </w:rPr>
      </w:pPr>
      <w:bookmarkStart w:id="4" w:name="_Toc8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氮肥项目的征地面积将根据氮肥项目的实际规模和需求进行精确规划。具体面积XXX平方米，旨在确保氮肥项目不仅能够满足当前的发展需求，还能够预留空间以适应未来的扩展。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净用地面积是在征地面积基础上去除不可利用面积后的实际可开发用地。具体面积XXX平方米，考虑到环保、交通、安全等多方面因素，以确保氮肥项目在整体利用效率上达到最优。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氮肥项目计划建设的建筑总规模具体面积XXX平方米。这一规模的确定综合考虑了氮肥项目的性质、规模，以及城市规划的相关要求，确保建筑布局与周边环境协调一致。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绿地率是氮肥项目用地中被规划为绿地的比例。具体面积XXX平方米，旨在通过合理规划绿地，改善氮肥项目周边环境，提升居民生活质量，并符合城市整体绿化规划。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确保氮肥项目选址与当地城市规划相一致，具体面积XXX平方米。通过与城市规划部门深入沟通，确保氮肥项目不仅符合城市的整体发展方向，还能够融入城市的发展布局，为城市的长远发展贡献力量。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充分了解并确保氮肥项目选址符合当地产业政策，具体面积XXX平方米。这包括氮肥项目对当地经济的促进作用，以及对相关产业的带动效应，确保氮肥项目与地方政府的产业政策保持一致，促进共赢合作。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确保氮肥项目选址具备必要的公共设施配套，具体面积XXX平方米。这包括交通便利性、教育、医疗等基础设施，以提高居民生活品质，使得氮肥项目选址更具吸引力。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考虑用地总体要求对当地社会稳定性的影响，具体面积XXX平方米。通过深入了解当地社区反馈，确保氮肥项目的选址和建设过程对当地社会和谐稳定产生积极作用。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肥项目选址不仅符合法规和规划，还在实际操作中具有可行性。这一全面规划将为氮肥项目的成功实施提供坚实的基础，确保氮肥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肥项目的设备规划和空间设计中，我们将采取灵活设备布局的措施。设备布局将根据实际需求进行灵活设计，避免不必要的浪费。通过合理规划设备摆放位置，我们将提高设备的利用率，减少设备间距，以确保氮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肥项目内部引入共享设施的概念，例如共享会议室、办公区等。通过这种方式，我们可以减少对资源的重复建设，提高资源共享效率，从而减小氮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肥项目的总图布置中，我们将不同功能区域进行明确的规划，以最大程度满足氮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氮肥项目对环境的影响是综合评价的重要因素之一。我们将详细考虑选址周边的自然环境、生态保护区、水源地等情况，确保氮肥项目的建设和运营对环境影响最小化，并符合当地的环保法规标准。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对选址的评价还需充分考虑当地政府的产业政策和法规。我们将详细了解氮肥项目所在地的相关政策，确保氮肥项目的规划和运营与当地法规相符，降低不必要的法律风险。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最后，我们将综合考虑用地成本，包括土地购置费用、土地开发成本等。通过对用地成本的详细评估，我们能够做出更为精确的经济效益分析，为氮肥项目的投资决策提供有力支持。</w:t>
      </w:r>
    </w:p>
    <w:p>
      <w:pPr>
        <w:pStyle w:val="Heading1"/>
        <w:ind w:firstLine="560" w:firstLineChars="200"/>
        <w:rPr>
          <w:rFonts w:ascii="仿宋" w:eastAsia="仿宋" w:hAnsi="仿宋" w:cs="仿宋" w:hint="eastAsia"/>
          <w:sz w:val="28"/>
          <w:lang w:eastAsia="zh-CN"/>
        </w:rPr>
      </w:pPr>
      <w:bookmarkStart w:id="8" w:name="_Toc6491"/>
      <w:r>
        <w:rPr>
          <w:rFonts w:ascii="仿宋" w:eastAsia="仿宋" w:hAnsi="仿宋" w:cs="仿宋" w:hint="eastAsia"/>
          <w:sz w:val="28"/>
          <w:lang w:eastAsia="zh-CN"/>
        </w:rPr>
        <w:t>二、氮肥项目危机管理</w:t>
      </w:r>
      <w:bookmarkEnd w:id="8"/>
    </w:p>
    <w:p>
      <w:pPr>
        <w:pStyle w:val="Heading2"/>
        <w:rPr>
          <w:rFonts w:ascii="仿宋" w:eastAsia="仿宋" w:hAnsi="仿宋" w:cs="仿宋" w:hint="eastAsia"/>
          <w:lang w:eastAsia="zh-CN"/>
        </w:rPr>
      </w:pPr>
      <w:bookmarkStart w:id="9" w:name="_Toc263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危机管理中，危机预警与识别是确保氮肥项目稳健运行的核心步骤。通过建立全面的监测机制，氮肥项目团队旨在及时发现和理解潜在的风险和危机因素，以便采取及时的预防和应对措施，确保氮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首先，通过深入的风险评估，氮肥项目团队全面分析了整个氮肥项目和各个阶段可能存在的威胁。这包括准确评估每个潜在风险的发生概率和可能影响的程度，为后续危机预警提供了有力支持。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氮肥项目团队着重于明确定义氮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肥项目进展的持续监控，团队能够及时发现潜在问题并作出迅速反应。氮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在这一阶段，团队的专业素养和反应速度将发挥至关重要的作用，以确保潜在危机能够在初期得到有效的处理，最大程度地减轻负面影响。通过危机预警与识别，氮肥项目得以更有序、可控地推进。</w:t>
      </w:r>
    </w:p>
    <w:p>
      <w:pPr>
        <w:pStyle w:val="Heading2"/>
        <w:ind w:firstLine="560" w:firstLineChars="200"/>
        <w:rPr>
          <w:rFonts w:ascii="仿宋" w:eastAsia="仿宋" w:hAnsi="仿宋" w:cs="仿宋" w:hint="eastAsia"/>
          <w:sz w:val="28"/>
          <w:lang w:eastAsia="zh-CN"/>
        </w:rPr>
      </w:pPr>
      <w:bookmarkStart w:id="10" w:name="_Toc77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暂停氮肥项目进度：为遏制危机蔓延，氮肥项目暂时停止进行，以便全面评估当前状况。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资源重新分配：重新评估氮肥项目资源的分配，确保最大限度地减小损失。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实时沟通：与关键利益相关者建立实时沟通机制，向他们传递氮肥项目危机的实际状况，保障氮肥项目核心利益。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在紧急应对的同时，氮肥项目团队强调了团队协作和有效沟通的重要性。以下是团队协作的关键举措：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信息共享机制：建立了信息共享平台，确保团队成员能够及时获取氮肥项目危机的实时信息。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领导者沟通：氮肥项目领导者通过定期会议和即时沟通工具，指导团队应对危机，保持团队稳定运行。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随着危机得到初步控制，氮肥项目团队转向制定恢复计划，以确保氮肥项目能够从中迅速恢复。主要恢复计划包括：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修复受损的进度计划：重新评估氮肥项目进度，制定修复计划，确保氮肥项目尽快回归正常进程。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重新调整资源分配：优化资源分配，确保氮肥项目在有限资源下高效运转。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风险管理机制加强：对氮肥项目风险进行全面评估，制定更强化的风险管理策略，以预防未来可能的危机。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88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57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氮肥项目的主要产品是XXXX，预计年产值为XXX万元。这一产品在市场中占据着重要的地位，其广泛的应用范围使得该氮肥项目的市场前景非常广阔。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肥项目的xxx产品作为重要的原材料之一，将在多个领域发挥关键作用。其在建筑、交通、能源等方面的广泛应用将为整个产业链提供强大的支持，形成产业协同效应。氮肥项目的年产值XXX万XXX万XXX万万元不仅反映了其在市场上的巨大潜力，更预示着它对国民经济的积极贡献。这种关联度高、涉及面广的产业关系，使得该氮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03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征地面积为XXXX平方米，相当于约XX.XX亩，其中净用地面积为XXXX平方米，红线范围内相当于约XX.XX亩。这一用地规模充分考虑了氮肥项目的建设需求，保障了氮肥项目在合适的空间内得以充分发展。氮肥项目规划的总建筑面积为XXXX平方米，其中主体工程建设占XXXX平方米，计容建筑面积达XXXX平方米。预计建筑工程的投资将达到XXXX万元，为氮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购置的设备共计XXXX台（套），设备购置费用为XXXX万元。这一设备购置计划充分考虑到氮肥项目的生产需求和技术要求，确保了氮肥项目在生产运营中具备先进的技术装备和高效的生产能力。设备的合理配置将为氮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氮肥项目计划总投资为XXXX万元，预计年实现营业收入为XXXX万元。这一产能规模的设定旨在确保氮肥项目能够在投资与回报之间取得平衡，实现长期可持续的发展。氮肥项目的总投资充分考虑到各个方面的需求，包括用地建设、设备购置等多个环节，以确保氮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982"/>
      <w:r>
        <w:rPr>
          <w:rFonts w:ascii="仿宋" w:eastAsia="仿宋" w:hAnsi="仿宋" w:cs="仿宋" w:hint="eastAsia"/>
          <w:sz w:val="28"/>
          <w:lang w:eastAsia="zh-CN"/>
        </w:rPr>
        <w:t>四、氮肥项目概论</w:t>
      </w:r>
      <w:bookmarkEnd w:id="14"/>
    </w:p>
    <w:p>
      <w:pPr>
        <w:pStyle w:val="Heading2"/>
        <w:rPr>
          <w:rFonts w:ascii="仿宋" w:eastAsia="仿宋" w:hAnsi="仿宋" w:cs="仿宋" w:hint="eastAsia"/>
          <w:lang w:eastAsia="zh-CN"/>
        </w:rPr>
      </w:pPr>
      <w:bookmarkStart w:id="15" w:name="_Toc20046"/>
      <w:r>
        <w:rPr>
          <w:rFonts w:ascii="仿宋" w:eastAsia="仿宋" w:hAnsi="仿宋" w:cs="仿宋" w:hint="eastAsia"/>
          <w:lang w:eastAsia="zh-CN"/>
        </w:rPr>
        <w:t>(一)、氮肥项目概况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起源追溯至对市场的深入洞察。市场的不断演变与变革为氮肥项目提供了难得的机遇。当前市场存在的需求缺口和变革的大环境共同构成了氮肥项目的背景。这个氮肥项目旨在充分利用市场机遇，填补行业中尚未满足的需求，为客户提供全新的解决方案。市场的变革和需求的增长使得这个氮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氮肥项目正式命名为氮肥。这个名称不仅仅是一个标识，更代表了氮肥项目的核心理念和愿景。它蕴含着氮肥项目所要解决问题的关键字，具有强烈的表达和辨识度，为氮肥项目树立了鲜明的品牌形象。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核心目标是提供一种全新、高效的解决方案，满足客户日益增长的需求。氮肥项目追求的不仅仅是满足市场需求，更是在市场中获得卓越的竞争优势。通过不断提升产品或服务的质量和创新水平，氮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氮肥项目范围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全面涵盖了产品研发、制造、市场推广和售后服务，确保从产品设计到最终用户体验的全方位关注。这一全面的氮肥项目范围是为了确保氮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氮肥项目计划在未来18个月内完成，包括研发、测试、市场试点和正式推出等不同阶段。这个时间表的合理设计是为了确保氮肥项目各个阶段的顺利推进，以便按时交付高质量的成果。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氮肥项目总预算估算为XX百万美元，主要分配在研发、市场推广、人员培训和运营等方面。这一充足的预算为氮肥项目提供了充足的资源，确保氮肥项目在各个方面都能取得优异的表现。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氮肥项目可能面临的风险包括市场接受度低、技术难题、竞争激烈等。氮肥项目团队已经制定了相应的风险应对计划，通过前瞻性的风险管理，确保氮肥项目在面对不确定性时能够迅速做出应对。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氮肥项目汇聚了一支经验丰富、多领域专业素养的核心团队，确保氮肥项目在各个方面都能拥有高水平的执行力。团队的协同作战是氮肥项目成功的关键因素之一。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氮肥项目的背景根植于市场对更高效、创新产品的渴望，同时也受到科技发展对行业格局的深刻改变的影响。这为氮肥项目提供了广阔的发展空间和市场需求。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氮肥项目现状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截至目前，氮肥项目已完成市场调研和技术验证，取得了初步的成功。这为氮肥项目在未来的发展奠定了坚实的基础，为更远大的目标打下了坚实的基石。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425"/>
      <w:r>
        <w:rPr>
          <w:rFonts w:ascii="仿宋" w:eastAsia="仿宋" w:hAnsi="仿宋" w:cs="仿宋" w:hint="eastAsia"/>
          <w:sz w:val="28"/>
          <w:lang w:eastAsia="zh-CN"/>
        </w:rPr>
        <w:t>(二)、氮肥项目目标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keyword》氮肥项目首要业务目标是在市场中占据有利地位，实现产品/服务的成功推广和销售。通过不断提升产品质量、创新性，氮肥项目追求成为行业中的领导者，赢得更多客户的青睐。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在科技迅速发展的时代，氮肥项目着眼于技术创新。通过持续的研发和技术升级，氮肥项目旨在推出更具创新性的产品或服务，以满足市场对新鲜、先进解决方案的需求。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为了建立可持续的客户关系，氮肥项目设定了客户满意度目标。通过提供卓越的产品质量和优质的客户服务，氮肥项目追求赢得客户的信任和忠诚度，确保他们的满意度达到行业领先水平。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氮肥项目注重社会责任和可持续发展。通过实施环保、社会责任氮肥项目，氮肥项目致力于在经济发展的同时保护环境，促进社会公平，实现可持续经营。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氮肥项目的团队是实现目标的核心驱动力。因此，氮肥项目设定了团队发展目标，包括提升团队成员的专业技能、培养领导力，以及搭建协同高效的团队工作氛围。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429"/>
      <w:r>
        <w:rPr>
          <w:rFonts w:ascii="仿宋" w:eastAsia="仿宋" w:hAnsi="仿宋" w:cs="仿宋" w:hint="eastAsia"/>
          <w:sz w:val="28"/>
          <w:lang w:eastAsia="zh-CN"/>
        </w:rPr>
        <w:t>(三)、氮肥项目提出的理由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氮肥项目提出的理由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源于对市场机遇的深刻洞察。当前市场中存在的需求缺口和行业发展趋势表明，有巨大的商业机会等待被开发。通过准确捕捉市场机遇，氮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理念基于对技术创新的信仰。通过持续的研发和技术投入，氮肥项目有望推出更具创新性的产品或服务。在科技飞速发展的当下，氮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是为了增强企业的行业竞争力。通过提升产品或服务的质量和独特性，氮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响应了消费者需求的变化。随着社会和科技的不断发展，消费者对产品和服务的需求也在发生变化。通过深入了解并及时回应消费者的新需求，氮肥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https://d.book118.com/208071044076006027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57F6F"/>
    <w:rsid w:val="06057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104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2024-01-17T23:32:00Z</dcterms:created>
  <dcterms:modified xsi:type="dcterms:W3CDTF">2024-01-17T23:32:55Z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B57AA867FAA64FA8B82E34695E5AEC62_11</vt:lpwstr>
  </property>
  <property fmtid="{D5CDD505-2E9C-101B-9397-08002B2CF9AE}" pid="3" name="KSOProductBuildVer">
    <vt:lpwstr>2052-12.1.0.16120</vt:lpwstr>
  </property>
</Properties>
</file>