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line="335" w:lineRule="auto"/>
        <w:rPr>
          <w:rFonts w:ascii="Arial"/>
          <w:sz w:val="21"/>
        </w:rPr>
      </w:pPr>
    </w:p>
    <w:p>
      <w:pPr>
        <w:pStyle w:val="BodyText"/>
        <w:spacing w:before="117" w:line="287" w:lineRule="auto"/>
        <w:ind w:left="424" w:right="191"/>
        <w:jc w:val="right"/>
        <w:outlineLvl w:val="0"/>
        <w:rPr>
          <w:sz w:val="28"/>
          <w:szCs w:val="28"/>
        </w:rPr>
      </w:pPr>
      <w:r>
        <w:rPr>
          <w:spacing w:val="-1"/>
          <w:sz w:val="36"/>
          <w:szCs w:val="36"/>
          <w14:textOutline w14:w="6531">
            <w14:solidFill>
              <w14:srgbClr w14:val="000000"/>
            </w14:solidFill>
            <w14:prstDash w14:val="solid"/>
            <w14:miter w14:lim="10"/>
          </w14:textOutline>
        </w:rPr>
        <w:t>固收指数产品规模扩容，低风险品种配置需求提升</w:t>
      </w:r>
      <w:r>
        <w:rPr>
          <w:spacing w:val="6"/>
          <w:sz w:val="36"/>
          <w:szCs w:val="36"/>
        </w:rPr>
        <w:t xml:space="preserve"> </w:t>
      </w:r>
      <w:r>
        <w:rPr>
          <w:spacing w:val="-2"/>
          <w:sz w:val="28"/>
          <w:szCs w:val="28"/>
          <w14:textOutline w14:w="5094">
            <w14:solidFill>
              <w14:srgbClr w14:val="000000"/>
            </w14:solidFill>
            <w14:prstDash w14:val="solid"/>
            <w14:miter w14:lim="10"/>
          </w14:textOutline>
        </w:rPr>
        <w:t>——</w:t>
      </w:r>
      <w:r>
        <w:rPr>
          <w:spacing w:val="-93"/>
          <w:sz w:val="28"/>
          <w:szCs w:val="28"/>
        </w:rPr>
        <w:t xml:space="preserve"> </w:t>
      </w:r>
      <w:r>
        <w:rPr>
          <w:spacing w:val="-2"/>
          <w:sz w:val="28"/>
          <w:szCs w:val="28"/>
          <w14:textOutline w14:w="5094">
            <w14:solidFill>
              <w14:srgbClr w14:val="000000"/>
            </w14:solidFill>
            <w14:prstDash w14:val="solid"/>
            <w14:miter w14:lim="10"/>
          </w14:textOutline>
        </w:rPr>
        <w:t>固定收益指数化投资发展年度报告（</w:t>
      </w:r>
      <w:r>
        <w:rPr>
          <w:rFonts w:ascii="Times New Roman" w:eastAsia="Times New Roman" w:hAnsi="Times New Roman" w:cs="Times New Roman"/>
          <w:b/>
          <w:bCs/>
          <w:spacing w:val="-2"/>
          <w:sz w:val="28"/>
          <w:szCs w:val="28"/>
        </w:rPr>
        <w:t xml:space="preserve">2023 </w:t>
      </w:r>
      <w:r>
        <w:rPr>
          <w:spacing w:val="-2"/>
          <w:sz w:val="28"/>
          <w:szCs w:val="28"/>
          <w14:textOutline w14:w="5094">
            <w14:solidFill>
              <w14:srgbClr w14:val="000000"/>
            </w14:solidFill>
            <w14:prstDash w14:val="solid"/>
            <w14:miter w14:lim="10"/>
          </w14:textOutline>
        </w:rPr>
        <w:t>年）</w:t>
      </w:r>
    </w:p>
    <w:p>
      <w:pPr>
        <w:spacing w:line="343" w:lineRule="auto"/>
        <w:rPr>
          <w:rFonts w:ascii="Arial"/>
          <w:sz w:val="21"/>
        </w:rPr>
      </w:pPr>
    </w:p>
    <w:p>
      <w:pPr>
        <w:spacing w:line="343" w:lineRule="auto"/>
        <w:rPr>
          <w:rFonts w:ascii="Arial"/>
          <w:sz w:val="21"/>
        </w:rPr>
      </w:pPr>
    </w:p>
    <w:p>
      <w:pPr>
        <w:pStyle w:val="BodyText"/>
        <w:spacing w:before="91" w:line="219" w:lineRule="auto"/>
        <w:ind w:left="3959"/>
        <w:rPr>
          <w:sz w:val="28"/>
          <w:szCs w:val="28"/>
        </w:rPr>
      </w:pPr>
      <w:r>
        <w:rPr>
          <w:spacing w:val="-2"/>
          <w:sz w:val="28"/>
          <w:szCs w:val="28"/>
          <w14:textOutline w14:w="5094">
            <w14:solidFill>
              <w14:srgbClr w14:val="000000"/>
            </w14:solidFill>
            <w14:prstDash w14:val="solid"/>
            <w14:miter w14:lim="10"/>
          </w14:textOutline>
        </w:rPr>
        <w:t>摘要</w:t>
      </w:r>
    </w:p>
    <w:p>
      <w:pPr>
        <w:spacing w:line="446" w:lineRule="auto"/>
        <w:rPr>
          <w:rFonts w:ascii="Arial"/>
          <w:sz w:val="21"/>
        </w:rPr>
      </w:pPr>
    </w:p>
    <w:p>
      <w:pPr>
        <w:pStyle w:val="BodyText"/>
        <w:spacing w:before="78" w:line="294" w:lineRule="auto"/>
        <w:ind w:left="32" w:right="191" w:firstLine="488"/>
      </w:pPr>
      <w:r>
        <w:rPr>
          <w:spacing w:val="-1"/>
        </w:rPr>
        <w:t>在全球宏观经济不确定性增强的背景下，固</w:t>
      </w:r>
      <w:r>
        <w:rPr>
          <w:spacing w:val="-2"/>
        </w:rPr>
        <w:t>定收益</w:t>
      </w:r>
      <w:r>
        <w:rPr>
          <w:spacing w:val="-2"/>
        </w:rPr>
        <w:t xml:space="preserve"> </w:t>
      </w:r>
      <w:r>
        <w:rPr>
          <w:rFonts w:ascii="Times New Roman" w:eastAsia="Times New Roman" w:hAnsi="Times New Roman" w:cs="Times New Roman"/>
          <w:spacing w:val="-2"/>
        </w:rPr>
        <w:t xml:space="preserve">ETF  </w:t>
      </w:r>
      <w:r>
        <w:rPr>
          <w:spacing w:val="-2"/>
        </w:rPr>
        <w:t>需求提升，规模持</w:t>
      </w:r>
      <w:r>
        <w:t xml:space="preserve"> </w:t>
      </w:r>
      <w:r>
        <w:rPr>
          <w:spacing w:val="-8"/>
        </w:rPr>
        <w:t>续增长。截至</w:t>
      </w:r>
      <w:r>
        <w:rPr>
          <w:spacing w:val="-55"/>
        </w:rPr>
        <w:t xml:space="preserve"> </w:t>
      </w:r>
      <w:r>
        <w:rPr>
          <w:rFonts w:ascii="Times New Roman" w:eastAsia="Times New Roman" w:hAnsi="Times New Roman" w:cs="Times New Roman"/>
          <w:spacing w:val="-8"/>
        </w:rPr>
        <w:t>2023</w:t>
      </w:r>
      <w:r>
        <w:rPr>
          <w:rFonts w:ascii="Times New Roman" w:eastAsia="Times New Roman" w:hAnsi="Times New Roman" w:cs="Times New Roman"/>
          <w:spacing w:val="12"/>
        </w:rPr>
        <w:t xml:space="preserve"> </w:t>
      </w:r>
      <w:r>
        <w:rPr>
          <w:spacing w:val="-8"/>
        </w:rPr>
        <w:t>年底，</w:t>
      </w:r>
      <w:r>
        <w:rPr>
          <w:spacing w:val="-8"/>
        </w:rPr>
        <w:t xml:space="preserve"> </w:t>
      </w:r>
      <w:r>
        <w:rPr>
          <w:spacing w:val="-8"/>
        </w:rPr>
        <w:t>美国市场固定收益</w:t>
      </w:r>
      <w:r>
        <w:rPr>
          <w:spacing w:val="-54"/>
        </w:rPr>
        <w:t xml:space="preserve"> </w:t>
      </w:r>
      <w:r>
        <w:rPr>
          <w:rFonts w:ascii="Times New Roman" w:eastAsia="Times New Roman" w:hAnsi="Times New Roman" w:cs="Times New Roman"/>
          <w:spacing w:val="-8"/>
        </w:rPr>
        <w:t>ETF</w:t>
      </w:r>
      <w:r>
        <w:rPr>
          <w:rFonts w:ascii="Times New Roman" w:eastAsia="Times New Roman" w:hAnsi="Times New Roman" w:cs="Times New Roman"/>
          <w:spacing w:val="14"/>
        </w:rPr>
        <w:t xml:space="preserve"> </w:t>
      </w:r>
      <w:r>
        <w:rPr>
          <w:spacing w:val="-8"/>
        </w:rPr>
        <w:t>数量</w:t>
      </w:r>
      <w:r>
        <w:rPr>
          <w:spacing w:val="-9"/>
        </w:rPr>
        <w:t>共</w:t>
      </w:r>
      <w:r>
        <w:rPr>
          <w:spacing w:val="-49"/>
        </w:rPr>
        <w:t xml:space="preserve"> </w:t>
      </w:r>
      <w:r>
        <w:rPr>
          <w:rFonts w:ascii="Times New Roman" w:eastAsia="Times New Roman" w:hAnsi="Times New Roman" w:cs="Times New Roman"/>
          <w:spacing w:val="-9"/>
        </w:rPr>
        <w:t>648</w:t>
      </w:r>
      <w:r>
        <w:rPr>
          <w:rFonts w:ascii="Times New Roman" w:eastAsia="Times New Roman" w:hAnsi="Times New Roman" w:cs="Times New Roman"/>
          <w:spacing w:val="18"/>
          <w:w w:val="101"/>
        </w:rPr>
        <w:t xml:space="preserve"> </w:t>
      </w:r>
      <w:r>
        <w:rPr>
          <w:spacing w:val="-9"/>
        </w:rPr>
        <w:t>只，</w:t>
      </w:r>
      <w:r>
        <w:rPr>
          <w:spacing w:val="-40"/>
        </w:rPr>
        <w:t xml:space="preserve"> </w:t>
      </w:r>
      <w:r>
        <w:rPr>
          <w:spacing w:val="-9"/>
        </w:rPr>
        <w:t>规模约为</w:t>
      </w:r>
      <w:r>
        <w:rPr>
          <w:spacing w:val="-31"/>
        </w:rPr>
        <w:t xml:space="preserve"> </w:t>
      </w:r>
      <w:r>
        <w:rPr>
          <w:rFonts w:ascii="Times New Roman" w:eastAsia="Times New Roman" w:hAnsi="Times New Roman" w:cs="Times New Roman"/>
          <w:spacing w:val="-9"/>
        </w:rPr>
        <w:t>1.51</w:t>
      </w:r>
      <w:r>
        <w:rPr>
          <w:rFonts w:ascii="Times New Roman" w:eastAsia="Times New Roman" w:hAnsi="Times New Roman" w:cs="Times New Roman"/>
        </w:rPr>
        <w:t xml:space="preserve"> </w:t>
      </w:r>
      <w:r>
        <w:rPr>
          <w:spacing w:val="-3"/>
        </w:rPr>
        <w:t>万亿美元，同比增长</w:t>
      </w:r>
      <w:r>
        <w:rPr>
          <w:spacing w:val="-7"/>
        </w:rPr>
        <w:t xml:space="preserve"> </w:t>
      </w:r>
      <w:r>
        <w:rPr>
          <w:rFonts w:ascii="Times New Roman" w:eastAsia="Times New Roman" w:hAnsi="Times New Roman" w:cs="Times New Roman"/>
          <w:spacing w:val="-3"/>
        </w:rPr>
        <w:t>14.39%</w:t>
      </w:r>
      <w:r>
        <w:rPr>
          <w:spacing w:val="-3"/>
        </w:rPr>
        <w:t>，近</w:t>
      </w:r>
      <w:r>
        <w:rPr>
          <w:spacing w:val="-29"/>
        </w:rPr>
        <w:t xml:space="preserve"> </w:t>
      </w:r>
      <w:r>
        <w:rPr>
          <w:rFonts w:ascii="Times New Roman" w:eastAsia="Times New Roman" w:hAnsi="Times New Roman" w:cs="Times New Roman"/>
          <w:spacing w:val="-3"/>
        </w:rPr>
        <w:t>5</w:t>
      </w:r>
      <w:r>
        <w:rPr>
          <w:rFonts w:ascii="Times New Roman" w:eastAsia="Times New Roman" w:hAnsi="Times New Roman" w:cs="Times New Roman"/>
          <w:spacing w:val="22"/>
          <w:w w:val="101"/>
        </w:rPr>
        <w:t xml:space="preserve"> </w:t>
      </w:r>
      <w:r>
        <w:rPr>
          <w:spacing w:val="-3"/>
        </w:rPr>
        <w:t>年规模复合增长率为</w:t>
      </w:r>
      <w:r>
        <w:rPr>
          <w:spacing w:val="-23"/>
        </w:rPr>
        <w:t xml:space="preserve"> </w:t>
      </w:r>
      <w:r>
        <w:rPr>
          <w:rFonts w:ascii="Times New Roman" w:eastAsia="Times New Roman" w:hAnsi="Times New Roman" w:cs="Times New Roman"/>
          <w:spacing w:val="-3"/>
        </w:rPr>
        <w:t>15.7%</w:t>
      </w:r>
      <w:r>
        <w:rPr>
          <w:spacing w:val="-3"/>
        </w:rPr>
        <w:t>。</w:t>
      </w:r>
      <w:r>
        <w:rPr>
          <w:rFonts w:ascii="Times New Roman" w:eastAsia="Times New Roman" w:hAnsi="Times New Roman" w:cs="Times New Roman"/>
          <w:spacing w:val="-3"/>
        </w:rPr>
        <w:t>2023</w:t>
      </w:r>
      <w:r>
        <w:rPr>
          <w:rFonts w:ascii="Times New Roman" w:eastAsia="Times New Roman" w:hAnsi="Times New Roman" w:cs="Times New Roman"/>
          <w:spacing w:val="22"/>
          <w:w w:val="101"/>
        </w:rPr>
        <w:t xml:space="preserve"> </w:t>
      </w:r>
      <w:r>
        <w:rPr>
          <w:spacing w:val="-3"/>
        </w:rPr>
        <w:t>年资金净</w:t>
      </w:r>
      <w:r>
        <w:t xml:space="preserve"> </w:t>
      </w:r>
      <w:r>
        <w:rPr>
          <w:spacing w:val="-3"/>
        </w:rPr>
        <w:t>流入近</w:t>
      </w:r>
      <w:r>
        <w:rPr>
          <w:spacing w:val="-55"/>
        </w:rPr>
        <w:t xml:space="preserve"> </w:t>
      </w:r>
      <w:r>
        <w:rPr>
          <w:rFonts w:ascii="Times New Roman" w:eastAsia="Times New Roman" w:hAnsi="Times New Roman" w:cs="Times New Roman"/>
          <w:spacing w:val="-3"/>
        </w:rPr>
        <w:t>2000</w:t>
      </w:r>
      <w:r>
        <w:rPr>
          <w:rFonts w:ascii="Times New Roman" w:eastAsia="Times New Roman" w:hAnsi="Times New Roman" w:cs="Times New Roman"/>
          <w:spacing w:val="16"/>
          <w:w w:val="101"/>
        </w:rPr>
        <w:t xml:space="preserve"> </w:t>
      </w:r>
      <w:r>
        <w:rPr>
          <w:spacing w:val="-3"/>
        </w:rPr>
        <w:t>亿美元，与</w:t>
      </w:r>
      <w:r>
        <w:rPr>
          <w:spacing w:val="-55"/>
        </w:rPr>
        <w:t xml:space="preserve"> </w:t>
      </w:r>
      <w:r>
        <w:rPr>
          <w:rFonts w:ascii="Times New Roman" w:eastAsia="Times New Roman" w:hAnsi="Times New Roman" w:cs="Times New Roman"/>
          <w:spacing w:val="-3"/>
        </w:rPr>
        <w:t xml:space="preserve">2022 </w:t>
      </w:r>
      <w:r>
        <w:rPr>
          <w:spacing w:val="-3"/>
        </w:rPr>
        <w:t>年持平。美国市场固定收益</w:t>
      </w:r>
      <w:r>
        <w:rPr>
          <w:spacing w:val="-4"/>
        </w:rPr>
        <w:t>指数化投资呈现如下特</w:t>
      </w:r>
      <w:r>
        <w:t xml:space="preserve"> </w:t>
      </w:r>
      <w:r>
        <w:rPr>
          <w:spacing w:val="-4"/>
        </w:rPr>
        <w:t>征：</w:t>
      </w:r>
      <w:r>
        <w:rPr>
          <w:spacing w:val="-4"/>
        </w:rPr>
        <w:t xml:space="preserve"> </w:t>
      </w:r>
      <w:r>
        <w:rPr>
          <w:spacing w:val="-4"/>
        </w:rPr>
        <w:t>一是美联储加息环境下国债利率维持高位，相较信用债</w:t>
      </w:r>
      <w:r>
        <w:rPr>
          <w:spacing w:val="-5"/>
        </w:rPr>
        <w:t>，国债</w:t>
      </w:r>
      <w:r>
        <w:rPr>
          <w:spacing w:val="-5"/>
        </w:rPr>
        <w:t xml:space="preserve"> </w:t>
      </w:r>
      <w:r>
        <w:rPr>
          <w:rFonts w:ascii="Times New Roman" w:eastAsia="Times New Roman" w:hAnsi="Times New Roman" w:cs="Times New Roman"/>
          <w:spacing w:val="-5"/>
        </w:rPr>
        <w:t>ETF</w:t>
      </w:r>
      <w:r>
        <w:rPr>
          <w:rFonts w:ascii="Times New Roman" w:eastAsia="Times New Roman" w:hAnsi="Times New Roman" w:cs="Times New Roman"/>
          <w:spacing w:val="54"/>
        </w:rPr>
        <w:t xml:space="preserve"> </w:t>
      </w:r>
      <w:r>
        <w:rPr>
          <w:spacing w:val="-5"/>
        </w:rPr>
        <w:t>性价比</w:t>
      </w:r>
      <w:r>
        <w:t xml:space="preserve"> </w:t>
      </w:r>
      <w:r>
        <w:rPr>
          <w:spacing w:val="-4"/>
        </w:rPr>
        <w:t>提升，</w:t>
      </w:r>
      <w:r>
        <w:rPr>
          <w:spacing w:val="-4"/>
        </w:rPr>
        <w:t xml:space="preserve"> </w:t>
      </w:r>
      <w:r>
        <w:rPr>
          <w:spacing w:val="-4"/>
        </w:rPr>
        <w:t>规模增速可观。二是固定收益</w:t>
      </w:r>
      <w:r>
        <w:rPr>
          <w:spacing w:val="-48"/>
        </w:rPr>
        <w:t xml:space="preserve"> </w:t>
      </w:r>
      <w:r>
        <w:rPr>
          <w:rFonts w:ascii="Times New Roman" w:eastAsia="Times New Roman" w:hAnsi="Times New Roman" w:cs="Times New Roman"/>
          <w:spacing w:val="-4"/>
        </w:rPr>
        <w:t xml:space="preserve">ETF </w:t>
      </w:r>
      <w:r>
        <w:rPr>
          <w:spacing w:val="-4"/>
        </w:rPr>
        <w:t>分红稳定，超</w:t>
      </w:r>
      <w:r>
        <w:rPr>
          <w:spacing w:val="-50"/>
        </w:rPr>
        <w:t xml:space="preserve"> </w:t>
      </w:r>
      <w:r>
        <w:rPr>
          <w:rFonts w:ascii="Times New Roman" w:eastAsia="Times New Roman" w:hAnsi="Times New Roman" w:cs="Times New Roman"/>
          <w:spacing w:val="-4"/>
        </w:rPr>
        <w:t>99%</w:t>
      </w:r>
      <w:r>
        <w:rPr>
          <w:spacing w:val="-4"/>
        </w:rPr>
        <w:t>的固定收益</w:t>
      </w:r>
      <w:r>
        <w:rPr>
          <w:spacing w:val="-55"/>
        </w:rPr>
        <w:t xml:space="preserve"> </w:t>
      </w:r>
      <w:r>
        <w:rPr>
          <w:rFonts w:ascii="Times New Roman" w:eastAsia="Times New Roman" w:hAnsi="Times New Roman" w:cs="Times New Roman"/>
          <w:spacing w:val="-4"/>
        </w:rPr>
        <w:t xml:space="preserve">ETF </w:t>
      </w:r>
      <w:r>
        <w:rPr>
          <w:spacing w:val="-4"/>
        </w:rPr>
        <w:t>进</w:t>
      </w:r>
      <w:r>
        <w:t xml:space="preserve"> </w:t>
      </w:r>
      <w:r>
        <w:rPr>
          <w:spacing w:val="-10"/>
        </w:rPr>
        <w:t>行了分红，</w:t>
      </w:r>
      <w:r>
        <w:rPr>
          <w:spacing w:val="26"/>
        </w:rPr>
        <w:t xml:space="preserve"> </w:t>
      </w:r>
      <w:r>
        <w:rPr>
          <w:spacing w:val="-10"/>
        </w:rPr>
        <w:t>平均分红比例约为</w:t>
      </w:r>
      <w:r>
        <w:rPr>
          <w:spacing w:val="-56"/>
        </w:rPr>
        <w:t xml:space="preserve"> </w:t>
      </w:r>
      <w:r>
        <w:rPr>
          <w:rFonts w:ascii="Times New Roman" w:eastAsia="Times New Roman" w:hAnsi="Times New Roman" w:cs="Times New Roman"/>
          <w:spacing w:val="-10"/>
        </w:rPr>
        <w:t>4.23%</w:t>
      </w:r>
      <w:r>
        <w:rPr>
          <w:spacing w:val="-10"/>
        </w:rPr>
        <w:t>。三是固定收益主动管理</w:t>
      </w:r>
      <w:r>
        <w:rPr>
          <w:spacing w:val="-54"/>
        </w:rPr>
        <w:t xml:space="preserve"> </w:t>
      </w:r>
      <w:r>
        <w:rPr>
          <w:rFonts w:ascii="Times New Roman" w:eastAsia="Times New Roman" w:hAnsi="Times New Roman" w:cs="Times New Roman"/>
          <w:spacing w:val="-10"/>
        </w:rPr>
        <w:t xml:space="preserve">ETF </w:t>
      </w:r>
      <w:r>
        <w:rPr>
          <w:spacing w:val="-10"/>
        </w:rPr>
        <w:t>加速发展，</w:t>
      </w:r>
      <w:r>
        <w:rPr>
          <w:spacing w:val="-10"/>
        </w:rPr>
        <w:t xml:space="preserve"> </w:t>
      </w:r>
      <w:r>
        <w:rPr>
          <w:spacing w:val="-10"/>
        </w:rPr>
        <w:t>规</w:t>
      </w:r>
      <w:r>
        <w:t xml:space="preserve"> </w:t>
      </w:r>
      <w:r>
        <w:rPr>
          <w:spacing w:val="-7"/>
        </w:rPr>
        <w:t>模、资金流入增速均领先纯被动</w:t>
      </w:r>
      <w:r>
        <w:rPr>
          <w:spacing w:val="-54"/>
        </w:rPr>
        <w:t xml:space="preserve"> </w:t>
      </w:r>
      <w:r>
        <w:rPr>
          <w:rFonts w:ascii="Times New Roman" w:eastAsia="Times New Roman" w:hAnsi="Times New Roman" w:cs="Times New Roman"/>
          <w:spacing w:val="-7"/>
        </w:rPr>
        <w:t>ETF</w:t>
      </w:r>
      <w:r>
        <w:rPr>
          <w:spacing w:val="-7"/>
        </w:rPr>
        <w:t>，在</w:t>
      </w:r>
      <w:r>
        <w:rPr>
          <w:spacing w:val="-8"/>
        </w:rPr>
        <w:t>利率倒挂的市场环境下，</w:t>
      </w:r>
      <w:r>
        <w:rPr>
          <w:spacing w:val="38"/>
        </w:rPr>
        <w:t xml:space="preserve"> </w:t>
      </w:r>
      <w:r>
        <w:rPr>
          <w:spacing w:val="-8"/>
        </w:rPr>
        <w:t>规模占比较高</w:t>
      </w:r>
      <w:r>
        <w:t xml:space="preserve"> </w:t>
      </w:r>
      <w:r>
        <w:rPr>
          <w:spacing w:val="-2"/>
        </w:rPr>
        <w:t>的主动管理短债</w:t>
      </w:r>
      <w:r>
        <w:rPr>
          <w:spacing w:val="-42"/>
        </w:rPr>
        <w:t xml:space="preserve"> </w:t>
      </w:r>
      <w:r>
        <w:rPr>
          <w:rFonts w:ascii="Times New Roman" w:eastAsia="Times New Roman" w:hAnsi="Times New Roman" w:cs="Times New Roman"/>
          <w:spacing w:val="-2"/>
        </w:rPr>
        <w:t>ETF</w:t>
      </w:r>
      <w:r>
        <w:rPr>
          <w:rFonts w:ascii="Times New Roman" w:eastAsia="Times New Roman" w:hAnsi="Times New Roman" w:cs="Times New Roman"/>
          <w:spacing w:val="21"/>
        </w:rPr>
        <w:t xml:space="preserve"> </w:t>
      </w:r>
      <w:r>
        <w:rPr>
          <w:spacing w:val="-2"/>
        </w:rPr>
        <w:t>资金流入不及预期，中长久期</w:t>
      </w:r>
      <w:r>
        <w:rPr>
          <w:spacing w:val="-55"/>
        </w:rPr>
        <w:t xml:space="preserve"> </w:t>
      </w:r>
      <w:r>
        <w:rPr>
          <w:rFonts w:ascii="Times New Roman" w:eastAsia="Times New Roman" w:hAnsi="Times New Roman" w:cs="Times New Roman"/>
          <w:spacing w:val="-2"/>
        </w:rPr>
        <w:t>ETF</w:t>
      </w:r>
      <w:r>
        <w:rPr>
          <w:rFonts w:ascii="Times New Roman" w:eastAsia="Times New Roman" w:hAnsi="Times New Roman" w:cs="Times New Roman"/>
          <w:spacing w:val="15"/>
        </w:rPr>
        <w:t xml:space="preserve"> </w:t>
      </w:r>
      <w:r>
        <w:rPr>
          <w:spacing w:val="-2"/>
        </w:rPr>
        <w:t>更受青睐；</w:t>
      </w:r>
      <w:r>
        <w:rPr>
          <w:rFonts w:ascii="Times New Roman" w:eastAsia="Times New Roman" w:hAnsi="Times New Roman" w:cs="Times New Roman"/>
          <w:spacing w:val="-2"/>
        </w:rPr>
        <w:t>ETF</w:t>
      </w:r>
      <w:r>
        <w:rPr>
          <w:rFonts w:ascii="Times New Roman" w:eastAsia="Times New Roman" w:hAnsi="Times New Roman" w:cs="Times New Roman"/>
          <w:spacing w:val="18"/>
        </w:rPr>
        <w:t xml:space="preserve"> </w:t>
      </w:r>
      <w:r>
        <w:rPr>
          <w:spacing w:val="-2"/>
        </w:rPr>
        <w:t>具有的</w:t>
      </w:r>
      <w:r>
        <w:t xml:space="preserve"> </w:t>
      </w:r>
      <w:r>
        <w:rPr>
          <w:spacing w:val="-8"/>
        </w:rPr>
        <w:t>低费率、高透明度、交易灵活和节税效应等优势，</w:t>
      </w:r>
      <w:r>
        <w:rPr>
          <w:spacing w:val="61"/>
        </w:rPr>
        <w:t xml:space="preserve"> </w:t>
      </w:r>
      <w:r>
        <w:rPr>
          <w:spacing w:val="-8"/>
        </w:rPr>
        <w:t>吸引部分共同基金转为主动管</w:t>
      </w:r>
      <w:r>
        <w:t xml:space="preserve"> </w:t>
      </w:r>
      <w:r>
        <w:rPr>
          <w:spacing w:val="-11"/>
        </w:rPr>
        <w:t>理</w:t>
      </w:r>
      <w:r>
        <w:rPr>
          <w:spacing w:val="-53"/>
        </w:rPr>
        <w:t xml:space="preserve"> </w:t>
      </w:r>
      <w:r>
        <w:rPr>
          <w:rFonts w:ascii="Times New Roman" w:eastAsia="Times New Roman" w:hAnsi="Times New Roman" w:cs="Times New Roman"/>
          <w:spacing w:val="-11"/>
        </w:rPr>
        <w:t>ETF</w:t>
      </w:r>
      <w:r>
        <w:rPr>
          <w:spacing w:val="-11"/>
        </w:rPr>
        <w:t>。四是固定收益</w:t>
      </w:r>
      <w:r>
        <w:rPr>
          <w:spacing w:val="-42"/>
        </w:rPr>
        <w:t xml:space="preserve"> </w:t>
      </w:r>
      <w:r>
        <w:rPr>
          <w:rFonts w:ascii="Times New Roman" w:eastAsia="Times New Roman" w:hAnsi="Times New Roman" w:cs="Times New Roman"/>
          <w:spacing w:val="-11"/>
        </w:rPr>
        <w:t>Smart Beta ETF</w:t>
      </w:r>
      <w:r>
        <w:rPr>
          <w:rFonts w:ascii="Times New Roman" w:eastAsia="Times New Roman" w:hAnsi="Times New Roman" w:cs="Times New Roman"/>
          <w:spacing w:val="14"/>
        </w:rPr>
        <w:t xml:space="preserve"> </w:t>
      </w:r>
      <w:r>
        <w:rPr>
          <w:spacing w:val="-11"/>
        </w:rPr>
        <w:t>净流入由负转正，</w:t>
      </w:r>
      <w:r>
        <w:rPr>
          <w:spacing w:val="46"/>
        </w:rPr>
        <w:t xml:space="preserve"> </w:t>
      </w:r>
      <w:r>
        <w:rPr>
          <w:spacing w:val="-11"/>
        </w:rPr>
        <w:t>策略不断拓展，</w:t>
      </w:r>
      <w:r>
        <w:rPr>
          <w:spacing w:val="40"/>
        </w:rPr>
        <w:t xml:space="preserve"> </w:t>
      </w:r>
      <w:r>
        <w:rPr>
          <w:spacing w:val="-11"/>
        </w:rPr>
        <w:t>风险敞</w:t>
      </w:r>
      <w:r>
        <w:t xml:space="preserve"> </w:t>
      </w:r>
      <w:r>
        <w:rPr>
          <w:spacing w:val="-9"/>
        </w:rPr>
        <w:t>口更加分散，部分新发</w:t>
      </w:r>
      <w:r>
        <w:rPr>
          <w:spacing w:val="-40"/>
        </w:rPr>
        <w:t xml:space="preserve"> </w:t>
      </w:r>
      <w:r>
        <w:rPr>
          <w:rFonts w:ascii="Times New Roman" w:eastAsia="Times New Roman" w:hAnsi="Times New Roman" w:cs="Times New Roman"/>
          <w:spacing w:val="-9"/>
        </w:rPr>
        <w:t xml:space="preserve">ETF </w:t>
      </w:r>
      <w:r>
        <w:rPr>
          <w:spacing w:val="-9"/>
        </w:rPr>
        <w:t>填补了短期、超短期恒定久期国债</w:t>
      </w:r>
      <w:r>
        <w:rPr>
          <w:spacing w:val="-55"/>
        </w:rPr>
        <w:t xml:space="preserve"> </w:t>
      </w:r>
      <w:r>
        <w:rPr>
          <w:rFonts w:ascii="Times New Roman" w:eastAsia="Times New Roman" w:hAnsi="Times New Roman" w:cs="Times New Roman"/>
          <w:spacing w:val="-9"/>
        </w:rPr>
        <w:t>ETF</w:t>
      </w:r>
      <w:r>
        <w:rPr>
          <w:rFonts w:ascii="Times New Roman" w:eastAsia="Times New Roman" w:hAnsi="Times New Roman" w:cs="Times New Roman"/>
          <w:spacing w:val="32"/>
        </w:rPr>
        <w:t xml:space="preserve"> </w:t>
      </w:r>
      <w:r>
        <w:rPr>
          <w:spacing w:val="-9"/>
        </w:rPr>
        <w:t>的市场空白，</w:t>
      </w:r>
      <w:r>
        <w:t xml:space="preserve"> </w:t>
      </w:r>
      <w:r>
        <w:rPr>
          <w:spacing w:val="-4"/>
        </w:rPr>
        <w:t>资金大幅流入，管理规模快速提升。</w:t>
      </w:r>
    </w:p>
    <w:p>
      <w:pPr>
        <w:spacing w:line="309" w:lineRule="auto"/>
        <w:rPr>
          <w:rFonts w:ascii="Arial"/>
          <w:sz w:val="21"/>
        </w:rPr>
      </w:pPr>
    </w:p>
    <w:p>
      <w:pPr>
        <w:pStyle w:val="BodyText"/>
        <w:spacing w:before="78" w:line="289" w:lineRule="auto"/>
        <w:ind w:left="33" w:right="192" w:firstLine="478"/>
        <w:jc w:val="both"/>
      </w:pPr>
      <w:r>
        <w:rPr>
          <w:spacing w:val="-6"/>
        </w:rPr>
        <w:t>境内市场固定收益指数产品规模持续扩容，发展态</w:t>
      </w:r>
      <w:r>
        <w:rPr>
          <w:spacing w:val="-7"/>
        </w:rPr>
        <w:t>势良好。</w:t>
      </w:r>
      <w:r>
        <w:rPr>
          <w:spacing w:val="73"/>
        </w:rPr>
        <w:t xml:space="preserve"> </w:t>
      </w:r>
      <w:r>
        <w:rPr>
          <w:spacing w:val="-7"/>
        </w:rPr>
        <w:t>一是</w:t>
      </w:r>
      <w:r>
        <w:rPr>
          <w:spacing w:val="-41"/>
        </w:rPr>
        <w:t xml:space="preserve"> </w:t>
      </w:r>
      <w:r>
        <w:rPr>
          <w:rFonts w:ascii="Times New Roman" w:eastAsia="Times New Roman" w:hAnsi="Times New Roman" w:cs="Times New Roman"/>
          <w:spacing w:val="-7"/>
        </w:rPr>
        <w:t>2023</w:t>
      </w:r>
      <w:r>
        <w:rPr>
          <w:rFonts w:ascii="Times New Roman" w:eastAsia="Times New Roman" w:hAnsi="Times New Roman" w:cs="Times New Roman"/>
          <w:spacing w:val="24"/>
          <w:w w:val="101"/>
        </w:rPr>
        <w:t xml:space="preserve"> </w:t>
      </w:r>
      <w:r>
        <w:rPr>
          <w:spacing w:val="-7"/>
        </w:rPr>
        <w:t>年新</w:t>
      </w:r>
      <w:r>
        <w:t xml:space="preserve"> </w:t>
      </w:r>
      <w:r>
        <w:rPr>
          <w:spacing w:val="-6"/>
        </w:rPr>
        <w:t>发固定收益指数产品以利率债和同业存单为主，</w:t>
      </w:r>
      <w:r>
        <w:rPr>
          <w:spacing w:val="-6"/>
        </w:rPr>
        <w:t xml:space="preserve"> </w:t>
      </w:r>
      <w:r>
        <w:rPr>
          <w:spacing w:val="-6"/>
        </w:rPr>
        <w:t>二者规模合计占新发产</w:t>
      </w:r>
      <w:r>
        <w:rPr>
          <w:spacing w:val="-7"/>
        </w:rPr>
        <w:t>品规模的</w:t>
      </w:r>
      <w:r>
        <w:t xml:space="preserve"> </w:t>
      </w:r>
      <w:r>
        <w:rPr>
          <w:rFonts w:ascii="Times New Roman" w:eastAsia="Times New Roman" w:hAnsi="Times New Roman" w:cs="Times New Roman"/>
          <w:spacing w:val="-3"/>
        </w:rPr>
        <w:t>98%</w:t>
      </w:r>
      <w:r>
        <w:rPr>
          <w:spacing w:val="-3"/>
        </w:rPr>
        <w:t>。二是债券</w:t>
      </w:r>
      <w:r>
        <w:rPr>
          <w:spacing w:val="-23"/>
        </w:rPr>
        <w:t xml:space="preserve"> </w:t>
      </w:r>
      <w:r>
        <w:rPr>
          <w:rFonts w:ascii="Times New Roman" w:eastAsia="Times New Roman" w:hAnsi="Times New Roman" w:cs="Times New Roman"/>
          <w:spacing w:val="-3"/>
        </w:rPr>
        <w:t>ETF</w:t>
      </w:r>
      <w:r>
        <w:rPr>
          <w:rFonts w:ascii="Times New Roman" w:eastAsia="Times New Roman" w:hAnsi="Times New Roman" w:cs="Times New Roman"/>
          <w:spacing w:val="29"/>
        </w:rPr>
        <w:t xml:space="preserve"> </w:t>
      </w:r>
      <w:r>
        <w:rPr>
          <w:spacing w:val="-3"/>
        </w:rPr>
        <w:t>规模大幅增长，短期限</w:t>
      </w:r>
      <w:r>
        <w:rPr>
          <w:spacing w:val="-43"/>
        </w:rPr>
        <w:t xml:space="preserve"> </w:t>
      </w:r>
      <w:r>
        <w:rPr>
          <w:rFonts w:ascii="Times New Roman" w:eastAsia="Times New Roman" w:hAnsi="Times New Roman" w:cs="Times New Roman"/>
          <w:spacing w:val="-3"/>
        </w:rPr>
        <w:t>ETF</w:t>
      </w:r>
      <w:r>
        <w:rPr>
          <w:rFonts w:ascii="Times New Roman" w:eastAsia="Times New Roman" w:hAnsi="Times New Roman" w:cs="Times New Roman"/>
          <w:spacing w:val="50"/>
          <w:w w:val="101"/>
        </w:rPr>
        <w:t xml:space="preserve"> </w:t>
      </w:r>
      <w:r>
        <w:rPr>
          <w:spacing w:val="-3"/>
        </w:rPr>
        <w:t>品种市场认可度高。三是同业</w:t>
      </w:r>
      <w:r>
        <w:t xml:space="preserve"> </w:t>
      </w:r>
      <w:r>
        <w:rPr>
          <w:spacing w:val="-6"/>
        </w:rPr>
        <w:t>存单指数基金规模有所萎缩，</w:t>
      </w:r>
      <w:r>
        <w:rPr>
          <w:spacing w:val="-6"/>
        </w:rPr>
        <w:t xml:space="preserve"> </w:t>
      </w:r>
      <w:r>
        <w:rPr>
          <w:spacing w:val="-6"/>
        </w:rPr>
        <w:t>但仍是境内债券指数化投资的重要构</w:t>
      </w:r>
      <w:r>
        <w:rPr>
          <w:spacing w:val="-7"/>
        </w:rPr>
        <w:t>成。四是信用</w:t>
      </w:r>
      <w:r>
        <w:t xml:space="preserve"> </w:t>
      </w:r>
      <w:r>
        <w:rPr>
          <w:spacing w:val="-7"/>
        </w:rPr>
        <w:t>债及转债指数基金产品均持续扩容。信用债指数产品方面，</w:t>
      </w:r>
      <w:r>
        <w:rPr>
          <w:spacing w:val="28"/>
        </w:rPr>
        <w:t xml:space="preserve"> </w:t>
      </w:r>
      <w:r>
        <w:rPr>
          <w:spacing w:val="-7"/>
        </w:rPr>
        <w:t>货币政策</w:t>
      </w:r>
      <w:r>
        <w:rPr>
          <w:spacing w:val="-8"/>
        </w:rPr>
        <w:t>整体较为稳</w:t>
      </w:r>
      <w:r>
        <w:t xml:space="preserve"> </w:t>
      </w:r>
      <w:r>
        <w:rPr>
          <w:spacing w:val="-19"/>
        </w:rPr>
        <w:t>健，</w:t>
      </w:r>
      <w:r>
        <w:rPr>
          <w:spacing w:val="-52"/>
        </w:rPr>
        <w:t xml:space="preserve"> </w:t>
      </w:r>
      <w:r>
        <w:rPr>
          <w:spacing w:val="-19"/>
        </w:rPr>
        <w:t>利率市场中枢呈下行态势，</w:t>
      </w:r>
      <w:r>
        <w:rPr>
          <w:spacing w:val="32"/>
        </w:rPr>
        <w:t xml:space="preserve"> </w:t>
      </w:r>
      <w:r>
        <w:rPr>
          <w:spacing w:val="-19"/>
        </w:rPr>
        <w:t>信用债表现创近年新高；</w:t>
      </w:r>
      <w:r>
        <w:rPr>
          <w:spacing w:val="61"/>
        </w:rPr>
        <w:t xml:space="preserve"> </w:t>
      </w:r>
      <w:r>
        <w:rPr>
          <w:spacing w:val="-20"/>
        </w:rPr>
        <w:t>转债指数产品方面，</w:t>
      </w:r>
      <w:r>
        <w:rPr>
          <w:spacing w:val="52"/>
        </w:rPr>
        <w:t xml:space="preserve"> </w:t>
      </w:r>
      <w:r>
        <w:rPr>
          <w:spacing w:val="-20"/>
        </w:rPr>
        <w:t>转</w:t>
      </w:r>
      <w:r>
        <w:t xml:space="preserve"> </w:t>
      </w:r>
      <w:r>
        <w:rPr>
          <w:spacing w:val="-9"/>
        </w:rPr>
        <w:t>债资产因兼具股性与债性，</w:t>
      </w:r>
      <w:r>
        <w:rPr>
          <w:spacing w:val="-9"/>
        </w:rPr>
        <w:t xml:space="preserve"> </w:t>
      </w:r>
      <w:r>
        <w:rPr>
          <w:spacing w:val="-9"/>
        </w:rPr>
        <w:t>在具备转股潜力的前提下由债性托底</w:t>
      </w:r>
      <w:r>
        <w:rPr>
          <w:spacing w:val="-10"/>
        </w:rPr>
        <w:t>转债价格，</w:t>
      </w:r>
      <w:r>
        <w:rPr>
          <w:spacing w:val="-10"/>
        </w:rPr>
        <w:t xml:space="preserve"> </w:t>
      </w:r>
      <w:r>
        <w:rPr>
          <w:spacing w:val="-10"/>
        </w:rPr>
        <w:t>整体</w:t>
      </w:r>
      <w:r>
        <w:t xml:space="preserve"> </w:t>
      </w:r>
      <w:r>
        <w:t>表现较好，成为投资者在震荡下行市场行情中的重要资产配</w:t>
      </w:r>
      <w:r>
        <w:rPr>
          <w:spacing w:val="-1"/>
        </w:rPr>
        <w:t>置选择之一。</w:t>
      </w:r>
    </w:p>
    <w:p>
      <w:pPr>
        <w:spacing w:line="312" w:lineRule="auto"/>
        <w:rPr>
          <w:rFonts w:ascii="Arial"/>
          <w:sz w:val="21"/>
        </w:rPr>
      </w:pPr>
    </w:p>
    <w:p>
      <w:pPr>
        <w:pStyle w:val="BodyText"/>
        <w:spacing w:before="78" w:line="286" w:lineRule="auto"/>
        <w:ind w:left="37" w:firstLine="481"/>
        <w:jc w:val="both"/>
        <w:sectPr>
          <w:headerReference w:type="default" r:id="rId4"/>
          <w:footerReference w:type="default" r:id="rId5"/>
          <w:pgSz w:w="11907" w:h="16839"/>
          <w:pgMar w:top="1118" w:right="1606" w:bottom="1162" w:left="1771" w:header="877" w:footer="986" w:gutter="0"/>
          <w:cols w:space="708"/>
        </w:sectPr>
      </w:pPr>
      <w:r>
        <w:rPr>
          <w:spacing w:val="-7"/>
        </w:rPr>
        <w:t>展望未来，</w:t>
      </w:r>
      <w:r>
        <w:rPr>
          <w:spacing w:val="-7"/>
        </w:rPr>
        <w:t xml:space="preserve"> </w:t>
      </w:r>
      <w:r>
        <w:rPr>
          <w:spacing w:val="-7"/>
        </w:rPr>
        <w:t>随着个人养老金制度落地、基金投顾等业务持续开展、指数化投</w:t>
      </w:r>
      <w:r>
        <w:rPr>
          <w:spacing w:val="-7"/>
        </w:rPr>
        <w:t xml:space="preserve">  </w:t>
      </w:r>
      <w:r>
        <w:rPr>
          <w:spacing w:val="-10"/>
        </w:rPr>
        <w:t>资理念的进一步普及，</w:t>
      </w:r>
      <w:r>
        <w:rPr>
          <w:spacing w:val="-10"/>
        </w:rPr>
        <w:t xml:space="preserve"> </w:t>
      </w:r>
      <w:r>
        <w:rPr>
          <w:spacing w:val="-10"/>
        </w:rPr>
        <w:t>固定收益指数型产品或迎</w:t>
      </w:r>
      <w:r>
        <w:rPr>
          <w:spacing w:val="-11"/>
        </w:rPr>
        <w:t>来更多增量配置需求。</w:t>
      </w:r>
      <w:r>
        <w:rPr>
          <w:spacing w:val="25"/>
        </w:rPr>
        <w:t xml:space="preserve"> </w:t>
      </w:r>
      <w:r>
        <w:rPr>
          <w:spacing w:val="-11"/>
        </w:rPr>
        <w:t>一是现金</w:t>
      </w:r>
      <w:r>
        <w:rPr>
          <w:spacing w:val="-11"/>
        </w:rPr>
        <w:t xml:space="preserve">  </w:t>
      </w:r>
      <w:r>
        <w:rPr>
          <w:spacing w:val="-7"/>
        </w:rPr>
        <w:t>管理类指数产品有望继续成为固定收益指数产品突破口和规模增长点；</w:t>
      </w:r>
      <w:r>
        <w:rPr>
          <w:spacing w:val="-7"/>
        </w:rPr>
        <w:t xml:space="preserve"> </w:t>
      </w:r>
      <w:r>
        <w:rPr>
          <w:spacing w:val="-7"/>
        </w:rPr>
        <w:t>二是随着</w:t>
      </w:r>
      <w:r>
        <w:rPr>
          <w:spacing w:val="-7"/>
        </w:rPr>
        <w:t xml:space="preserve">  </w:t>
      </w:r>
    </w:p>
    <w:p>
      <w:pPr>
        <w:pStyle w:val="BodyText"/>
        <w:spacing w:before="78" w:line="286" w:lineRule="auto"/>
        <w:ind w:left="37" w:firstLine="481"/>
        <w:jc w:val="both"/>
      </w:pPr>
      <w:r>
        <w:rPr>
          <w:spacing w:val="-2"/>
        </w:rPr>
        <w:t>投资者对债券</w:t>
      </w:r>
      <w:r>
        <w:rPr>
          <w:spacing w:val="-45"/>
        </w:rPr>
        <w:t xml:space="preserve"> </w:t>
      </w:r>
      <w:r>
        <w:rPr>
          <w:rFonts w:ascii="Times New Roman" w:eastAsia="Times New Roman" w:hAnsi="Times New Roman" w:cs="Times New Roman"/>
          <w:spacing w:val="-2"/>
        </w:rPr>
        <w:t xml:space="preserve">ETF </w:t>
      </w:r>
      <w:r>
        <w:rPr>
          <w:spacing w:val="-2"/>
        </w:rPr>
        <w:t>投资习惯的逐步养成，债券</w:t>
      </w:r>
      <w:r>
        <w:rPr>
          <w:spacing w:val="-52"/>
        </w:rPr>
        <w:t xml:space="preserve"> </w:t>
      </w:r>
      <w:r>
        <w:rPr>
          <w:rFonts w:ascii="Times New Roman" w:eastAsia="Times New Roman" w:hAnsi="Times New Roman" w:cs="Times New Roman"/>
          <w:spacing w:val="-2"/>
        </w:rPr>
        <w:t>ETF</w:t>
      </w:r>
      <w:r>
        <w:rPr>
          <w:rFonts w:ascii="Times New Roman" w:eastAsia="Times New Roman" w:hAnsi="Times New Roman" w:cs="Times New Roman"/>
          <w:spacing w:val="31"/>
        </w:rPr>
        <w:t xml:space="preserve"> </w:t>
      </w:r>
      <w:r>
        <w:rPr>
          <w:spacing w:val="-2"/>
        </w:rPr>
        <w:t>的投资便利、资金利用率高</w:t>
      </w:r>
      <w:r>
        <w:rPr>
          <w:spacing w:val="-2"/>
        </w:rPr>
        <w:t xml:space="preserve">  </w:t>
      </w:r>
      <w:r>
        <w:rPr>
          <w:spacing w:val="-11"/>
        </w:rPr>
        <w:t>等优势有望进一步呈现，</w:t>
      </w:r>
      <w:r>
        <w:rPr>
          <w:spacing w:val="-11"/>
        </w:rPr>
        <w:t xml:space="preserve"> </w:t>
      </w:r>
      <w:r>
        <w:rPr>
          <w:spacing w:val="-11"/>
        </w:rPr>
        <w:t>未来仍具较大发</w:t>
      </w:r>
      <w:r>
        <w:rPr>
          <w:spacing w:val="-12"/>
        </w:rPr>
        <w:t>展空间；</w:t>
      </w:r>
      <w:r>
        <w:rPr>
          <w:spacing w:val="66"/>
        </w:rPr>
        <w:t xml:space="preserve"> </w:t>
      </w:r>
      <w:r>
        <w:rPr>
          <w:spacing w:val="-12"/>
        </w:rPr>
        <w:t>三是随着银行、保险、理财子</w:t>
      </w:r>
      <w:r>
        <w:rPr>
          <w:spacing w:val="-12"/>
        </w:rPr>
        <w:t xml:space="preserve">  </w:t>
      </w:r>
      <w:r>
        <w:rPr>
          <w:spacing w:val="-7"/>
        </w:rPr>
        <w:t>公司等市场机构对固定收益指数的关注度不断提升，</w:t>
      </w:r>
      <w:r>
        <w:rPr>
          <w:spacing w:val="-7"/>
        </w:rPr>
        <w:t xml:space="preserve"> </w:t>
      </w:r>
      <w:r>
        <w:rPr>
          <w:spacing w:val="-7"/>
        </w:rPr>
        <w:t>固</w:t>
      </w:r>
      <w:r>
        <w:rPr>
          <w:spacing w:val="-8"/>
        </w:rPr>
        <w:t>收指数应用将日趋多元化。</w:t>
      </w:r>
    </w:p>
    <w:p>
      <w:pPr>
        <w:spacing w:line="286" w:lineRule="auto"/>
        <w:sectPr>
          <w:headerReference w:type="default" r:id="rId6"/>
          <w:footerReference w:type="default" r:id="rId7"/>
          <w:type w:val="nextPage"/>
          <w:pgSz w:w="11907" w:h="16839"/>
          <w:pgMar w:top="1118" w:right="1606" w:bottom="1162" w:left="1771" w:header="877" w:footer="986" w:gutter="0"/>
          <w:pgNumType w:start="2"/>
          <w:cols w:space="708"/>
          <w:titlePg w:val="0"/>
        </w:sectPr>
      </w:pPr>
    </w:p>
    <w:p>
      <w:pPr>
        <w:spacing w:line="382" w:lineRule="auto"/>
        <w:rPr>
          <w:rFonts w:ascii="Arial"/>
          <w:sz w:val="21"/>
        </w:rPr>
      </w:pPr>
      <w:r>
        <w:drawing>
          <wp:anchor distT="0" distB="0" distL="0" distR="0" simplePos="0" relativeHeight="251658240" behindDoc="1" locked="0" layoutInCell="0" allowOverlap="1">
            <wp:simplePos x="0" y="0"/>
            <wp:positionH relativeFrom="page">
              <wp:posOffset>1515999</wp:posOffset>
            </wp:positionH>
            <wp:positionV relativeFrom="page">
              <wp:posOffset>6480175</wp:posOffset>
            </wp:positionV>
            <wp:extent cx="4154804" cy="413766"/>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8"/>
                    <a:stretch>
                      <a:fillRect/>
                    </a:stretch>
                  </pic:blipFill>
                  <pic:spPr>
                    <a:xfrm>
                      <a:off x="0" y="0"/>
                      <a:ext cx="4154804" cy="413766"/>
                    </a:xfrm>
                    <a:prstGeom prst="rect">
                      <a:avLst/>
                    </a:prstGeom>
                  </pic:spPr>
                </pic:pic>
              </a:graphicData>
            </a:graphic>
          </wp:anchor>
        </w:drawing>
      </w:r>
    </w:p>
    <w:p>
      <w:pPr>
        <w:spacing w:before="97" w:line="218" w:lineRule="auto"/>
        <w:ind w:left="45"/>
        <w:rPr>
          <w:rFonts w:ascii="SimHei" w:eastAsia="SimHei" w:hAnsi="SimHei" w:cs="SimHei"/>
          <w:sz w:val="30"/>
          <w:szCs w:val="30"/>
        </w:rPr>
      </w:pPr>
      <w:r>
        <w:rPr>
          <w:rFonts w:ascii="SimHei" w:eastAsia="SimHei" w:hAnsi="SimHei" w:cs="SimHei"/>
          <w:spacing w:val="-1"/>
          <w:sz w:val="30"/>
          <w:szCs w:val="30"/>
          <w14:textOutline w14:w="5442">
            <w14:solidFill>
              <w14:srgbClr w14:val="000000"/>
            </w14:solidFill>
            <w14:prstDash w14:val="solid"/>
            <w14:miter w14:lim="10"/>
          </w14:textOutline>
        </w:rPr>
        <w:t>一、美国固定收益</w:t>
      </w:r>
      <w:r>
        <w:rPr>
          <w:rFonts w:ascii="SimHei" w:eastAsia="SimHei" w:hAnsi="SimHei" w:cs="SimHei"/>
          <w:spacing w:val="-59"/>
          <w:sz w:val="30"/>
          <w:szCs w:val="30"/>
        </w:rPr>
        <w:t xml:space="preserve"> </w:t>
      </w:r>
      <w:r>
        <w:rPr>
          <w:rFonts w:ascii="Times New Roman" w:eastAsia="Times New Roman" w:hAnsi="Times New Roman" w:cs="Times New Roman"/>
          <w:b/>
          <w:bCs/>
          <w:spacing w:val="-1"/>
          <w:sz w:val="30"/>
          <w:szCs w:val="30"/>
        </w:rPr>
        <w:t xml:space="preserve">ETF </w:t>
      </w:r>
      <w:r>
        <w:rPr>
          <w:rFonts w:ascii="SimHei" w:eastAsia="SimHei" w:hAnsi="SimHei" w:cs="SimHei"/>
          <w:spacing w:val="-1"/>
          <w:sz w:val="30"/>
          <w:szCs w:val="30"/>
          <w14:textOutline w14:w="5442">
            <w14:solidFill>
              <w14:srgbClr w14:val="000000"/>
            </w14:solidFill>
            <w14:prstDash w14:val="solid"/>
            <w14:miter w14:lim="10"/>
          </w14:textOutline>
        </w:rPr>
        <w:t>市场发展概况</w:t>
      </w:r>
    </w:p>
    <w:p>
      <w:pPr>
        <w:spacing w:line="385" w:lineRule="auto"/>
        <w:rPr>
          <w:rFonts w:ascii="Arial"/>
          <w:sz w:val="21"/>
        </w:rPr>
      </w:pPr>
    </w:p>
    <w:p>
      <w:pPr>
        <w:pStyle w:val="BodyText"/>
        <w:spacing w:before="78" w:line="215" w:lineRule="auto"/>
        <w:ind w:left="590"/>
      </w:pPr>
      <w:r>
        <w:rPr>
          <w14:textOutline w14:w="4354">
            <w14:solidFill>
              <w14:srgbClr w14:val="000000"/>
            </w14:solidFill>
            <w14:prstDash w14:val="solid"/>
            <w14:miter w14:lim="10"/>
          </w14:textOutline>
        </w:rPr>
        <w:t>（一）美债市场动荡，固定收益</w:t>
      </w:r>
      <w:r>
        <w:rPr>
          <w:spacing w:val="-52"/>
        </w:rPr>
        <w:t xml:space="preserve"> </w:t>
      </w:r>
      <w:r>
        <w:rPr>
          <w:rFonts w:ascii="Times New Roman" w:eastAsia="Times New Roman" w:hAnsi="Times New Roman" w:cs="Times New Roman"/>
          <w:b/>
          <w:bCs/>
        </w:rPr>
        <w:t>ETF</w:t>
      </w:r>
      <w:r>
        <w:rPr>
          <w:rFonts w:ascii="Times New Roman" w:eastAsia="Times New Roman" w:hAnsi="Times New Roman" w:cs="Times New Roman"/>
          <w:b/>
          <w:bCs/>
          <w:spacing w:val="17"/>
          <w:w w:val="101"/>
        </w:rPr>
        <w:t xml:space="preserve"> </w:t>
      </w:r>
      <w:r>
        <w:rPr>
          <w14:textOutline w14:w="4354">
            <w14:solidFill>
              <w14:srgbClr w14:val="000000"/>
            </w14:solidFill>
            <w14:prstDash w14:val="solid"/>
            <w14:miter w14:lim="10"/>
          </w14:textOutline>
        </w:rPr>
        <w:t>资金流入稳定，规模持续增长</w:t>
      </w:r>
    </w:p>
    <w:p>
      <w:pPr>
        <w:spacing w:line="313" w:lineRule="auto"/>
        <w:rPr>
          <w:rFonts w:ascii="Arial"/>
          <w:sz w:val="21"/>
        </w:rPr>
      </w:pPr>
    </w:p>
    <w:p>
      <w:pPr>
        <w:pStyle w:val="BodyText"/>
        <w:spacing w:before="78" w:line="288" w:lineRule="auto"/>
        <w:ind w:left="48" w:right="28" w:firstLine="482"/>
        <w:jc w:val="both"/>
      </w:pPr>
      <w:r>
        <w:rPr>
          <w:spacing w:val="-3"/>
          <w14:textOutline w14:w="4354">
            <w14:solidFill>
              <w14:srgbClr w14:val="000000"/>
            </w14:solidFill>
            <w14:prstDash w14:val="solid"/>
            <w14:miter w14:lim="10"/>
          </w14:textOutline>
        </w:rPr>
        <w:t>美债市场剧烈波动，国债收益率攀升至</w:t>
      </w:r>
      <w:r>
        <w:rPr>
          <w:rFonts w:ascii="Times New Roman" w:eastAsia="Times New Roman" w:hAnsi="Times New Roman" w:cs="Times New Roman"/>
          <w:b/>
          <w:bCs/>
          <w:spacing w:val="-3"/>
        </w:rPr>
        <w:t>20</w:t>
      </w:r>
      <w:r>
        <w:rPr>
          <w:spacing w:val="-3"/>
          <w14:textOutline w14:w="4354">
            <w14:solidFill>
              <w14:srgbClr w14:val="000000"/>
            </w14:solidFill>
            <w14:prstDash w14:val="solid"/>
            <w14:miter w14:lim="10"/>
          </w14:textOutline>
        </w:rPr>
        <w:t>年</w:t>
      </w:r>
      <w:r>
        <w:rPr>
          <w:spacing w:val="-4"/>
          <w14:textOutline w14:w="4354">
            <w14:solidFill>
              <w14:srgbClr w14:val="000000"/>
            </w14:solidFill>
            <w14:prstDash w14:val="solid"/>
            <w14:miter w14:lim="10"/>
          </w14:textOutline>
        </w:rPr>
        <w:t>内峰值，随后快速下行，与年初</w:t>
      </w:r>
      <w:r>
        <w:t xml:space="preserve"> </w:t>
      </w:r>
      <w:r>
        <w:rPr>
          <w:spacing w:val="-17"/>
          <w14:textOutline w14:w="4354">
            <w14:solidFill>
              <w14:srgbClr w14:val="000000"/>
            </w14:solidFill>
            <w14:prstDash w14:val="solid"/>
            <w14:miter w14:lim="10"/>
          </w14:textOutline>
        </w:rPr>
        <w:t>收益率持平。</w:t>
      </w:r>
      <w:r>
        <w:rPr>
          <w:spacing w:val="-17"/>
        </w:rPr>
        <w:t xml:space="preserve"> </w:t>
      </w:r>
      <w:r>
        <w:rPr>
          <w:rFonts w:ascii="Times New Roman" w:eastAsia="Times New Roman" w:hAnsi="Times New Roman" w:cs="Times New Roman"/>
          <w:spacing w:val="-17"/>
        </w:rPr>
        <w:t>2023</w:t>
      </w:r>
      <w:r>
        <w:rPr>
          <w:spacing w:val="-17"/>
        </w:rPr>
        <w:t>年，</w:t>
      </w:r>
      <w:r>
        <w:rPr>
          <w:spacing w:val="-45"/>
        </w:rPr>
        <w:t xml:space="preserve"> </w:t>
      </w:r>
      <w:r>
        <w:rPr>
          <w:spacing w:val="-17"/>
        </w:rPr>
        <w:t>全球地缘政治冲突加剧，</w:t>
      </w:r>
      <w:r>
        <w:rPr>
          <w:spacing w:val="60"/>
        </w:rPr>
        <w:t xml:space="preserve"> </w:t>
      </w:r>
      <w:r>
        <w:rPr>
          <w:spacing w:val="-17"/>
        </w:rPr>
        <w:t>国际贸易增长乏力，</w:t>
      </w:r>
      <w:r>
        <w:rPr>
          <w:spacing w:val="37"/>
        </w:rPr>
        <w:t xml:space="preserve"> </w:t>
      </w:r>
      <w:r>
        <w:rPr>
          <w:spacing w:val="-17"/>
        </w:rPr>
        <w:t>各国生产景</w:t>
      </w:r>
      <w:r>
        <w:t xml:space="preserve"> </w:t>
      </w:r>
      <w:r>
        <w:rPr>
          <w:spacing w:val="-7"/>
        </w:rPr>
        <w:t>气度逐渐回落，</w:t>
      </w:r>
      <w:r>
        <w:rPr>
          <w:spacing w:val="-7"/>
        </w:rPr>
        <w:t xml:space="preserve"> </w:t>
      </w:r>
      <w:r>
        <w:rPr>
          <w:spacing w:val="-7"/>
        </w:rPr>
        <w:t>发达经济体国内和跨境投资因加息持续承压。美国联邦政府财政</w:t>
      </w:r>
      <w:r>
        <w:rPr>
          <w:spacing w:val="15"/>
        </w:rPr>
        <w:t xml:space="preserve"> </w:t>
      </w:r>
      <w:r>
        <w:rPr>
          <w:spacing w:val="-12"/>
        </w:rPr>
        <w:t>赤字规模持续扩大，</w:t>
      </w:r>
      <w:r>
        <w:rPr>
          <w:spacing w:val="28"/>
        </w:rPr>
        <w:t xml:space="preserve"> </w:t>
      </w:r>
      <w:r>
        <w:rPr>
          <w:spacing w:val="-12"/>
        </w:rPr>
        <w:t>债务负担不断加重，美国主权信用评级被下调，</w:t>
      </w:r>
      <w:r>
        <w:rPr>
          <w:spacing w:val="41"/>
        </w:rPr>
        <w:t xml:space="preserve"> </w:t>
      </w:r>
      <w:r>
        <w:rPr>
          <w:spacing w:val="-12"/>
        </w:rPr>
        <w:t>叠加</w:t>
      </w:r>
      <w:r>
        <w:rPr>
          <w:spacing w:val="-13"/>
        </w:rPr>
        <w:t>美联储</w:t>
      </w:r>
      <w:r>
        <w:t xml:space="preserve"> </w:t>
      </w:r>
      <w:r>
        <w:rPr>
          <w:spacing w:val="-9"/>
        </w:rPr>
        <w:t>大幅加息，</w:t>
      </w:r>
      <w:r>
        <w:rPr>
          <w:spacing w:val="-9"/>
        </w:rPr>
        <w:t xml:space="preserve"> </w:t>
      </w:r>
      <w:r>
        <w:rPr>
          <w:spacing w:val="-9"/>
        </w:rPr>
        <w:t>联邦基金利率攀升，美国政府利息负担压力进一</w:t>
      </w:r>
      <w:r>
        <w:rPr>
          <w:spacing w:val="-10"/>
        </w:rPr>
        <w:t>步增大，</w:t>
      </w:r>
      <w:r>
        <w:rPr>
          <w:spacing w:val="-10"/>
        </w:rPr>
        <w:t xml:space="preserve"> </w:t>
      </w:r>
      <w:r>
        <w:rPr>
          <w:rFonts w:ascii="Times New Roman" w:eastAsia="Times New Roman" w:hAnsi="Times New Roman" w:cs="Times New Roman"/>
          <w:spacing w:val="-10"/>
        </w:rPr>
        <w:t>10</w:t>
      </w:r>
      <w:r>
        <w:rPr>
          <w:spacing w:val="-10"/>
        </w:rPr>
        <w:t>年期国债</w:t>
      </w:r>
      <w:r>
        <w:t xml:space="preserve"> </w:t>
      </w:r>
      <w:r>
        <w:rPr>
          <w:spacing w:val="-4"/>
        </w:rPr>
        <w:t>收益率高达</w:t>
      </w:r>
      <w:r>
        <w:rPr>
          <w:rFonts w:ascii="Times New Roman" w:eastAsia="Times New Roman" w:hAnsi="Times New Roman" w:cs="Times New Roman"/>
          <w:spacing w:val="-4"/>
        </w:rPr>
        <w:t>4.98%</w:t>
      </w:r>
      <w:r>
        <w:rPr>
          <w:spacing w:val="-4"/>
        </w:rPr>
        <w:t>。</w:t>
      </w:r>
      <w:r>
        <w:rPr>
          <w:rFonts w:ascii="Times New Roman" w:eastAsia="Times New Roman" w:hAnsi="Times New Roman" w:cs="Times New Roman"/>
          <w:spacing w:val="-4"/>
        </w:rPr>
        <w:t>11</w:t>
      </w:r>
      <w:r>
        <w:rPr>
          <w:spacing w:val="-4"/>
        </w:rPr>
        <w:t>月以来美国通胀放缓，</w:t>
      </w:r>
      <w:r>
        <w:rPr>
          <w:spacing w:val="-4"/>
        </w:rPr>
        <w:t xml:space="preserve"> </w:t>
      </w:r>
      <w:r>
        <w:rPr>
          <w:spacing w:val="-4"/>
        </w:rPr>
        <w:t>美联储政策预期发生变化，美债收</w:t>
      </w:r>
      <w:r>
        <w:rPr>
          <w:spacing w:val="18"/>
        </w:rPr>
        <w:t xml:space="preserve"> </w:t>
      </w:r>
      <w:r>
        <w:rPr>
          <w:spacing w:val="-2"/>
        </w:rPr>
        <w:t>益率大幅回调，年末回落至</w:t>
      </w:r>
      <w:r>
        <w:rPr>
          <w:rFonts w:ascii="Times New Roman" w:eastAsia="Times New Roman" w:hAnsi="Times New Roman" w:cs="Times New Roman"/>
          <w:spacing w:val="-2"/>
        </w:rPr>
        <w:t>3.88%</w:t>
      </w:r>
      <w:r>
        <w:rPr>
          <w:spacing w:val="-2"/>
        </w:rPr>
        <w:t>，回调近</w:t>
      </w:r>
      <w:r>
        <w:rPr>
          <w:rFonts w:ascii="Times New Roman" w:eastAsia="Times New Roman" w:hAnsi="Times New Roman" w:cs="Times New Roman"/>
          <w:spacing w:val="-2"/>
        </w:rPr>
        <w:t>100BP</w:t>
      </w:r>
      <w:r>
        <w:rPr>
          <w:spacing w:val="-2"/>
        </w:rPr>
        <w:t>，与年初收益率持平。</w:t>
      </w:r>
    </w:p>
    <w:p>
      <w:pPr>
        <w:spacing w:before="68"/>
      </w:pPr>
    </w:p>
    <w:tbl>
      <w:tblPr>
        <w:tblStyle w:val="TableNormal0"/>
        <w:tblW w:w="7564" w:type="dxa"/>
        <w:tblInd w:w="398"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Pr>
      <w:tblGrid>
        <w:gridCol w:w="727"/>
        <w:gridCol w:w="6837"/>
      </w:tblGrid>
      <w:tr>
        <w:tblPrEx>
          <w:tblW w:w="7564" w:type="dxa"/>
          <w:tblInd w:w="398"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PrEx>
        <w:trPr>
          <w:trHeight w:val="4556"/>
        </w:trPr>
        <w:tc>
          <w:tcPr>
            <w:tcW w:w="727" w:type="dxa"/>
            <w:tcBorders>
              <w:top w:val="single" w:sz="2" w:space="0" w:color="D9D9D9"/>
              <w:bottom w:val="nil"/>
              <w:right w:val="nil"/>
            </w:tcBorders>
            <w:vAlign w:val="top"/>
          </w:tcPr>
          <w:p>
            <w:pPr>
              <w:spacing w:before="150" w:line="186" w:lineRule="auto"/>
              <w:ind w:left="136"/>
              <w:rPr>
                <w:rFonts w:ascii="Times New Roman" w:eastAsia="Times New Roman" w:hAnsi="Times New Roman" w:cs="Times New Roman"/>
                <w:sz w:val="18"/>
                <w:szCs w:val="18"/>
              </w:rPr>
            </w:pPr>
            <w:r>
              <w:rPr>
                <w:rFonts w:ascii="Times New Roman" w:eastAsia="Times New Roman" w:hAnsi="Times New Roman" w:cs="Times New Roman"/>
                <w:color w:val="595959"/>
                <w:spacing w:val="-2"/>
                <w:sz w:val="18"/>
                <w:szCs w:val="18"/>
              </w:rPr>
              <w:t>6.0000</w:t>
            </w:r>
          </w:p>
          <w:p>
            <w:pPr>
              <w:pStyle w:val="TableText"/>
              <w:spacing w:line="261" w:lineRule="auto"/>
            </w:pPr>
          </w:p>
          <w:p>
            <w:pPr>
              <w:spacing w:before="52" w:line="186" w:lineRule="auto"/>
              <w:ind w:left="137"/>
              <w:rPr>
                <w:rFonts w:ascii="Times New Roman" w:eastAsia="Times New Roman" w:hAnsi="Times New Roman" w:cs="Times New Roman"/>
                <w:sz w:val="18"/>
                <w:szCs w:val="18"/>
              </w:rPr>
            </w:pPr>
            <w:r>
              <w:rPr>
                <w:rFonts w:ascii="Times New Roman" w:eastAsia="Times New Roman" w:hAnsi="Times New Roman" w:cs="Times New Roman"/>
                <w:color w:val="595959"/>
                <w:spacing w:val="-2"/>
                <w:sz w:val="18"/>
                <w:szCs w:val="18"/>
              </w:rPr>
              <w:t>5.5000</w:t>
            </w:r>
          </w:p>
          <w:p>
            <w:pPr>
              <w:pStyle w:val="TableText"/>
              <w:spacing w:line="261" w:lineRule="auto"/>
            </w:pPr>
          </w:p>
          <w:p>
            <w:pPr>
              <w:spacing w:before="51" w:line="186" w:lineRule="auto"/>
              <w:ind w:left="137"/>
              <w:rPr>
                <w:rFonts w:ascii="Times New Roman" w:eastAsia="Times New Roman" w:hAnsi="Times New Roman" w:cs="Times New Roman"/>
                <w:sz w:val="18"/>
                <w:szCs w:val="18"/>
              </w:rPr>
            </w:pPr>
            <w:r>
              <w:rPr>
                <w:rFonts w:ascii="Times New Roman" w:eastAsia="Times New Roman" w:hAnsi="Times New Roman" w:cs="Times New Roman"/>
                <w:color w:val="595959"/>
                <w:spacing w:val="-2"/>
                <w:sz w:val="18"/>
                <w:szCs w:val="18"/>
              </w:rPr>
              <w:t>5.0000</w:t>
            </w:r>
          </w:p>
          <w:p>
            <w:pPr>
              <w:pStyle w:val="TableText"/>
              <w:spacing w:line="261" w:lineRule="auto"/>
            </w:pPr>
          </w:p>
          <w:p>
            <w:pPr>
              <w:spacing w:before="52" w:line="186" w:lineRule="auto"/>
              <w:ind w:left="131"/>
              <w:rPr>
                <w:rFonts w:ascii="Times New Roman" w:eastAsia="Times New Roman" w:hAnsi="Times New Roman" w:cs="Times New Roman"/>
                <w:sz w:val="18"/>
                <w:szCs w:val="18"/>
              </w:rPr>
            </w:pPr>
            <w:r>
              <w:rPr>
                <w:rFonts w:ascii="Times New Roman" w:eastAsia="Times New Roman" w:hAnsi="Times New Roman" w:cs="Times New Roman"/>
                <w:color w:val="595959"/>
                <w:spacing w:val="-1"/>
                <w:sz w:val="18"/>
                <w:szCs w:val="18"/>
              </w:rPr>
              <w:t>4.5000</w:t>
            </w:r>
          </w:p>
          <w:p>
            <w:pPr>
              <w:pStyle w:val="TableText"/>
              <w:spacing w:line="261" w:lineRule="auto"/>
            </w:pPr>
          </w:p>
          <w:p>
            <w:pPr>
              <w:spacing w:before="52" w:line="186" w:lineRule="auto"/>
              <w:ind w:left="131"/>
              <w:rPr>
                <w:rFonts w:ascii="Times New Roman" w:eastAsia="Times New Roman" w:hAnsi="Times New Roman" w:cs="Times New Roman"/>
                <w:sz w:val="18"/>
                <w:szCs w:val="18"/>
              </w:rPr>
            </w:pPr>
            <w:r>
              <w:rPr>
                <w:rFonts w:ascii="Times New Roman" w:eastAsia="Times New Roman" w:hAnsi="Times New Roman" w:cs="Times New Roman"/>
                <w:color w:val="595959"/>
                <w:spacing w:val="-1"/>
                <w:sz w:val="18"/>
                <w:szCs w:val="18"/>
              </w:rPr>
              <w:t>4.0000</w:t>
            </w:r>
          </w:p>
          <w:p>
            <w:pPr>
              <w:pStyle w:val="TableText"/>
              <w:spacing w:line="261" w:lineRule="auto"/>
            </w:pPr>
          </w:p>
          <w:p>
            <w:pPr>
              <w:spacing w:before="52" w:line="186" w:lineRule="auto"/>
              <w:ind w:left="136"/>
              <w:rPr>
                <w:rFonts w:ascii="Times New Roman" w:eastAsia="Times New Roman" w:hAnsi="Times New Roman" w:cs="Times New Roman"/>
                <w:sz w:val="18"/>
                <w:szCs w:val="18"/>
              </w:rPr>
            </w:pPr>
            <w:r>
              <w:rPr>
                <w:rFonts w:ascii="Times New Roman" w:eastAsia="Times New Roman" w:hAnsi="Times New Roman" w:cs="Times New Roman"/>
                <w:color w:val="595959"/>
                <w:spacing w:val="-2"/>
                <w:sz w:val="18"/>
                <w:szCs w:val="18"/>
              </w:rPr>
              <w:t>3.5000</w:t>
            </w:r>
          </w:p>
          <w:p>
            <w:pPr>
              <w:pStyle w:val="TableText"/>
              <w:spacing w:line="261" w:lineRule="auto"/>
            </w:pPr>
          </w:p>
          <w:p>
            <w:pPr>
              <w:spacing w:before="52" w:line="186" w:lineRule="auto"/>
              <w:ind w:left="136"/>
              <w:rPr>
                <w:rFonts w:ascii="Times New Roman" w:eastAsia="Times New Roman" w:hAnsi="Times New Roman" w:cs="Times New Roman"/>
                <w:sz w:val="18"/>
                <w:szCs w:val="18"/>
              </w:rPr>
            </w:pPr>
            <w:r>
              <w:rPr>
                <w:rFonts w:ascii="Times New Roman" w:eastAsia="Times New Roman" w:hAnsi="Times New Roman" w:cs="Times New Roman"/>
                <w:color w:val="595959"/>
                <w:spacing w:val="-2"/>
                <w:sz w:val="18"/>
                <w:szCs w:val="18"/>
              </w:rPr>
              <w:t>3.0000</w:t>
            </w:r>
          </w:p>
          <w:p>
            <w:pPr>
              <w:pStyle w:val="TableText"/>
              <w:spacing w:line="261" w:lineRule="auto"/>
            </w:pPr>
          </w:p>
          <w:p>
            <w:pPr>
              <w:spacing w:before="52" w:line="186" w:lineRule="auto"/>
              <w:ind w:left="132"/>
              <w:rPr>
                <w:rFonts w:ascii="Times New Roman" w:eastAsia="Times New Roman" w:hAnsi="Times New Roman" w:cs="Times New Roman"/>
                <w:sz w:val="18"/>
                <w:szCs w:val="18"/>
              </w:rPr>
            </w:pPr>
            <w:r>
              <w:rPr>
                <w:rFonts w:ascii="Times New Roman" w:eastAsia="Times New Roman" w:hAnsi="Times New Roman" w:cs="Times New Roman"/>
                <w:color w:val="595959"/>
                <w:spacing w:val="-1"/>
                <w:sz w:val="18"/>
                <w:szCs w:val="18"/>
              </w:rPr>
              <w:t>2.5000</w:t>
            </w:r>
          </w:p>
          <w:p>
            <w:pPr>
              <w:pStyle w:val="TableText"/>
              <w:spacing w:line="261" w:lineRule="auto"/>
            </w:pPr>
          </w:p>
          <w:p>
            <w:pPr>
              <w:spacing w:before="52" w:line="186" w:lineRule="auto"/>
              <w:ind w:left="132"/>
              <w:rPr>
                <w:rFonts w:ascii="Times New Roman" w:eastAsia="Times New Roman" w:hAnsi="Times New Roman" w:cs="Times New Roman"/>
                <w:sz w:val="18"/>
                <w:szCs w:val="18"/>
              </w:rPr>
            </w:pPr>
            <w:r>
              <w:rPr>
                <w:rFonts w:ascii="Times New Roman" w:eastAsia="Times New Roman" w:hAnsi="Times New Roman" w:cs="Times New Roman"/>
                <w:color w:val="595959"/>
                <w:spacing w:val="-1"/>
                <w:sz w:val="18"/>
                <w:szCs w:val="18"/>
              </w:rPr>
              <w:t>2.0000</w:t>
            </w:r>
          </w:p>
        </w:tc>
        <w:tc>
          <w:tcPr>
            <w:tcW w:w="6837" w:type="dxa"/>
            <w:tcBorders>
              <w:top w:val="single" w:sz="2" w:space="0" w:color="D9D9D9"/>
              <w:left w:val="nil"/>
              <w:bottom w:val="nil"/>
            </w:tcBorders>
            <w:vAlign w:val="top"/>
          </w:tcPr>
          <w:p>
            <w:pPr>
              <w:pStyle w:val="TableText"/>
              <w:spacing w:line="336" w:lineRule="auto"/>
            </w:pPr>
          </w:p>
          <w:p>
            <w:pPr>
              <w:pStyle w:val="TableText"/>
              <w:spacing w:line="336" w:lineRule="auto"/>
            </w:pPr>
          </w:p>
          <w:p>
            <w:pPr>
              <w:spacing w:line="2136" w:lineRule="exact"/>
              <w:ind w:firstLine="98"/>
            </w:pPr>
            <w:r>
              <w:rPr>
                <w:position w:val="-42"/>
              </w:rPr>
              <w:drawing>
                <wp:inline distT="0" distB="0" distL="0" distR="0">
                  <wp:extent cx="4064507" cy="135636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xmlns:r="http://schemas.openxmlformats.org/officeDocument/2006/relationships" r:embed="rId9"/>
                          <a:stretch>
                            <a:fillRect/>
                          </a:stretch>
                        </pic:blipFill>
                        <pic:spPr>
                          <a:xfrm>
                            <a:off x="0" y="0"/>
                            <a:ext cx="4064507" cy="1356360"/>
                          </a:xfrm>
                          <a:prstGeom prst="rect">
                            <a:avLst/>
                          </a:prstGeom>
                        </pic:spPr>
                      </pic:pic>
                    </a:graphicData>
                  </a:graphic>
                </wp:inline>
              </w:drawing>
            </w:r>
          </w:p>
          <w:p>
            <w:pPr>
              <w:pStyle w:val="TableText"/>
              <w:spacing w:line="296" w:lineRule="auto"/>
            </w:pPr>
          </w:p>
          <w:p>
            <w:pPr>
              <w:pStyle w:val="TableText"/>
              <w:spacing w:line="297" w:lineRule="auto"/>
            </w:pPr>
          </w:p>
          <w:p>
            <w:pPr>
              <w:pStyle w:val="TableText"/>
              <w:spacing w:line="297" w:lineRule="auto"/>
            </w:pPr>
          </w:p>
          <w:p>
            <w:pPr>
              <w:pStyle w:val="TableText"/>
              <w:spacing w:line="297" w:lineRule="auto"/>
            </w:pPr>
          </w:p>
          <w:p>
            <w:pPr>
              <w:spacing w:line="63" w:lineRule="exact"/>
              <w:ind w:firstLine="91"/>
            </w:pPr>
            <w:r>
              <w:rPr>
                <w:position w:val="-1"/>
              </w:rPr>
              <w:pict>
                <v:shape id="_x0000_i1025" style="width:319.7pt;height:3.15pt;mso-position-horizontal-relative:char;mso-position-vertical-relative:line" coordorigin="0,0" coordsize="6394,63" path="m7,7l6393,7m7,7l7,62m556,7l556,62m1051,7l1051,62m1600,7l1600,62m2131,7l2131,62m2678,7l2678,62m3211,7l3211,62m3758,7l3758,62m4307,7l4307,62m4838,7l4838,62m5385,7l5385,62m5916,7l5916,62e" filled="f" strokecolor="#d9d9d9" strokeweight="0.72pt">
                  <w10:wrap type="none"/>
                </v:shape>
              </w:pict>
            </w:r>
          </w:p>
        </w:tc>
      </w:tr>
      <w:tr>
        <w:tblPrEx>
          <w:tblW w:w="7564" w:type="dxa"/>
          <w:tblInd w:w="398" w:type="dxa"/>
          <w:tblLayout w:type="fixed"/>
        </w:tblPrEx>
        <w:trPr>
          <w:trHeight w:val="864"/>
        </w:trPr>
        <w:tc>
          <w:tcPr>
            <w:tcW w:w="7564" w:type="dxa"/>
            <w:gridSpan w:val="2"/>
            <w:tcBorders>
              <w:top w:val="nil"/>
            </w:tcBorders>
            <w:vAlign w:val="top"/>
          </w:tcPr>
          <w:p>
            <w:pPr>
              <w:pStyle w:val="TableText"/>
              <w:spacing w:line="391" w:lineRule="auto"/>
            </w:pPr>
          </w:p>
          <w:p>
            <w:pPr>
              <w:pStyle w:val="TableText"/>
              <w:spacing w:before="103" w:line="212" w:lineRule="exact"/>
              <w:ind w:left="1046"/>
              <w:rPr>
                <w:rFonts w:ascii="FangSong" w:eastAsia="FangSong" w:hAnsi="FangSong" w:cs="FangSong"/>
                <w:sz w:val="18"/>
                <w:szCs w:val="18"/>
              </w:rPr>
            </w:pPr>
            <w:r>
              <w:rPr>
                <w:color w:val="4874CB"/>
                <w:spacing w:val="2"/>
                <w:position w:val="4"/>
                <w:sz w:val="36"/>
                <w:szCs w:val="36"/>
              </w:rPr>
              <w:t>—</w:t>
            </w:r>
            <w:r>
              <w:rPr>
                <w:color w:val="4874CB"/>
                <w:spacing w:val="-60"/>
                <w:position w:val="4"/>
                <w:sz w:val="36"/>
                <w:szCs w:val="36"/>
              </w:rPr>
              <w:t xml:space="preserve"> </w:t>
            </w:r>
            <w:r>
              <w:rPr>
                <w:rFonts w:ascii="Times New Roman" w:eastAsia="Times New Roman" w:hAnsi="Times New Roman" w:cs="Times New Roman"/>
                <w:color w:val="595959"/>
                <w:spacing w:val="2"/>
                <w:sz w:val="18"/>
                <w:szCs w:val="18"/>
              </w:rPr>
              <w:t>10</w:t>
            </w:r>
            <w:r>
              <w:rPr>
                <w:rFonts w:ascii="FangSong" w:eastAsia="FangSong" w:hAnsi="FangSong" w:cs="FangSong"/>
                <w:color w:val="595959"/>
                <w:spacing w:val="2"/>
                <w:sz w:val="18"/>
                <w:szCs w:val="18"/>
              </w:rPr>
              <w:t>年国债收益率</w:t>
            </w:r>
            <w:r>
              <w:rPr>
                <w:rFonts w:ascii="FangSong" w:eastAsia="FangSong" w:hAnsi="FangSong" w:cs="FangSong"/>
                <w:color w:val="595959"/>
                <w:spacing w:val="2"/>
                <w:sz w:val="18"/>
                <w:szCs w:val="18"/>
              </w:rPr>
              <w:t xml:space="preserve">   </w:t>
            </w:r>
            <w:r>
              <w:rPr>
                <w:position w:val="3"/>
                <w:sz w:val="18"/>
                <w:szCs w:val="18"/>
              </w:rPr>
              <w:drawing>
                <wp:inline distT="0" distB="0" distL="0" distR="0">
                  <wp:extent cx="272796" cy="28956"/>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xmlns:r="http://schemas.openxmlformats.org/officeDocument/2006/relationships" r:embed="rId10"/>
                          <a:stretch>
                            <a:fillRect/>
                          </a:stretch>
                        </pic:blipFill>
                        <pic:spPr>
                          <a:xfrm>
                            <a:off x="0" y="0"/>
                            <a:ext cx="272796" cy="28956"/>
                          </a:xfrm>
                          <a:prstGeom prst="rect">
                            <a:avLst/>
                          </a:prstGeom>
                        </pic:spPr>
                      </pic:pic>
                    </a:graphicData>
                  </a:graphic>
                </wp:inline>
              </w:drawing>
            </w:r>
            <w:r>
              <w:rPr>
                <w:rFonts w:ascii="FangSong" w:eastAsia="FangSong" w:hAnsi="FangSong" w:cs="FangSong"/>
                <w:color w:val="595959"/>
                <w:spacing w:val="-62"/>
                <w:sz w:val="18"/>
                <w:szCs w:val="18"/>
              </w:rPr>
              <w:t xml:space="preserve"> </w:t>
            </w:r>
            <w:r>
              <w:rPr>
                <w:rFonts w:ascii="Times New Roman" w:eastAsia="Times New Roman" w:hAnsi="Times New Roman" w:cs="Times New Roman"/>
                <w:color w:val="595959"/>
                <w:spacing w:val="2"/>
                <w:sz w:val="18"/>
                <w:szCs w:val="18"/>
              </w:rPr>
              <w:t>5</w:t>
            </w:r>
            <w:r>
              <w:rPr>
                <w:rFonts w:ascii="FangSong" w:eastAsia="FangSong" w:hAnsi="FangSong" w:cs="FangSong"/>
                <w:color w:val="595959"/>
                <w:spacing w:val="2"/>
                <w:sz w:val="18"/>
                <w:szCs w:val="18"/>
              </w:rPr>
              <w:t>年国债收益率</w:t>
            </w:r>
            <w:r>
              <w:rPr>
                <w:rFonts w:ascii="FangSong" w:eastAsia="FangSong" w:hAnsi="FangSong" w:cs="FangSong"/>
                <w:color w:val="595959"/>
                <w:spacing w:val="2"/>
                <w:sz w:val="18"/>
                <w:szCs w:val="18"/>
              </w:rPr>
              <w:t xml:space="preserve">   </w:t>
            </w:r>
            <w:r>
              <w:rPr>
                <w:position w:val="3"/>
                <w:sz w:val="18"/>
                <w:szCs w:val="18"/>
              </w:rPr>
              <w:drawing>
                <wp:inline distT="0" distB="0" distL="0" distR="0">
                  <wp:extent cx="272796" cy="28956"/>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xmlns:r="http://schemas.openxmlformats.org/officeDocument/2006/relationships" r:embed="rId11"/>
                          <a:stretch>
                            <a:fillRect/>
                          </a:stretch>
                        </pic:blipFill>
                        <pic:spPr>
                          <a:xfrm>
                            <a:off x="0" y="0"/>
                            <a:ext cx="272796" cy="28956"/>
                          </a:xfrm>
                          <a:prstGeom prst="rect">
                            <a:avLst/>
                          </a:prstGeom>
                        </pic:spPr>
                      </pic:pic>
                    </a:graphicData>
                  </a:graphic>
                </wp:inline>
              </w:drawing>
            </w:r>
            <w:r>
              <w:rPr>
                <w:rFonts w:ascii="FangSong" w:eastAsia="FangSong" w:hAnsi="FangSong" w:cs="FangSong"/>
                <w:color w:val="595959"/>
                <w:spacing w:val="-51"/>
                <w:sz w:val="18"/>
                <w:szCs w:val="18"/>
              </w:rPr>
              <w:t xml:space="preserve"> </w:t>
            </w:r>
            <w:r>
              <w:rPr>
                <w:rFonts w:ascii="Times New Roman" w:eastAsia="Times New Roman" w:hAnsi="Times New Roman" w:cs="Times New Roman"/>
                <w:color w:val="595959"/>
                <w:spacing w:val="2"/>
                <w:sz w:val="18"/>
                <w:szCs w:val="18"/>
              </w:rPr>
              <w:t>1</w:t>
            </w:r>
            <w:r>
              <w:rPr>
                <w:rFonts w:ascii="FangSong" w:eastAsia="FangSong" w:hAnsi="FangSong" w:cs="FangSong"/>
                <w:color w:val="595959"/>
                <w:spacing w:val="1"/>
                <w:sz w:val="18"/>
                <w:szCs w:val="18"/>
              </w:rPr>
              <w:t>年国债收益率</w:t>
            </w:r>
          </w:p>
        </w:tc>
      </w:tr>
    </w:tbl>
    <w:p>
      <w:pPr>
        <w:pStyle w:val="BodyText"/>
        <w:spacing w:before="87" w:line="218" w:lineRule="auto"/>
        <w:ind w:left="462"/>
        <w:rPr>
          <w:sz w:val="21"/>
          <w:szCs w:val="21"/>
        </w:rPr>
      </w:pPr>
      <w:r>
        <w:rPr>
          <w:spacing w:val="-2"/>
          <w:sz w:val="21"/>
          <w:szCs w:val="21"/>
        </w:rPr>
        <w:t>数据来源：万得</w:t>
      </w:r>
    </w:p>
    <w:p>
      <w:pPr>
        <w:pStyle w:val="BodyText"/>
        <w:spacing w:before="89" w:line="218" w:lineRule="auto"/>
        <w:ind w:left="2848"/>
        <w:rPr>
          <w:sz w:val="21"/>
          <w:szCs w:val="21"/>
        </w:rPr>
      </w:pPr>
      <w:r>
        <w:rPr>
          <w:spacing w:val="-3"/>
          <w:sz w:val="21"/>
          <w:szCs w:val="21"/>
        </w:rPr>
        <w:t>图</w:t>
      </w:r>
      <w:r>
        <w:rPr>
          <w:spacing w:val="-26"/>
          <w:sz w:val="21"/>
          <w:szCs w:val="21"/>
        </w:rPr>
        <w:t xml:space="preserve"> </w:t>
      </w:r>
      <w:r>
        <w:rPr>
          <w:rFonts w:ascii="Times New Roman" w:eastAsia="Times New Roman" w:hAnsi="Times New Roman" w:cs="Times New Roman"/>
          <w:spacing w:val="-3"/>
          <w:sz w:val="21"/>
          <w:szCs w:val="21"/>
        </w:rPr>
        <w:t xml:space="preserve">1    2023 </w:t>
      </w:r>
      <w:r>
        <w:rPr>
          <w:spacing w:val="-3"/>
          <w:sz w:val="21"/>
          <w:szCs w:val="21"/>
        </w:rPr>
        <w:t>年美债收益率表现</w:t>
      </w:r>
    </w:p>
    <w:p>
      <w:pPr>
        <w:spacing w:line="340" w:lineRule="auto"/>
        <w:rPr>
          <w:rFonts w:ascii="Arial"/>
          <w:sz w:val="21"/>
        </w:rPr>
        <w:sectPr>
          <w:headerReference w:type="default" r:id="rId12"/>
          <w:footerReference w:type="default" r:id="rId13"/>
          <w:pgSz w:w="11907" w:h="16839"/>
          <w:pgMar w:top="1118" w:right="1769" w:bottom="1162" w:left="1771" w:header="877" w:footer="986" w:gutter="0"/>
          <w:pgNumType w:start="3"/>
          <w:cols w:space="708"/>
        </w:sectPr>
      </w:pPr>
    </w:p>
    <w:p>
      <w:pPr>
        <w:pStyle w:val="BodyText"/>
        <w:spacing w:before="79" w:line="286" w:lineRule="auto"/>
        <w:ind w:left="33" w:right="26" w:firstLine="489"/>
        <w:jc w:val="both"/>
      </w:pPr>
      <w:r>
        <w:rPr>
          <w:spacing w:val="-7"/>
          <w14:textOutline w14:w="4354">
            <w14:solidFill>
              <w14:srgbClr w14:val="000000"/>
            </w14:solidFill>
            <w14:prstDash w14:val="solid"/>
            <w14:miter w14:lim="10"/>
          </w14:textOutline>
        </w:rPr>
        <w:t>在全球宏观经济不确定性增强的背景下，</w:t>
      </w:r>
      <w:r>
        <w:rPr>
          <w:spacing w:val="-54"/>
        </w:rPr>
        <w:t xml:space="preserve"> </w:t>
      </w:r>
      <w:r>
        <w:rPr>
          <w:spacing w:val="-7"/>
          <w14:textOutline w14:w="4354">
            <w14:solidFill>
              <w14:srgbClr w14:val="000000"/>
            </w14:solidFill>
            <w14:prstDash w14:val="solid"/>
            <w14:miter w14:lim="10"/>
          </w14:textOutline>
        </w:rPr>
        <w:t>固定收益</w:t>
      </w:r>
      <w:r>
        <w:rPr>
          <w:rFonts w:ascii="Times New Roman" w:eastAsia="Times New Roman" w:hAnsi="Times New Roman" w:cs="Times New Roman"/>
          <w:b/>
          <w:bCs/>
          <w:spacing w:val="-7"/>
        </w:rPr>
        <w:t>ETF</w:t>
      </w:r>
      <w:r>
        <w:rPr>
          <w:spacing w:val="-7"/>
          <w14:textOutline w14:w="4354">
            <w14:solidFill>
              <w14:srgbClr w14:val="000000"/>
            </w14:solidFill>
            <w14:prstDash w14:val="solid"/>
            <w14:miter w14:lim="10"/>
          </w14:textOutline>
        </w:rPr>
        <w:t>的需求</w:t>
      </w:r>
      <w:r>
        <w:rPr>
          <w:spacing w:val="-8"/>
          <w14:textOutline w14:w="4354">
            <w14:solidFill>
              <w14:srgbClr w14:val="000000"/>
            </w14:solidFill>
            <w14:prstDash w14:val="solid"/>
            <w14:miter w14:lim="10"/>
          </w14:textOutline>
        </w:rPr>
        <w:t>提升，</w:t>
      </w:r>
      <w:r>
        <w:rPr>
          <w:spacing w:val="-38"/>
        </w:rPr>
        <w:t xml:space="preserve"> </w:t>
      </w:r>
      <w:r>
        <w:rPr>
          <w:spacing w:val="-8"/>
          <w14:textOutline w14:w="4354">
            <w14:solidFill>
              <w14:srgbClr w14:val="000000"/>
            </w14:solidFill>
            <w14:prstDash w14:val="solid"/>
            <w14:miter w14:lim="10"/>
          </w14:textOutline>
        </w:rPr>
        <w:t>资金跟</w:t>
      </w:r>
      <w:r>
        <w:t xml:space="preserve"> </w:t>
      </w:r>
      <w:r>
        <w:rPr>
          <w:spacing w:val="-7"/>
          <w14:textOutline w14:w="4354">
            <w14:solidFill>
              <w14:srgbClr w14:val="000000"/>
            </w14:solidFill>
            <w14:prstDash w14:val="solid"/>
            <w14:miter w14:lim="10"/>
          </w14:textOutline>
        </w:rPr>
        <w:t>踪规模持续增长。</w:t>
      </w:r>
      <w:r>
        <w:rPr>
          <w:spacing w:val="-7"/>
        </w:rPr>
        <w:t>截至</w:t>
      </w:r>
      <w:r>
        <w:rPr>
          <w:rFonts w:ascii="Times New Roman" w:eastAsia="Times New Roman" w:hAnsi="Times New Roman" w:cs="Times New Roman"/>
          <w:spacing w:val="-7"/>
        </w:rPr>
        <w:t>2023</w:t>
      </w:r>
      <w:r>
        <w:rPr>
          <w:spacing w:val="-7"/>
        </w:rPr>
        <w:t>年底，</w:t>
      </w:r>
      <w:r>
        <w:rPr>
          <w:spacing w:val="-39"/>
        </w:rPr>
        <w:t xml:space="preserve"> </w:t>
      </w:r>
      <w:r>
        <w:rPr>
          <w:spacing w:val="-7"/>
        </w:rPr>
        <w:t>美国市场固定收益</w:t>
      </w:r>
      <w:r>
        <w:rPr>
          <w:rFonts w:ascii="Times New Roman" w:eastAsia="Times New Roman" w:hAnsi="Times New Roman" w:cs="Times New Roman"/>
          <w:spacing w:val="-7"/>
        </w:rPr>
        <w:t>E</w:t>
      </w:r>
      <w:r>
        <w:rPr>
          <w:rFonts w:ascii="Times New Roman" w:eastAsia="Times New Roman" w:hAnsi="Times New Roman" w:cs="Times New Roman"/>
          <w:spacing w:val="-8"/>
        </w:rPr>
        <w:t>TF</w:t>
      </w:r>
      <w:r>
        <w:rPr>
          <w:spacing w:val="-8"/>
        </w:rPr>
        <w:t>数量共</w:t>
      </w:r>
      <w:r>
        <w:rPr>
          <w:rFonts w:ascii="Times New Roman" w:eastAsia="Times New Roman" w:hAnsi="Times New Roman" w:cs="Times New Roman"/>
          <w:spacing w:val="-8"/>
        </w:rPr>
        <w:t>648</w:t>
      </w:r>
      <w:r>
        <w:rPr>
          <w:spacing w:val="-8"/>
        </w:rPr>
        <w:t>只，</w:t>
      </w:r>
      <w:r>
        <w:rPr>
          <w:spacing w:val="-70"/>
        </w:rPr>
        <w:t xml:space="preserve"> </w:t>
      </w:r>
      <w:r>
        <w:rPr>
          <w:spacing w:val="-8"/>
        </w:rPr>
        <w:t>规模约为</w:t>
      </w:r>
      <w:r>
        <w:t xml:space="preserve"> </w:t>
      </w:r>
      <w:r>
        <w:rPr>
          <w:rFonts w:ascii="Times New Roman" w:eastAsia="Times New Roman" w:hAnsi="Times New Roman" w:cs="Times New Roman"/>
          <w:spacing w:val="-6"/>
        </w:rPr>
        <w:t>1.51</w:t>
      </w:r>
      <w:r>
        <w:rPr>
          <w:spacing w:val="-6"/>
        </w:rPr>
        <w:t>万亿美元，</w:t>
      </w:r>
      <w:r>
        <w:rPr>
          <w:spacing w:val="72"/>
        </w:rPr>
        <w:t xml:space="preserve"> </w:t>
      </w:r>
      <w:r>
        <w:rPr>
          <w:spacing w:val="-6"/>
        </w:rPr>
        <w:t>同比增长</w:t>
      </w:r>
      <w:r>
        <w:rPr>
          <w:rFonts w:ascii="Times New Roman" w:eastAsia="Times New Roman" w:hAnsi="Times New Roman" w:cs="Times New Roman"/>
          <w:spacing w:val="-6"/>
        </w:rPr>
        <w:t>14.39%</w:t>
      </w:r>
      <w:r>
        <w:rPr>
          <w:spacing w:val="-6"/>
        </w:rPr>
        <w:t>，近</w:t>
      </w:r>
      <w:r>
        <w:rPr>
          <w:rFonts w:ascii="Times New Roman" w:eastAsia="Times New Roman" w:hAnsi="Times New Roman" w:cs="Times New Roman"/>
          <w:spacing w:val="-6"/>
        </w:rPr>
        <w:t>5</w:t>
      </w:r>
      <w:r>
        <w:rPr>
          <w:spacing w:val="-6"/>
        </w:rPr>
        <w:t>年规模复合增长率为</w:t>
      </w:r>
      <w:r>
        <w:rPr>
          <w:rFonts w:ascii="Times New Roman" w:eastAsia="Times New Roman" w:hAnsi="Times New Roman" w:cs="Times New Roman"/>
          <w:spacing w:val="-6"/>
        </w:rPr>
        <w:t>15.7%</w:t>
      </w:r>
      <w:r>
        <w:rPr>
          <w:spacing w:val="-6"/>
        </w:rPr>
        <w:t>。</w:t>
      </w:r>
      <w:r>
        <w:rPr>
          <w:rFonts w:ascii="Times New Roman" w:eastAsia="Times New Roman" w:hAnsi="Times New Roman" w:cs="Times New Roman"/>
          <w:spacing w:val="-6"/>
        </w:rPr>
        <w:t>2023</w:t>
      </w:r>
      <w:r>
        <w:rPr>
          <w:spacing w:val="-6"/>
        </w:rPr>
        <w:t>年资金净</w:t>
      </w:r>
      <w:r>
        <w:t xml:space="preserve"> </w:t>
      </w:r>
      <w:r>
        <w:rPr>
          <w:spacing w:val="-7"/>
        </w:rPr>
        <w:t>流入近</w:t>
      </w:r>
      <w:r>
        <w:rPr>
          <w:rFonts w:ascii="Times New Roman" w:eastAsia="Times New Roman" w:hAnsi="Times New Roman" w:cs="Times New Roman"/>
          <w:spacing w:val="-7"/>
        </w:rPr>
        <w:t>2000</w:t>
      </w:r>
      <w:r>
        <w:rPr>
          <w:spacing w:val="-7"/>
        </w:rPr>
        <w:t>亿美元，与</w:t>
      </w:r>
      <w:r>
        <w:rPr>
          <w:rFonts w:ascii="Times New Roman" w:eastAsia="Times New Roman" w:hAnsi="Times New Roman" w:cs="Times New Roman"/>
          <w:spacing w:val="-7"/>
        </w:rPr>
        <w:t>2022</w:t>
      </w:r>
      <w:r>
        <w:rPr>
          <w:spacing w:val="-7"/>
        </w:rPr>
        <w:t>年持平。因美债收益率基本回落至年初水平，</w:t>
      </w:r>
      <w:r>
        <w:rPr>
          <w:spacing w:val="54"/>
        </w:rPr>
        <w:t xml:space="preserve"> </w:t>
      </w:r>
      <w:r>
        <w:rPr>
          <w:spacing w:val="-7"/>
        </w:rPr>
        <w:t>固定收</w:t>
      </w:r>
      <w:r>
        <w:t xml:space="preserve"> </w:t>
      </w:r>
      <w:r>
        <w:rPr>
          <w:spacing w:val="6"/>
        </w:rPr>
        <w:t>益</w:t>
      </w:r>
      <w:r>
        <w:rPr>
          <w:rFonts w:ascii="Times New Roman" w:eastAsia="Times New Roman" w:hAnsi="Times New Roman" w:cs="Times New Roman"/>
        </w:rPr>
        <w:t>ETF</w:t>
      </w:r>
      <w:r>
        <w:rPr>
          <w:spacing w:val="6"/>
        </w:rPr>
        <w:t>规模的提升主要源于资金流入而非底层资产估值的提升，规模增速相较</w:t>
      </w:r>
      <w:r>
        <w:rPr>
          <w:spacing w:val="2"/>
        </w:rPr>
        <w:t xml:space="preserve"> </w:t>
      </w:r>
      <w:r>
        <w:rPr>
          <w:rFonts w:ascii="Times New Roman" w:eastAsia="Times New Roman" w:hAnsi="Times New Roman" w:cs="Times New Roman"/>
          <w:spacing w:val="-3"/>
        </w:rPr>
        <w:t>2022</w:t>
      </w:r>
      <w:r>
        <w:rPr>
          <w:spacing w:val="-3"/>
        </w:rPr>
        <w:t>年同期（</w:t>
      </w:r>
      <w:r>
        <w:rPr>
          <w:rFonts w:ascii="Times New Roman" w:eastAsia="Times New Roman" w:hAnsi="Times New Roman" w:cs="Times New Roman"/>
          <w:spacing w:val="-3"/>
        </w:rPr>
        <w:t>3.3%</w:t>
      </w:r>
      <w:r>
        <w:rPr>
          <w:spacing w:val="-3"/>
        </w:rPr>
        <w:t>）大幅提升。</w:t>
      </w:r>
    </w:p>
    <w:p>
      <w:pPr>
        <w:spacing w:line="286" w:lineRule="auto"/>
        <w:sectPr>
          <w:headerReference w:type="default" r:id="rId14"/>
          <w:footerReference w:type="default" r:id="rId15"/>
          <w:type w:val="nextPage"/>
          <w:pgSz w:w="11907" w:h="16839"/>
          <w:pgMar w:top="1118" w:right="1769" w:bottom="1162" w:left="1771" w:header="877" w:footer="986" w:gutter="0"/>
          <w:pgNumType w:start="4"/>
          <w:cols w:space="708"/>
          <w:titlePg w:val="0"/>
        </w:sectPr>
      </w:pPr>
    </w:p>
    <w:p>
      <w:pPr>
        <w:spacing w:before="159"/>
      </w:pPr>
    </w:p>
    <w:tbl>
      <w:tblPr>
        <w:tblStyle w:val="TableNormal1"/>
        <w:tblW w:w="8111" w:type="dxa"/>
        <w:tblInd w:w="306" w:type="dxa"/>
        <w:tblBorders>
          <w:top w:val="nil"/>
          <w:left w:val="nil"/>
          <w:bottom w:val="nil"/>
          <w:right w:val="nil"/>
          <w:insideH w:val="nil"/>
          <w:insideV w:val="nil"/>
        </w:tblBorders>
        <w:tblLayout w:type="fixed"/>
      </w:tblPr>
      <w:tblGrid>
        <w:gridCol w:w="482"/>
        <w:gridCol w:w="6968"/>
        <w:gridCol w:w="661"/>
      </w:tblGrid>
      <w:tr>
        <w:tblPrEx>
          <w:tblW w:w="8111" w:type="dxa"/>
          <w:tblInd w:w="306" w:type="dxa"/>
          <w:tblBorders>
            <w:top w:val="nil"/>
            <w:left w:val="nil"/>
            <w:bottom w:val="nil"/>
            <w:right w:val="nil"/>
            <w:insideH w:val="nil"/>
            <w:insideV w:val="nil"/>
          </w:tblBorders>
          <w:tblLayout w:type="fixed"/>
        </w:tblPrEx>
        <w:trPr>
          <w:trHeight w:val="365"/>
        </w:trPr>
        <w:tc>
          <w:tcPr>
            <w:tcW w:w="482" w:type="dxa"/>
            <w:vMerge w:val="restart"/>
            <w:tcBorders>
              <w:top w:val="single" w:sz="4" w:space="0" w:color="D9D9D9"/>
              <w:left w:val="single" w:sz="4" w:space="0" w:color="D9D9D9"/>
              <w:bottom w:val="nil"/>
            </w:tcBorders>
            <w:vAlign w:val="top"/>
          </w:tcPr>
          <w:p>
            <w:pPr>
              <w:spacing w:before="152" w:line="186" w:lineRule="auto"/>
              <w:ind w:left="133"/>
              <w:rPr>
                <w:rFonts w:ascii="Times New Roman" w:eastAsia="Times New Roman" w:hAnsi="Times New Roman" w:cs="Times New Roman"/>
                <w:sz w:val="18"/>
                <w:szCs w:val="18"/>
              </w:rPr>
            </w:pPr>
            <w:r>
              <w:rPr>
                <w:rFonts w:ascii="Times New Roman" w:eastAsia="Times New Roman" w:hAnsi="Times New Roman" w:cs="Times New Roman"/>
                <w:color w:val="595959"/>
                <w:spacing w:val="-2"/>
                <w:sz w:val="18"/>
                <w:szCs w:val="18"/>
              </w:rPr>
              <w:t>700</w:t>
            </w:r>
          </w:p>
          <w:p>
            <w:pPr>
              <w:pStyle w:val="TableText"/>
              <w:spacing w:line="353" w:lineRule="auto"/>
            </w:pPr>
          </w:p>
          <w:p>
            <w:pPr>
              <w:spacing w:before="52" w:line="186" w:lineRule="auto"/>
              <w:ind w:left="134"/>
              <w:rPr>
                <w:rFonts w:ascii="Times New Roman" w:eastAsia="Times New Roman" w:hAnsi="Times New Roman" w:cs="Times New Roman"/>
                <w:sz w:val="18"/>
                <w:szCs w:val="18"/>
              </w:rPr>
            </w:pPr>
            <w:r>
              <w:rPr>
                <w:rFonts w:ascii="Times New Roman" w:eastAsia="Times New Roman" w:hAnsi="Times New Roman" w:cs="Times New Roman"/>
                <w:color w:val="595959"/>
                <w:spacing w:val="-3"/>
                <w:sz w:val="18"/>
                <w:szCs w:val="18"/>
              </w:rPr>
              <w:t>600</w:t>
            </w:r>
          </w:p>
          <w:p>
            <w:pPr>
              <w:pStyle w:val="TableText"/>
              <w:spacing w:line="353" w:lineRule="auto"/>
            </w:pPr>
          </w:p>
          <w:p>
            <w:pPr>
              <w:spacing w:before="52" w:line="186" w:lineRule="auto"/>
              <w:ind w:left="135"/>
              <w:rPr>
                <w:rFonts w:ascii="Times New Roman" w:eastAsia="Times New Roman" w:hAnsi="Times New Roman" w:cs="Times New Roman"/>
                <w:sz w:val="18"/>
                <w:szCs w:val="18"/>
              </w:rPr>
            </w:pPr>
            <w:r>
              <w:rPr>
                <w:rFonts w:ascii="Times New Roman" w:eastAsia="Times New Roman" w:hAnsi="Times New Roman" w:cs="Times New Roman"/>
                <w:color w:val="595959"/>
                <w:spacing w:val="-3"/>
                <w:sz w:val="18"/>
                <w:szCs w:val="18"/>
              </w:rPr>
              <w:t>500</w:t>
            </w:r>
          </w:p>
          <w:p>
            <w:pPr>
              <w:pStyle w:val="TableText"/>
              <w:spacing w:line="353" w:lineRule="auto"/>
            </w:pPr>
          </w:p>
          <w:p>
            <w:pPr>
              <w:spacing w:before="52" w:line="186" w:lineRule="auto"/>
              <w:ind w:left="129"/>
              <w:rPr>
                <w:rFonts w:ascii="Times New Roman" w:eastAsia="Times New Roman" w:hAnsi="Times New Roman" w:cs="Times New Roman"/>
                <w:sz w:val="18"/>
                <w:szCs w:val="18"/>
              </w:rPr>
            </w:pPr>
            <w:r>
              <w:rPr>
                <w:rFonts w:ascii="Times New Roman" w:eastAsia="Times New Roman" w:hAnsi="Times New Roman" w:cs="Times New Roman"/>
                <w:color w:val="595959"/>
                <w:spacing w:val="-1"/>
                <w:sz w:val="18"/>
                <w:szCs w:val="18"/>
              </w:rPr>
              <w:t>400</w:t>
            </w:r>
          </w:p>
          <w:p>
            <w:pPr>
              <w:pStyle w:val="TableText"/>
              <w:spacing w:line="353" w:lineRule="auto"/>
            </w:pPr>
          </w:p>
          <w:p>
            <w:pPr>
              <w:spacing w:before="52" w:line="186" w:lineRule="auto"/>
              <w:ind w:left="134"/>
              <w:rPr>
                <w:rFonts w:ascii="Times New Roman" w:eastAsia="Times New Roman" w:hAnsi="Times New Roman" w:cs="Times New Roman"/>
                <w:sz w:val="18"/>
                <w:szCs w:val="18"/>
              </w:rPr>
            </w:pPr>
            <w:r>
              <w:rPr>
                <w:rFonts w:ascii="Times New Roman" w:eastAsia="Times New Roman" w:hAnsi="Times New Roman" w:cs="Times New Roman"/>
                <w:color w:val="595959"/>
                <w:spacing w:val="-3"/>
                <w:sz w:val="18"/>
                <w:szCs w:val="18"/>
              </w:rPr>
              <w:t>300</w:t>
            </w:r>
          </w:p>
          <w:p>
            <w:pPr>
              <w:pStyle w:val="TableText"/>
              <w:spacing w:line="353" w:lineRule="auto"/>
            </w:pPr>
          </w:p>
          <w:p>
            <w:pPr>
              <w:spacing w:before="52" w:line="186" w:lineRule="auto"/>
              <w:ind w:left="130"/>
              <w:rPr>
                <w:rFonts w:ascii="Times New Roman" w:eastAsia="Times New Roman" w:hAnsi="Times New Roman" w:cs="Times New Roman"/>
                <w:sz w:val="18"/>
                <w:szCs w:val="18"/>
              </w:rPr>
            </w:pPr>
            <w:r>
              <w:rPr>
                <w:rFonts w:ascii="Times New Roman" w:eastAsia="Times New Roman" w:hAnsi="Times New Roman" w:cs="Times New Roman"/>
                <w:color w:val="595959"/>
                <w:spacing w:val="-1"/>
                <w:sz w:val="18"/>
                <w:szCs w:val="18"/>
              </w:rPr>
              <w:t>200</w:t>
            </w:r>
          </w:p>
          <w:p>
            <w:pPr>
              <w:pStyle w:val="TableText"/>
              <w:spacing w:line="353" w:lineRule="auto"/>
            </w:pPr>
          </w:p>
          <w:p>
            <w:pPr>
              <w:spacing w:before="51" w:line="186" w:lineRule="auto"/>
              <w:ind w:left="147"/>
              <w:rPr>
                <w:rFonts w:ascii="Times New Roman" w:eastAsia="Times New Roman" w:hAnsi="Times New Roman" w:cs="Times New Roman"/>
                <w:sz w:val="18"/>
                <w:szCs w:val="18"/>
              </w:rPr>
            </w:pPr>
            <w:r>
              <w:rPr>
                <w:rFonts w:ascii="Times New Roman" w:eastAsia="Times New Roman" w:hAnsi="Times New Roman" w:cs="Times New Roman"/>
                <w:color w:val="595959"/>
                <w:spacing w:val="-7"/>
                <w:sz w:val="18"/>
                <w:szCs w:val="18"/>
              </w:rPr>
              <w:t>100</w:t>
            </w:r>
          </w:p>
          <w:p>
            <w:pPr>
              <w:pStyle w:val="TableText"/>
              <w:spacing w:line="353" w:lineRule="auto"/>
            </w:pPr>
          </w:p>
          <w:p>
            <w:pPr>
              <w:spacing w:before="52" w:line="186" w:lineRule="auto"/>
              <w:ind w:left="313"/>
              <w:rPr>
                <w:rFonts w:ascii="Times New Roman" w:eastAsia="Times New Roman" w:hAnsi="Times New Roman" w:cs="Times New Roman"/>
                <w:sz w:val="18"/>
                <w:szCs w:val="18"/>
              </w:rPr>
            </w:pPr>
            <w:r>
              <w:rPr>
                <w:rFonts w:ascii="Times New Roman" w:eastAsia="Times New Roman" w:hAnsi="Times New Roman" w:cs="Times New Roman"/>
                <w:color w:val="595959"/>
                <w:sz w:val="18"/>
                <w:szCs w:val="18"/>
              </w:rPr>
              <w:t>0</w:t>
            </w:r>
          </w:p>
        </w:tc>
        <w:tc>
          <w:tcPr>
            <w:tcW w:w="6968" w:type="dxa"/>
            <w:tcBorders>
              <w:top w:val="single" w:sz="4" w:space="0" w:color="D9D9D9"/>
            </w:tcBorders>
            <w:vAlign w:val="top"/>
          </w:tcPr>
          <w:p>
            <w:pPr>
              <w:spacing w:before="179" w:line="186" w:lineRule="auto"/>
              <w:ind w:left="6006"/>
              <w:rPr>
                <w:rFonts w:ascii="Times New Roman" w:eastAsia="Times New Roman" w:hAnsi="Times New Roman" w:cs="Times New Roman"/>
                <w:sz w:val="18"/>
                <w:szCs w:val="18"/>
              </w:rPr>
            </w:pPr>
            <w:r>
              <w:rPr>
                <w:rFonts w:ascii="Times New Roman" w:eastAsia="Times New Roman" w:hAnsi="Times New Roman" w:cs="Times New Roman"/>
                <w:color w:val="404040"/>
                <w:spacing w:val="-3"/>
                <w:sz w:val="18"/>
                <w:szCs w:val="18"/>
              </w:rPr>
              <w:t>15146</w:t>
            </w:r>
          </w:p>
        </w:tc>
        <w:tc>
          <w:tcPr>
            <w:tcW w:w="661" w:type="dxa"/>
            <w:vMerge w:val="restart"/>
            <w:tcBorders>
              <w:top w:val="single" w:sz="4" w:space="0" w:color="D9D9D9"/>
              <w:bottom w:val="nil"/>
              <w:right w:val="single" w:sz="4" w:space="0" w:color="D9D9D9"/>
            </w:tcBorders>
            <w:vAlign w:val="top"/>
          </w:tcPr>
          <w:p>
            <w:pPr>
              <w:spacing w:before="152" w:line="186" w:lineRule="auto"/>
              <w:ind w:left="101"/>
              <w:rPr>
                <w:rFonts w:ascii="Times New Roman" w:eastAsia="Times New Roman" w:hAnsi="Times New Roman" w:cs="Times New Roman"/>
                <w:sz w:val="18"/>
                <w:szCs w:val="18"/>
              </w:rPr>
            </w:pPr>
            <w:r>
              <w:rPr>
                <w:rFonts w:ascii="Times New Roman" w:eastAsia="Times New Roman" w:hAnsi="Times New Roman" w:cs="Times New Roman"/>
                <w:color w:val="595959"/>
                <w:spacing w:val="-5"/>
                <w:sz w:val="18"/>
                <w:szCs w:val="18"/>
              </w:rPr>
              <w:t>16000</w:t>
            </w:r>
          </w:p>
          <w:p>
            <w:pPr>
              <w:pStyle w:val="TableText"/>
              <w:spacing w:line="282" w:lineRule="auto"/>
            </w:pPr>
          </w:p>
          <w:p>
            <w:pPr>
              <w:spacing w:before="52" w:line="186" w:lineRule="auto"/>
              <w:ind w:left="101"/>
              <w:rPr>
                <w:rFonts w:ascii="Times New Roman" w:eastAsia="Times New Roman" w:hAnsi="Times New Roman" w:cs="Times New Roman"/>
                <w:sz w:val="18"/>
                <w:szCs w:val="18"/>
              </w:rPr>
            </w:pPr>
            <w:r>
              <w:rPr>
                <w:rFonts w:ascii="Times New Roman" w:eastAsia="Times New Roman" w:hAnsi="Times New Roman" w:cs="Times New Roman"/>
                <w:color w:val="595959"/>
                <w:spacing w:val="-5"/>
                <w:sz w:val="18"/>
                <w:szCs w:val="18"/>
              </w:rPr>
              <w:t>14000</w:t>
            </w:r>
          </w:p>
          <w:p>
            <w:pPr>
              <w:pStyle w:val="TableText"/>
              <w:spacing w:line="282" w:lineRule="auto"/>
            </w:pPr>
          </w:p>
          <w:p>
            <w:pPr>
              <w:spacing w:before="52" w:line="186" w:lineRule="auto"/>
              <w:ind w:left="101"/>
              <w:rPr>
                <w:rFonts w:ascii="Times New Roman" w:eastAsia="Times New Roman" w:hAnsi="Times New Roman" w:cs="Times New Roman"/>
                <w:sz w:val="18"/>
                <w:szCs w:val="18"/>
              </w:rPr>
            </w:pPr>
            <w:r>
              <w:rPr>
                <w:rFonts w:ascii="Times New Roman" w:eastAsia="Times New Roman" w:hAnsi="Times New Roman" w:cs="Times New Roman"/>
                <w:color w:val="595959"/>
                <w:spacing w:val="-5"/>
                <w:sz w:val="18"/>
                <w:szCs w:val="18"/>
              </w:rPr>
              <w:t>12000</w:t>
            </w:r>
          </w:p>
          <w:p>
            <w:pPr>
              <w:pStyle w:val="TableText"/>
              <w:spacing w:line="282" w:lineRule="auto"/>
            </w:pPr>
          </w:p>
          <w:p>
            <w:pPr>
              <w:spacing w:before="52" w:line="186" w:lineRule="auto"/>
              <w:ind w:left="101"/>
              <w:rPr>
                <w:rFonts w:ascii="Times New Roman" w:eastAsia="Times New Roman" w:hAnsi="Times New Roman" w:cs="Times New Roman"/>
                <w:sz w:val="18"/>
                <w:szCs w:val="18"/>
              </w:rPr>
            </w:pPr>
            <w:r>
              <w:rPr>
                <w:rFonts w:ascii="Times New Roman" w:eastAsia="Times New Roman" w:hAnsi="Times New Roman" w:cs="Times New Roman"/>
                <w:color w:val="595959"/>
                <w:spacing w:val="-5"/>
                <w:sz w:val="18"/>
                <w:szCs w:val="18"/>
              </w:rPr>
              <w:t>10000</w:t>
            </w:r>
          </w:p>
          <w:p>
            <w:pPr>
              <w:pStyle w:val="TableText"/>
              <w:spacing w:line="282" w:lineRule="auto"/>
            </w:pPr>
          </w:p>
          <w:p>
            <w:pPr>
              <w:spacing w:before="53" w:line="186" w:lineRule="auto"/>
              <w:ind w:left="91"/>
              <w:rPr>
                <w:rFonts w:ascii="Times New Roman" w:eastAsia="Times New Roman" w:hAnsi="Times New Roman" w:cs="Times New Roman"/>
                <w:sz w:val="18"/>
                <w:szCs w:val="18"/>
              </w:rPr>
            </w:pPr>
            <w:r>
              <w:rPr>
                <w:rFonts w:ascii="Times New Roman" w:eastAsia="Times New Roman" w:hAnsi="Times New Roman" w:cs="Times New Roman"/>
                <w:color w:val="595959"/>
                <w:spacing w:val="-3"/>
                <w:sz w:val="18"/>
                <w:szCs w:val="18"/>
              </w:rPr>
              <w:t>8000</w:t>
            </w:r>
          </w:p>
          <w:p>
            <w:pPr>
              <w:pStyle w:val="TableText"/>
              <w:spacing w:line="282" w:lineRule="auto"/>
            </w:pPr>
          </w:p>
          <w:p>
            <w:pPr>
              <w:spacing w:before="52" w:line="186" w:lineRule="auto"/>
              <w:ind w:left="88"/>
              <w:rPr>
                <w:rFonts w:ascii="Times New Roman" w:eastAsia="Times New Roman" w:hAnsi="Times New Roman" w:cs="Times New Roman"/>
                <w:sz w:val="18"/>
                <w:szCs w:val="18"/>
              </w:rPr>
            </w:pPr>
            <w:r>
              <w:rPr>
                <w:rFonts w:ascii="Times New Roman" w:eastAsia="Times New Roman" w:hAnsi="Times New Roman" w:cs="Times New Roman"/>
                <w:color w:val="595959"/>
                <w:spacing w:val="-2"/>
                <w:sz w:val="18"/>
                <w:szCs w:val="18"/>
              </w:rPr>
              <w:t>6000</w:t>
            </w:r>
          </w:p>
          <w:p>
            <w:pPr>
              <w:pStyle w:val="TableText"/>
              <w:spacing w:line="282" w:lineRule="auto"/>
            </w:pPr>
          </w:p>
          <w:p>
            <w:pPr>
              <w:spacing w:before="53" w:line="186" w:lineRule="auto"/>
              <w:ind w:left="83"/>
              <w:rPr>
                <w:rFonts w:ascii="Times New Roman" w:eastAsia="Times New Roman" w:hAnsi="Times New Roman" w:cs="Times New Roman"/>
                <w:sz w:val="18"/>
                <w:szCs w:val="18"/>
              </w:rPr>
            </w:pPr>
            <w:r>
              <w:rPr>
                <w:rFonts w:ascii="Times New Roman" w:eastAsia="Times New Roman" w:hAnsi="Times New Roman" w:cs="Times New Roman"/>
                <w:color w:val="595959"/>
                <w:spacing w:val="-1"/>
                <w:sz w:val="18"/>
                <w:szCs w:val="18"/>
              </w:rPr>
              <w:t>4000</w:t>
            </w:r>
          </w:p>
          <w:p>
            <w:pPr>
              <w:pStyle w:val="TableText"/>
              <w:spacing w:line="282" w:lineRule="auto"/>
            </w:pPr>
          </w:p>
          <w:p>
            <w:pPr>
              <w:spacing w:before="53" w:line="186" w:lineRule="auto"/>
              <w:ind w:left="84"/>
              <w:rPr>
                <w:rFonts w:ascii="Times New Roman" w:eastAsia="Times New Roman" w:hAnsi="Times New Roman" w:cs="Times New Roman"/>
                <w:sz w:val="18"/>
                <w:szCs w:val="18"/>
              </w:rPr>
            </w:pPr>
            <w:r>
              <w:rPr>
                <w:rFonts w:ascii="Times New Roman" w:eastAsia="Times New Roman" w:hAnsi="Times New Roman" w:cs="Times New Roman"/>
                <w:color w:val="595959"/>
                <w:spacing w:val="-1"/>
                <w:sz w:val="18"/>
                <w:szCs w:val="18"/>
              </w:rPr>
              <w:t>2000</w:t>
            </w:r>
          </w:p>
          <w:p>
            <w:pPr>
              <w:pStyle w:val="TableText"/>
              <w:spacing w:line="282" w:lineRule="auto"/>
            </w:pPr>
          </w:p>
          <w:p>
            <w:pPr>
              <w:spacing w:before="52" w:line="186" w:lineRule="auto"/>
              <w:ind w:left="87"/>
              <w:rPr>
                <w:rFonts w:ascii="Times New Roman" w:eastAsia="Times New Roman" w:hAnsi="Times New Roman" w:cs="Times New Roman"/>
                <w:sz w:val="18"/>
                <w:szCs w:val="18"/>
              </w:rPr>
            </w:pPr>
            <w:r>
              <w:rPr>
                <w:rFonts w:ascii="Times New Roman" w:eastAsia="Times New Roman" w:hAnsi="Times New Roman" w:cs="Times New Roman"/>
                <w:color w:val="595959"/>
                <w:sz w:val="18"/>
                <w:szCs w:val="18"/>
              </w:rPr>
              <w:t>0</w:t>
            </w:r>
          </w:p>
        </w:tc>
      </w:tr>
      <w:tr>
        <w:tblPrEx>
          <w:tblW w:w="8111" w:type="dxa"/>
          <w:tblInd w:w="306" w:type="dxa"/>
          <w:tblLayout w:type="fixed"/>
        </w:tblPrEx>
        <w:trPr>
          <w:trHeight w:val="3889"/>
        </w:trPr>
        <w:tc>
          <w:tcPr>
            <w:tcW w:w="482" w:type="dxa"/>
            <w:vMerge/>
            <w:tcBorders>
              <w:top w:val="nil"/>
              <w:left w:val="single" w:sz="4" w:space="0" w:color="D9D9D9"/>
              <w:bottom w:val="nil"/>
            </w:tcBorders>
            <w:vAlign w:val="top"/>
          </w:tcPr>
          <w:p>
            <w:pPr>
              <w:pStyle w:val="TableText"/>
            </w:pPr>
          </w:p>
        </w:tc>
        <w:tc>
          <w:tcPr>
            <w:tcW w:w="6968" w:type="dxa"/>
            <w:vAlign w:val="top"/>
          </w:tcPr>
          <w:p>
            <w:pPr>
              <w:pStyle w:val="TableText"/>
              <w:spacing w:line="255" w:lineRule="auto"/>
            </w:pPr>
            <w:r>
              <w:pict>
                <v:rect id="_x0000_s1026" style="width:341.05pt;height:0.75pt;margin-top:191.01pt;margin-left:-344.79pt;mso-position-horizontal-relative:right-margin-area;mso-position-vertical-relative:top-margin-area;position:absolute;z-index:251661312" filled="t" fillcolor="#d9d9d9" stroked="f"/>
              </w:pict>
            </w:r>
            <w:r>
              <w:pict>
                <v:rect id="_x0000_s1027" style="width:70.45pt;height:3.15pt;margin-top:175.41pt;margin-left:-311.79pt;mso-position-horizontal-relative:right-margin-area;mso-position-vertical-relative:top-margin-area;position:absolute;z-index:251662336" filled="t" fillcolor="#f2ba02" stroked="f"/>
              </w:pict>
            </w:r>
            <w:r>
              <w:pict>
                <v:rect id="_x0000_s1028" style="width:70.45pt;height:3.75pt;margin-top:163.17pt;margin-left:-107.19pt;mso-position-horizontal-relative:right-margin-area;mso-position-vertical-relative:top-margin-area;position:absolute;z-index:251660288" filled="t" fillcolor="#f2ba02" stroked="f"/>
              </w:pict>
            </w:r>
          </w:p>
          <w:p>
            <w:pPr>
              <w:spacing w:before="51" w:line="115" w:lineRule="exact"/>
              <w:ind w:left="4642"/>
              <w:rPr>
                <w:rFonts w:ascii="Times New Roman" w:eastAsia="Times New Roman" w:hAnsi="Times New Roman" w:cs="Times New Roman"/>
                <w:sz w:val="18"/>
                <w:szCs w:val="18"/>
              </w:rPr>
            </w:pPr>
            <w:r>
              <w:drawing>
                <wp:anchor distT="0" distB="0" distL="0" distR="0" simplePos="0" relativeHeight="251659264" behindDoc="1" locked="0" layoutInCell="1" allowOverlap="1">
                  <wp:simplePos x="0" y="0"/>
                  <wp:positionH relativeFrom="column">
                    <wp:posOffset>262255</wp:posOffset>
                  </wp:positionH>
                  <wp:positionV relativeFrom="paragraph">
                    <wp:posOffset>-122156</wp:posOffset>
                  </wp:positionV>
                  <wp:extent cx="3898392" cy="2389632"/>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xmlns:r="http://schemas.openxmlformats.org/officeDocument/2006/relationships" r:embed="rId16"/>
                          <a:stretch>
                            <a:fillRect/>
                          </a:stretch>
                        </pic:blipFill>
                        <pic:spPr>
                          <a:xfrm>
                            <a:off x="0" y="0"/>
                            <a:ext cx="3898392" cy="2389632"/>
                          </a:xfrm>
                          <a:prstGeom prst="rect">
                            <a:avLst/>
                          </a:prstGeom>
                        </pic:spPr>
                      </pic:pic>
                    </a:graphicData>
                  </a:graphic>
                </wp:anchor>
              </w:drawing>
            </w:r>
            <w:r>
              <w:rPr>
                <w:rFonts w:ascii="Times New Roman" w:eastAsia="Times New Roman" w:hAnsi="Times New Roman" w:cs="Times New Roman"/>
                <w:color w:val="404040"/>
                <w:spacing w:val="-3"/>
                <w:position w:val="-3"/>
                <w:sz w:val="18"/>
                <w:szCs w:val="18"/>
              </w:rPr>
              <w:t>13158</w:t>
            </w:r>
          </w:p>
          <w:p>
            <w:pPr>
              <w:spacing w:line="175" w:lineRule="auto"/>
              <w:ind w:left="3277"/>
              <w:rPr>
                <w:rFonts w:ascii="Times New Roman" w:eastAsia="Times New Roman" w:hAnsi="Times New Roman" w:cs="Times New Roman"/>
                <w:sz w:val="18"/>
                <w:szCs w:val="18"/>
              </w:rPr>
            </w:pPr>
            <w:r>
              <w:rPr>
                <w:rFonts w:ascii="Times New Roman" w:eastAsia="Times New Roman" w:hAnsi="Times New Roman" w:cs="Times New Roman"/>
                <w:color w:val="404040"/>
                <w:spacing w:val="-3"/>
                <w:sz w:val="18"/>
                <w:szCs w:val="18"/>
              </w:rPr>
              <w:t>12733</w:t>
            </w:r>
          </w:p>
          <w:p>
            <w:pPr>
              <w:pStyle w:val="TableText"/>
              <w:spacing w:line="251" w:lineRule="auto"/>
            </w:pPr>
          </w:p>
          <w:p>
            <w:pPr>
              <w:spacing w:before="52" w:line="186" w:lineRule="auto"/>
              <w:ind w:left="1912"/>
              <w:rPr>
                <w:rFonts w:ascii="Times New Roman" w:eastAsia="Times New Roman" w:hAnsi="Times New Roman" w:cs="Times New Roman"/>
                <w:sz w:val="18"/>
                <w:szCs w:val="18"/>
              </w:rPr>
            </w:pPr>
            <w:r>
              <w:rPr>
                <w:rFonts w:ascii="Times New Roman" w:eastAsia="Times New Roman" w:hAnsi="Times New Roman" w:cs="Times New Roman"/>
                <w:color w:val="404040"/>
                <w:spacing w:val="-3"/>
                <w:sz w:val="18"/>
                <w:szCs w:val="18"/>
              </w:rPr>
              <w:t>10859</w:t>
            </w:r>
          </w:p>
          <w:p>
            <w:pPr>
              <w:pStyle w:val="TableText"/>
              <w:spacing w:line="383" w:lineRule="auto"/>
            </w:pPr>
          </w:p>
          <w:p>
            <w:pPr>
              <w:spacing w:before="52" w:line="186" w:lineRule="auto"/>
              <w:ind w:left="584"/>
              <w:rPr>
                <w:rFonts w:ascii="Times New Roman" w:eastAsia="Times New Roman" w:hAnsi="Times New Roman" w:cs="Times New Roman"/>
                <w:sz w:val="18"/>
                <w:szCs w:val="18"/>
              </w:rPr>
            </w:pPr>
            <w:r>
              <w:rPr>
                <w:rFonts w:ascii="Times New Roman" w:eastAsia="Times New Roman" w:hAnsi="Times New Roman" w:cs="Times New Roman"/>
                <w:color w:val="404040"/>
                <w:spacing w:val="-2"/>
                <w:sz w:val="18"/>
                <w:szCs w:val="18"/>
              </w:rPr>
              <w:t>8451</w:t>
            </w:r>
          </w:p>
        </w:tc>
        <w:tc>
          <w:tcPr>
            <w:tcW w:w="661" w:type="dxa"/>
            <w:vMerge/>
            <w:tcBorders>
              <w:top w:val="nil"/>
              <w:bottom w:val="nil"/>
              <w:right w:val="single" w:sz="4" w:space="0" w:color="D9D9D9"/>
            </w:tcBorders>
            <w:vAlign w:val="top"/>
          </w:tcPr>
          <w:p>
            <w:pPr>
              <w:pStyle w:val="TableText"/>
            </w:pPr>
          </w:p>
        </w:tc>
      </w:tr>
      <w:tr>
        <w:tblPrEx>
          <w:tblW w:w="8111" w:type="dxa"/>
          <w:tblInd w:w="306" w:type="dxa"/>
          <w:tblLayout w:type="fixed"/>
        </w:tblPrEx>
        <w:trPr>
          <w:trHeight w:val="842"/>
        </w:trPr>
        <w:tc>
          <w:tcPr>
            <w:tcW w:w="482" w:type="dxa"/>
            <w:vMerge/>
            <w:tcBorders>
              <w:top w:val="nil"/>
              <w:left w:val="single" w:sz="4" w:space="0" w:color="D9D9D9"/>
              <w:bottom w:val="single" w:sz="4" w:space="0" w:color="D9D9D9"/>
            </w:tcBorders>
            <w:vAlign w:val="top"/>
          </w:tcPr>
          <w:p>
            <w:pPr>
              <w:pStyle w:val="TableText"/>
            </w:pPr>
          </w:p>
        </w:tc>
        <w:tc>
          <w:tcPr>
            <w:tcW w:w="6968" w:type="dxa"/>
            <w:tcBorders>
              <w:bottom w:val="single" w:sz="4" w:space="0" w:color="D9D9D9"/>
            </w:tcBorders>
            <w:vAlign w:val="top"/>
          </w:tcPr>
          <w:p>
            <w:pPr>
              <w:spacing w:before="73" w:line="218" w:lineRule="auto"/>
              <w:ind w:left="484"/>
              <w:rPr>
                <w:rFonts w:ascii="FangSong" w:eastAsia="FangSong" w:hAnsi="FangSong" w:cs="FangSong"/>
                <w:sz w:val="18"/>
                <w:szCs w:val="18"/>
              </w:rPr>
            </w:pPr>
            <w:r>
              <w:rPr>
                <w:rFonts w:ascii="Times New Roman" w:eastAsia="Times New Roman" w:hAnsi="Times New Roman" w:cs="Times New Roman"/>
                <w:color w:val="595959"/>
                <w:spacing w:val="1"/>
                <w:sz w:val="18"/>
                <w:szCs w:val="18"/>
              </w:rPr>
              <w:t>2019</w:t>
            </w:r>
            <w:r>
              <w:rPr>
                <w:rFonts w:ascii="FangSong" w:eastAsia="FangSong" w:hAnsi="FangSong" w:cs="FangSong"/>
                <w:color w:val="595959"/>
                <w:spacing w:val="1"/>
                <w:sz w:val="18"/>
                <w:szCs w:val="18"/>
              </w:rPr>
              <w:t>年</w:t>
            </w:r>
            <w:r>
              <w:rPr>
                <w:rFonts w:ascii="FangSong" w:eastAsia="FangSong" w:hAnsi="FangSong" w:cs="FangSong"/>
                <w:color w:val="595959"/>
                <w:spacing w:val="1"/>
                <w:sz w:val="18"/>
                <w:szCs w:val="18"/>
              </w:rPr>
              <w:t xml:space="preserve">         </w:t>
            </w:r>
            <w:r>
              <w:rPr>
                <w:rFonts w:ascii="Times New Roman" w:eastAsia="Times New Roman" w:hAnsi="Times New Roman" w:cs="Times New Roman"/>
                <w:color w:val="595959"/>
                <w:spacing w:val="1"/>
                <w:sz w:val="18"/>
                <w:szCs w:val="18"/>
              </w:rPr>
              <w:t>2020</w:t>
            </w:r>
            <w:r>
              <w:rPr>
                <w:rFonts w:ascii="FangSong" w:eastAsia="FangSong" w:hAnsi="FangSong" w:cs="FangSong"/>
                <w:color w:val="595959"/>
                <w:spacing w:val="1"/>
                <w:sz w:val="18"/>
                <w:szCs w:val="18"/>
              </w:rPr>
              <w:t>年</w:t>
            </w:r>
            <w:r>
              <w:rPr>
                <w:rFonts w:ascii="FangSong" w:eastAsia="FangSong" w:hAnsi="FangSong" w:cs="FangSong"/>
                <w:color w:val="595959"/>
                <w:spacing w:val="1"/>
                <w:sz w:val="18"/>
                <w:szCs w:val="18"/>
              </w:rPr>
              <w:t xml:space="preserve">         </w:t>
            </w:r>
            <w:r>
              <w:rPr>
                <w:rFonts w:ascii="Times New Roman" w:eastAsia="Times New Roman" w:hAnsi="Times New Roman" w:cs="Times New Roman"/>
                <w:color w:val="595959"/>
                <w:spacing w:val="1"/>
                <w:sz w:val="18"/>
                <w:szCs w:val="18"/>
              </w:rPr>
              <w:t>2021</w:t>
            </w:r>
            <w:r>
              <w:rPr>
                <w:rFonts w:ascii="FangSong" w:eastAsia="FangSong" w:hAnsi="FangSong" w:cs="FangSong"/>
                <w:color w:val="595959"/>
                <w:spacing w:val="1"/>
                <w:sz w:val="18"/>
                <w:szCs w:val="18"/>
              </w:rPr>
              <w:t>年</w:t>
            </w:r>
            <w:r>
              <w:rPr>
                <w:rFonts w:ascii="FangSong" w:eastAsia="FangSong" w:hAnsi="FangSong" w:cs="FangSong"/>
                <w:color w:val="595959"/>
                <w:spacing w:val="1"/>
                <w:sz w:val="18"/>
                <w:szCs w:val="18"/>
              </w:rPr>
              <w:t xml:space="preserve">         </w:t>
            </w:r>
            <w:r>
              <w:rPr>
                <w:rFonts w:ascii="Times New Roman" w:eastAsia="Times New Roman" w:hAnsi="Times New Roman" w:cs="Times New Roman"/>
                <w:color w:val="595959"/>
                <w:spacing w:val="1"/>
                <w:sz w:val="18"/>
                <w:szCs w:val="18"/>
              </w:rPr>
              <w:t>2022</w:t>
            </w:r>
            <w:r>
              <w:rPr>
                <w:rFonts w:ascii="FangSong" w:eastAsia="FangSong" w:hAnsi="FangSong" w:cs="FangSong"/>
                <w:color w:val="595959"/>
                <w:spacing w:val="1"/>
                <w:sz w:val="18"/>
                <w:szCs w:val="18"/>
              </w:rPr>
              <w:t>年</w:t>
            </w:r>
            <w:r>
              <w:rPr>
                <w:rFonts w:ascii="FangSong" w:eastAsia="FangSong" w:hAnsi="FangSong" w:cs="FangSong"/>
                <w:color w:val="595959"/>
                <w:spacing w:val="1"/>
                <w:sz w:val="18"/>
                <w:szCs w:val="18"/>
              </w:rPr>
              <w:t xml:space="preserve">         </w:t>
            </w:r>
            <w:r>
              <w:rPr>
                <w:rFonts w:ascii="Times New Roman" w:eastAsia="Times New Roman" w:hAnsi="Times New Roman" w:cs="Times New Roman"/>
                <w:color w:val="595959"/>
                <w:spacing w:val="1"/>
                <w:sz w:val="18"/>
                <w:szCs w:val="18"/>
              </w:rPr>
              <w:t>2</w:t>
            </w:r>
            <w:r>
              <w:rPr>
                <w:rFonts w:ascii="Times New Roman" w:eastAsia="Times New Roman" w:hAnsi="Times New Roman" w:cs="Times New Roman"/>
                <w:color w:val="595959"/>
                <w:sz w:val="18"/>
                <w:szCs w:val="18"/>
              </w:rPr>
              <w:t>023</w:t>
            </w:r>
            <w:r>
              <w:rPr>
                <w:rFonts w:ascii="FangSong" w:eastAsia="FangSong" w:hAnsi="FangSong" w:cs="FangSong"/>
                <w:color w:val="595959"/>
                <w:sz w:val="18"/>
                <w:szCs w:val="18"/>
              </w:rPr>
              <w:t>年</w:t>
            </w:r>
          </w:p>
          <w:p>
            <w:pPr>
              <w:spacing w:before="188" w:line="215" w:lineRule="auto"/>
              <w:ind w:left="314"/>
              <w:rPr>
                <w:rFonts w:ascii="FangSong" w:eastAsia="FangSong" w:hAnsi="FangSong" w:cs="FangSong"/>
                <w:sz w:val="18"/>
                <w:szCs w:val="18"/>
              </w:rPr>
            </w:pPr>
            <w:r>
              <w:rPr>
                <w:rFonts w:ascii="FangSong" w:eastAsia="FangSong" w:hAnsi="FangSong" w:cs="FangSong"/>
                <w:color w:val="595959"/>
                <w:position w:val="1"/>
                <w:sz w:val="18"/>
                <w:szCs w:val="18"/>
              </w:rPr>
              <w:drawing>
                <wp:inline distT="0" distB="0" distL="0" distR="0">
                  <wp:extent cx="243839" cy="57911"/>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xmlns:r="http://schemas.openxmlformats.org/officeDocument/2006/relationships" r:embed="rId17"/>
                          <a:stretch>
                            <a:fillRect/>
                          </a:stretch>
                        </pic:blipFill>
                        <pic:spPr>
                          <a:xfrm>
                            <a:off x="0" y="0"/>
                            <a:ext cx="243839" cy="57911"/>
                          </a:xfrm>
                          <a:prstGeom prst="rect">
                            <a:avLst/>
                          </a:prstGeom>
                        </pic:spPr>
                      </pic:pic>
                    </a:graphicData>
                  </a:graphic>
                </wp:inline>
              </w:drawing>
            </w:r>
            <w:r>
              <w:rPr>
                <w:rFonts w:ascii="FangSong" w:eastAsia="FangSong" w:hAnsi="FangSong" w:cs="FangSong"/>
                <w:color w:val="595959"/>
                <w:spacing w:val="-31"/>
                <w:sz w:val="18"/>
                <w:szCs w:val="18"/>
              </w:rPr>
              <w:t xml:space="preserve"> </w:t>
            </w:r>
            <w:r>
              <w:rPr>
                <w:rFonts w:ascii="FangSong" w:eastAsia="FangSong" w:hAnsi="FangSong" w:cs="FangSong"/>
                <w:color w:val="595959"/>
                <w:spacing w:val="-7"/>
                <w:sz w:val="18"/>
                <w:szCs w:val="18"/>
              </w:rPr>
              <w:t>存量规模（右，亿元）</w:t>
            </w:r>
            <w:r>
              <w:rPr>
                <w:rFonts w:ascii="FangSong" w:eastAsia="FangSong" w:hAnsi="FangSong" w:cs="FangSong"/>
                <w:color w:val="595959"/>
                <w:spacing w:val="16"/>
                <w:sz w:val="18"/>
                <w:szCs w:val="18"/>
              </w:rPr>
              <w:t xml:space="preserve">    </w:t>
            </w:r>
            <w:r>
              <w:rPr>
                <w:position w:val="3"/>
                <w:sz w:val="18"/>
                <w:szCs w:val="18"/>
              </w:rPr>
              <w:drawing>
                <wp:inline distT="0" distB="0" distL="0" distR="0">
                  <wp:extent cx="272796" cy="28956"/>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xmlns:r="http://schemas.openxmlformats.org/officeDocument/2006/relationships" r:embed="rId18"/>
                          <a:stretch>
                            <a:fillRect/>
                          </a:stretch>
                        </pic:blipFill>
                        <pic:spPr>
                          <a:xfrm>
                            <a:off x="0" y="0"/>
                            <a:ext cx="272796" cy="28956"/>
                          </a:xfrm>
                          <a:prstGeom prst="rect">
                            <a:avLst/>
                          </a:prstGeom>
                        </pic:spPr>
                      </pic:pic>
                    </a:graphicData>
                  </a:graphic>
                </wp:inline>
              </w:drawing>
            </w:r>
            <w:r>
              <w:rPr>
                <w:rFonts w:ascii="FangSong" w:eastAsia="FangSong" w:hAnsi="FangSong" w:cs="FangSong"/>
                <w:color w:val="595959"/>
                <w:spacing w:val="-68"/>
                <w:sz w:val="18"/>
                <w:szCs w:val="18"/>
              </w:rPr>
              <w:t xml:space="preserve"> </w:t>
            </w:r>
            <w:r>
              <w:rPr>
                <w:rFonts w:ascii="Times New Roman" w:eastAsia="Times New Roman" w:hAnsi="Times New Roman" w:cs="Times New Roman"/>
                <w:color w:val="595959"/>
                <w:spacing w:val="-7"/>
                <w:sz w:val="18"/>
                <w:szCs w:val="18"/>
              </w:rPr>
              <w:t>ETF</w:t>
            </w:r>
            <w:r>
              <w:rPr>
                <w:rFonts w:ascii="FangSong" w:eastAsia="FangSong" w:hAnsi="FangSong" w:cs="FangSong"/>
                <w:color w:val="595959"/>
                <w:spacing w:val="-7"/>
                <w:sz w:val="18"/>
                <w:szCs w:val="18"/>
              </w:rPr>
              <w:t>数量（左）</w:t>
            </w:r>
            <w:r>
              <w:rPr>
                <w:rFonts w:ascii="FangSong" w:eastAsia="FangSong" w:hAnsi="FangSong" w:cs="FangSong"/>
                <w:color w:val="595959"/>
                <w:spacing w:val="14"/>
                <w:sz w:val="18"/>
                <w:szCs w:val="18"/>
              </w:rPr>
              <w:t xml:space="preserve">    </w:t>
            </w:r>
            <w:r>
              <w:rPr>
                <w:position w:val="3"/>
                <w:sz w:val="18"/>
                <w:szCs w:val="18"/>
              </w:rPr>
              <w:drawing>
                <wp:inline distT="0" distB="0" distL="0" distR="0">
                  <wp:extent cx="272796" cy="28956"/>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xmlns:r="http://schemas.openxmlformats.org/officeDocument/2006/relationships" r:embed="rId19"/>
                          <a:stretch>
                            <a:fillRect/>
                          </a:stretch>
                        </pic:blipFill>
                        <pic:spPr>
                          <a:xfrm>
                            <a:off x="0" y="0"/>
                            <a:ext cx="272796" cy="28956"/>
                          </a:xfrm>
                          <a:prstGeom prst="rect">
                            <a:avLst/>
                          </a:prstGeom>
                        </pic:spPr>
                      </pic:pic>
                    </a:graphicData>
                  </a:graphic>
                </wp:inline>
              </w:drawing>
            </w:r>
            <w:r>
              <w:rPr>
                <w:rFonts w:ascii="FangSong" w:eastAsia="FangSong" w:hAnsi="FangSong" w:cs="FangSong"/>
                <w:color w:val="595959"/>
                <w:spacing w:val="-65"/>
                <w:sz w:val="18"/>
                <w:szCs w:val="18"/>
              </w:rPr>
              <w:t xml:space="preserve"> </w:t>
            </w:r>
            <w:r>
              <w:rPr>
                <w:rFonts w:ascii="Times New Roman" w:eastAsia="Times New Roman" w:hAnsi="Times New Roman" w:cs="Times New Roman"/>
                <w:color w:val="595959"/>
                <w:spacing w:val="-7"/>
                <w:sz w:val="18"/>
                <w:szCs w:val="18"/>
              </w:rPr>
              <w:t>ETF</w:t>
            </w:r>
            <w:r>
              <w:rPr>
                <w:rFonts w:ascii="FangSong" w:eastAsia="FangSong" w:hAnsi="FangSong" w:cs="FangSong"/>
                <w:color w:val="595959"/>
                <w:spacing w:val="-7"/>
                <w:sz w:val="18"/>
                <w:szCs w:val="18"/>
              </w:rPr>
              <w:t>新发数量（左）</w:t>
            </w:r>
          </w:p>
        </w:tc>
        <w:tc>
          <w:tcPr>
            <w:tcW w:w="661" w:type="dxa"/>
            <w:vMerge/>
            <w:tcBorders>
              <w:top w:val="nil"/>
              <w:bottom w:val="single" w:sz="4" w:space="0" w:color="D9D9D9"/>
              <w:right w:val="single" w:sz="4" w:space="0" w:color="D9D9D9"/>
            </w:tcBorders>
            <w:vAlign w:val="top"/>
          </w:tcPr>
          <w:p>
            <w:pPr>
              <w:pStyle w:val="TableText"/>
            </w:pPr>
          </w:p>
        </w:tc>
      </w:tr>
    </w:tbl>
    <w:p>
      <w:pPr>
        <w:pStyle w:val="BodyText"/>
        <w:spacing w:before="139" w:line="213" w:lineRule="auto"/>
        <w:ind w:left="234"/>
        <w:rPr>
          <w:sz w:val="21"/>
          <w:szCs w:val="21"/>
        </w:rPr>
      </w:pPr>
      <w:r>
        <w:rPr>
          <w:spacing w:val="-3"/>
          <w:sz w:val="21"/>
          <w:szCs w:val="21"/>
        </w:rPr>
        <w:t>数据来源：</w:t>
      </w:r>
      <w:r>
        <w:rPr>
          <w:spacing w:val="-23"/>
          <w:sz w:val="21"/>
          <w:szCs w:val="21"/>
        </w:rPr>
        <w:t xml:space="preserve"> </w:t>
      </w:r>
      <w:r>
        <w:rPr>
          <w:rFonts w:ascii="Times New Roman" w:eastAsia="Times New Roman" w:hAnsi="Times New Roman" w:cs="Times New Roman"/>
          <w:spacing w:val="-3"/>
          <w:sz w:val="21"/>
          <w:szCs w:val="21"/>
        </w:rPr>
        <w:t>Bloomberg</w:t>
      </w:r>
      <w:r>
        <w:rPr>
          <w:spacing w:val="-3"/>
          <w:sz w:val="21"/>
          <w:szCs w:val="21"/>
        </w:rPr>
        <w:t>，中证指数</w:t>
      </w:r>
      <w:r>
        <w:rPr>
          <w:spacing w:val="-4"/>
          <w:sz w:val="21"/>
          <w:szCs w:val="21"/>
        </w:rPr>
        <w:t>，截至</w:t>
      </w:r>
      <w:r>
        <w:rPr>
          <w:spacing w:val="-48"/>
          <w:sz w:val="21"/>
          <w:szCs w:val="21"/>
        </w:rPr>
        <w:t xml:space="preserve"> </w:t>
      </w:r>
      <w:r>
        <w:rPr>
          <w:rFonts w:ascii="Times New Roman" w:eastAsia="Times New Roman" w:hAnsi="Times New Roman" w:cs="Times New Roman"/>
          <w:spacing w:val="-4"/>
          <w:sz w:val="21"/>
          <w:szCs w:val="21"/>
        </w:rPr>
        <w:t xml:space="preserve">2023 </w:t>
      </w:r>
      <w:r>
        <w:rPr>
          <w:spacing w:val="-4"/>
          <w:sz w:val="21"/>
          <w:szCs w:val="21"/>
        </w:rPr>
        <w:t>年底</w:t>
      </w:r>
    </w:p>
    <w:p>
      <w:pPr>
        <w:pStyle w:val="BodyText"/>
        <w:spacing w:before="98" w:line="220" w:lineRule="auto"/>
        <w:ind w:left="2723"/>
        <w:rPr>
          <w:sz w:val="21"/>
          <w:szCs w:val="21"/>
        </w:rPr>
      </w:pPr>
      <w:r>
        <w:rPr>
          <w:spacing w:val="-3"/>
          <w:sz w:val="21"/>
          <w:szCs w:val="21"/>
        </w:rPr>
        <w:t>图</w:t>
      </w:r>
      <w:r>
        <w:rPr>
          <w:spacing w:val="-38"/>
          <w:sz w:val="21"/>
          <w:szCs w:val="21"/>
        </w:rPr>
        <w:t xml:space="preserve"> </w:t>
      </w:r>
      <w:r>
        <w:rPr>
          <w:rFonts w:ascii="Times New Roman" w:eastAsia="Times New Roman" w:hAnsi="Times New Roman" w:cs="Times New Roman"/>
          <w:spacing w:val="-3"/>
          <w:sz w:val="21"/>
          <w:szCs w:val="21"/>
        </w:rPr>
        <w:t xml:space="preserve">2    </w:t>
      </w:r>
      <w:r>
        <w:rPr>
          <w:spacing w:val="-3"/>
          <w:sz w:val="21"/>
          <w:szCs w:val="21"/>
        </w:rPr>
        <w:t>美国固定收益</w:t>
      </w:r>
      <w:r>
        <w:rPr>
          <w:spacing w:val="-50"/>
          <w:sz w:val="21"/>
          <w:szCs w:val="21"/>
        </w:rPr>
        <w:t xml:space="preserve"> </w:t>
      </w:r>
      <w:r>
        <w:rPr>
          <w:rFonts w:ascii="Times New Roman" w:eastAsia="Times New Roman" w:hAnsi="Times New Roman" w:cs="Times New Roman"/>
          <w:spacing w:val="-3"/>
          <w:sz w:val="21"/>
          <w:szCs w:val="21"/>
        </w:rPr>
        <w:t>ETF</w:t>
      </w:r>
      <w:r>
        <w:rPr>
          <w:rFonts w:ascii="Times New Roman" w:eastAsia="Times New Roman" w:hAnsi="Times New Roman" w:cs="Times New Roman"/>
          <w:spacing w:val="13"/>
          <w:sz w:val="21"/>
          <w:szCs w:val="21"/>
        </w:rPr>
        <w:t xml:space="preserve"> </w:t>
      </w:r>
      <w:r>
        <w:rPr>
          <w:spacing w:val="-3"/>
          <w:sz w:val="21"/>
          <w:szCs w:val="21"/>
        </w:rPr>
        <w:t>数量与规模</w:t>
      </w:r>
    </w:p>
    <w:p>
      <w:pPr>
        <w:spacing w:line="333" w:lineRule="auto"/>
        <w:rPr>
          <w:rFonts w:ascii="Arial"/>
          <w:sz w:val="21"/>
        </w:rPr>
      </w:pPr>
    </w:p>
    <w:p>
      <w:pPr>
        <w:pStyle w:val="BodyText"/>
        <w:spacing w:before="78" w:line="217" w:lineRule="auto"/>
        <w:ind w:left="782"/>
      </w:pPr>
      <w:r>
        <w:rPr>
          <w:spacing w:val="-2"/>
          <w14:textOutline w14:w="4354">
            <w14:solidFill>
              <w14:srgbClr w14:val="000000"/>
            </w14:solidFill>
            <w14:prstDash w14:val="solid"/>
            <w14:miter w14:lim="10"/>
          </w14:textOutline>
        </w:rPr>
        <w:t>（二）高利率环境下国债</w:t>
      </w:r>
      <w:r>
        <w:rPr>
          <w:spacing w:val="-36"/>
        </w:rPr>
        <w:t xml:space="preserve"> </w:t>
      </w:r>
      <w:r>
        <w:rPr>
          <w:rFonts w:ascii="Times New Roman" w:eastAsia="Times New Roman" w:hAnsi="Times New Roman" w:cs="Times New Roman"/>
          <w:b/>
          <w:bCs/>
          <w:spacing w:val="-2"/>
        </w:rPr>
        <w:t xml:space="preserve">ETF </w:t>
      </w:r>
      <w:r>
        <w:rPr>
          <w:spacing w:val="-2"/>
          <w14:textOutline w14:w="4354">
            <w14:solidFill>
              <w14:srgbClr w14:val="000000"/>
            </w14:solidFill>
            <w14:prstDash w14:val="solid"/>
            <w14:miter w14:lim="10"/>
          </w14:textOutline>
        </w:rPr>
        <w:t>获大量资金流入，创新产品系列进一步扩充</w:t>
      </w:r>
    </w:p>
    <w:p>
      <w:pPr>
        <w:spacing w:line="310" w:lineRule="auto"/>
        <w:rPr>
          <w:rFonts w:ascii="Arial"/>
          <w:sz w:val="21"/>
        </w:rPr>
      </w:pPr>
    </w:p>
    <w:p>
      <w:pPr>
        <w:pStyle w:val="BodyText"/>
        <w:spacing w:before="78" w:line="216" w:lineRule="auto"/>
        <w:jc w:val="right"/>
      </w:pPr>
      <w:r>
        <w:rPr>
          <w:spacing w:val="-8"/>
          <w14:textOutline w14:w="4354">
            <w14:solidFill>
              <w14:srgbClr w14:val="000000"/>
            </w14:solidFill>
            <w14:prstDash w14:val="solid"/>
            <w14:miter w14:lim="10"/>
          </w14:textOutline>
        </w:rPr>
        <w:t>美联储加息环境下国债利率维持高位，</w:t>
      </w:r>
      <w:r>
        <w:rPr>
          <w:spacing w:val="-56"/>
        </w:rPr>
        <w:t xml:space="preserve"> </w:t>
      </w:r>
      <w:r>
        <w:rPr>
          <w:spacing w:val="-8"/>
          <w14:textOutline w14:w="4354">
            <w14:solidFill>
              <w14:srgbClr w14:val="000000"/>
            </w14:solidFill>
            <w14:prstDash w14:val="solid"/>
            <w14:miter w14:lim="10"/>
          </w14:textOutline>
        </w:rPr>
        <w:t>相较信用债，</w:t>
      </w:r>
      <w:r>
        <w:rPr>
          <w:spacing w:val="-64"/>
        </w:rPr>
        <w:t xml:space="preserve"> </w:t>
      </w:r>
      <w:r>
        <w:rPr>
          <w:spacing w:val="-8"/>
          <w14:textOutline w14:w="4354">
            <w14:solidFill>
              <w14:srgbClr w14:val="000000"/>
            </w14:solidFill>
            <w14:prstDash w14:val="solid"/>
            <w14:miter w14:lim="10"/>
          </w14:textOutline>
        </w:rPr>
        <w:t>国</w:t>
      </w:r>
      <w:r>
        <w:rPr>
          <w:spacing w:val="-9"/>
          <w14:textOutline w14:w="4354">
            <w14:solidFill>
              <w14:srgbClr w14:val="000000"/>
            </w14:solidFill>
            <w14:prstDash w14:val="solid"/>
            <w14:miter w14:lim="10"/>
          </w14:textOutline>
        </w:rPr>
        <w:t>债性价比进一步提升。</w:t>
      </w:r>
    </w:p>
    <w:p>
      <w:pPr>
        <w:pStyle w:val="BodyText"/>
        <w:spacing w:before="108" w:line="272" w:lineRule="auto"/>
        <w:ind w:left="225" w:right="220" w:firstLine="14"/>
        <w:jc w:val="both"/>
      </w:pPr>
      <w:r>
        <w:rPr>
          <w:spacing w:val="-5"/>
        </w:rPr>
        <w:t>美联储</w:t>
      </w:r>
      <w:r>
        <w:rPr>
          <w:rFonts w:ascii="Times New Roman" w:eastAsia="Times New Roman" w:hAnsi="Times New Roman" w:cs="Times New Roman"/>
          <w:spacing w:val="-5"/>
        </w:rPr>
        <w:t>2023</w:t>
      </w:r>
      <w:r>
        <w:rPr>
          <w:spacing w:val="-5"/>
        </w:rPr>
        <w:t>年内四次加息，</w:t>
      </w:r>
      <w:r>
        <w:rPr>
          <w:spacing w:val="-5"/>
        </w:rPr>
        <w:t xml:space="preserve"> </w:t>
      </w:r>
      <w:r>
        <w:rPr>
          <w:spacing w:val="-5"/>
        </w:rPr>
        <w:t>美国联邦基金利率从</w:t>
      </w:r>
      <w:r>
        <w:rPr>
          <w:rFonts w:ascii="Times New Roman" w:eastAsia="Times New Roman" w:hAnsi="Times New Roman" w:cs="Times New Roman"/>
          <w:spacing w:val="-5"/>
        </w:rPr>
        <w:t>2022</w:t>
      </w:r>
      <w:r>
        <w:rPr>
          <w:spacing w:val="-5"/>
        </w:rPr>
        <w:t>年</w:t>
      </w:r>
      <w:r>
        <w:rPr>
          <w:rFonts w:ascii="Times New Roman" w:eastAsia="Times New Roman" w:hAnsi="Times New Roman" w:cs="Times New Roman"/>
          <w:spacing w:val="-5"/>
        </w:rPr>
        <w:t>12</w:t>
      </w:r>
      <w:r>
        <w:rPr>
          <w:spacing w:val="-5"/>
        </w:rPr>
        <w:t>月的</w:t>
      </w:r>
      <w:r>
        <w:rPr>
          <w:rFonts w:ascii="Times New Roman" w:eastAsia="Times New Roman" w:hAnsi="Times New Roman" w:cs="Times New Roman"/>
          <w:spacing w:val="-5"/>
        </w:rPr>
        <w:t>4.25%-4.5%</w:t>
      </w:r>
      <w:r>
        <w:rPr>
          <w:spacing w:val="-6"/>
        </w:rPr>
        <w:t>上调至</w:t>
      </w:r>
      <w:r>
        <w:t xml:space="preserve"> </w:t>
      </w:r>
      <w:r>
        <w:rPr>
          <w:rFonts w:ascii="Times New Roman" w:eastAsia="Times New Roman" w:hAnsi="Times New Roman" w:cs="Times New Roman"/>
          <w:spacing w:val="1"/>
        </w:rPr>
        <w:t>2023</w:t>
      </w:r>
      <w:r>
        <w:rPr>
          <w:spacing w:val="1"/>
        </w:rPr>
        <w:t>年</w:t>
      </w:r>
      <w:r>
        <w:rPr>
          <w:rFonts w:ascii="Times New Roman" w:eastAsia="Times New Roman" w:hAnsi="Times New Roman" w:cs="Times New Roman"/>
          <w:spacing w:val="1"/>
        </w:rPr>
        <w:t>7</w:t>
      </w:r>
      <w:r>
        <w:rPr>
          <w:spacing w:val="1"/>
        </w:rPr>
        <w:t>月的</w:t>
      </w:r>
      <w:r>
        <w:rPr>
          <w:rFonts w:ascii="Times New Roman" w:eastAsia="Times New Roman" w:hAnsi="Times New Roman" w:cs="Times New Roman"/>
          <w:spacing w:val="1"/>
        </w:rPr>
        <w:t>5.25%-5.5%</w:t>
      </w:r>
      <w:r>
        <w:rPr>
          <w:spacing w:val="1"/>
        </w:rPr>
        <w:t>，此轮加</w:t>
      </w:r>
      <w:r>
        <w:t>息使得国债收益率升至</w:t>
      </w:r>
      <w:r>
        <w:rPr>
          <w:rFonts w:ascii="Times New Roman" w:eastAsia="Times New Roman" w:hAnsi="Times New Roman" w:cs="Times New Roman"/>
        </w:rPr>
        <w:t>20</w:t>
      </w:r>
      <w:r>
        <w:t>年来的最高水平，尽</w:t>
      </w:r>
      <w:r>
        <w:t xml:space="preserve"> </w:t>
      </w:r>
      <w:r>
        <w:rPr>
          <w:spacing w:val="-1"/>
        </w:rPr>
        <w:t>管</w:t>
      </w:r>
      <w:r>
        <w:rPr>
          <w:rFonts w:ascii="Times New Roman" w:eastAsia="Times New Roman" w:hAnsi="Times New Roman" w:cs="Times New Roman"/>
          <w:spacing w:val="-1"/>
        </w:rPr>
        <w:t>11</w:t>
      </w:r>
      <w:r>
        <w:rPr>
          <w:spacing w:val="-1"/>
        </w:rPr>
        <w:t>月以来美债收益率大幅回调，国债收益率依然具备性价比。</w:t>
      </w:r>
    </w:p>
    <w:p>
      <w:pPr>
        <w:spacing w:line="305" w:lineRule="auto"/>
        <w:rPr>
          <w:rFonts w:ascii="Arial"/>
          <w:sz w:val="21"/>
        </w:rPr>
      </w:pPr>
    </w:p>
    <w:p>
      <w:pPr>
        <w:pStyle w:val="BodyText"/>
        <w:spacing w:before="78" w:line="286" w:lineRule="auto"/>
        <w:ind w:left="222" w:right="220" w:firstLine="495"/>
      </w:pPr>
      <w:r>
        <w:rPr>
          <w:spacing w:val="-5"/>
          <w14:textOutline w14:w="4354">
            <w14:solidFill>
              <w14:srgbClr w14:val="000000"/>
            </w14:solidFill>
            <w14:prstDash w14:val="solid"/>
            <w14:miter w14:lim="10"/>
          </w14:textOutline>
        </w:rPr>
        <w:t>经济增长放缓预期下，</w:t>
      </w:r>
      <w:r>
        <w:rPr>
          <w:spacing w:val="-50"/>
        </w:rPr>
        <w:t xml:space="preserve"> </w:t>
      </w:r>
      <w:r>
        <w:rPr>
          <w:spacing w:val="-5"/>
          <w14:textOutline w14:w="4354">
            <w14:solidFill>
              <w14:srgbClr w14:val="000000"/>
            </w14:solidFill>
            <w14:prstDash w14:val="solid"/>
            <w14:miter w14:lim="10"/>
          </w14:textOutline>
        </w:rPr>
        <w:t>企业债违约率或将上升、信用利差扩大，国债</w:t>
      </w:r>
      <w:r>
        <w:rPr>
          <w:rFonts w:ascii="Times New Roman" w:eastAsia="Times New Roman" w:hAnsi="Times New Roman" w:cs="Times New Roman"/>
          <w:b/>
          <w:bCs/>
          <w:spacing w:val="-5"/>
        </w:rPr>
        <w:t>ETF</w:t>
      </w:r>
      <w:r>
        <w:rPr>
          <w:spacing w:val="-5"/>
          <w14:textOutline w14:w="4354">
            <w14:solidFill>
              <w14:srgbClr w14:val="000000"/>
            </w14:solidFill>
            <w14:prstDash w14:val="solid"/>
            <w14:miter w14:lim="10"/>
          </w14:textOutline>
        </w:rPr>
        <w:t>安</w:t>
      </w:r>
      <w:r>
        <w:t xml:space="preserve"> </w:t>
      </w:r>
      <w:r>
        <w:rPr>
          <w:spacing w:val="-6"/>
          <w14:textOutline w14:w="4354">
            <w14:solidFill>
              <w14:srgbClr w14:val="000000"/>
            </w14:solidFill>
            <w14:prstDash w14:val="solid"/>
            <w14:miter w14:lim="10"/>
          </w14:textOutline>
        </w:rPr>
        <w:t>全性更高。</w:t>
      </w:r>
      <w:r>
        <w:rPr>
          <w:spacing w:val="-6"/>
        </w:rPr>
        <w:t>随着</w:t>
      </w:r>
      <w:r>
        <w:rPr>
          <w:rFonts w:ascii="Times New Roman" w:eastAsia="Times New Roman" w:hAnsi="Times New Roman" w:cs="Times New Roman"/>
          <w:spacing w:val="-6"/>
        </w:rPr>
        <w:t>2023</w:t>
      </w:r>
      <w:r>
        <w:rPr>
          <w:spacing w:val="-6"/>
        </w:rPr>
        <w:t>年末美国通胀数据好转，</w:t>
      </w:r>
      <w:r>
        <w:rPr>
          <w:spacing w:val="66"/>
        </w:rPr>
        <w:t xml:space="preserve"> </w:t>
      </w:r>
      <w:r>
        <w:rPr>
          <w:spacing w:val="-6"/>
        </w:rPr>
        <w:t>资金大幅流入推动国债</w:t>
      </w:r>
      <w:r>
        <w:rPr>
          <w:rFonts w:ascii="Times New Roman" w:eastAsia="Times New Roman" w:hAnsi="Times New Roman" w:cs="Times New Roman"/>
          <w:spacing w:val="-6"/>
        </w:rPr>
        <w:t>ETF</w:t>
      </w:r>
      <w:r>
        <w:rPr>
          <w:spacing w:val="-6"/>
        </w:rPr>
        <w:t>规模大</w:t>
      </w:r>
      <w:r>
        <w:t xml:space="preserve"> </w:t>
      </w:r>
      <w:r>
        <w:rPr>
          <w:spacing w:val="-8"/>
        </w:rPr>
        <w:t>幅增长。资金净流入前</w:t>
      </w:r>
      <w:r>
        <w:rPr>
          <w:rFonts w:ascii="Times New Roman" w:eastAsia="Times New Roman" w:hAnsi="Times New Roman" w:cs="Times New Roman"/>
          <w:spacing w:val="-8"/>
        </w:rPr>
        <w:t>10</w:t>
      </w:r>
      <w:r>
        <w:rPr>
          <w:spacing w:val="-8"/>
        </w:rPr>
        <w:t>的固定收益</w:t>
      </w:r>
      <w:r>
        <w:rPr>
          <w:rFonts w:ascii="Times New Roman" w:eastAsia="Times New Roman" w:hAnsi="Times New Roman" w:cs="Times New Roman"/>
          <w:spacing w:val="-8"/>
        </w:rPr>
        <w:t>ETF</w:t>
      </w:r>
      <w:r>
        <w:rPr>
          <w:spacing w:val="-8"/>
        </w:rPr>
        <w:t>中，</w:t>
      </w:r>
      <w:r>
        <w:rPr>
          <w:rFonts w:ascii="Times New Roman" w:eastAsia="Times New Roman" w:hAnsi="Times New Roman" w:cs="Times New Roman"/>
          <w:spacing w:val="-8"/>
        </w:rPr>
        <w:t>6</w:t>
      </w:r>
      <w:r>
        <w:rPr>
          <w:spacing w:val="-8"/>
        </w:rPr>
        <w:t>只为国债</w:t>
      </w:r>
      <w:r>
        <w:rPr>
          <w:rFonts w:ascii="Times New Roman" w:eastAsia="Times New Roman" w:hAnsi="Times New Roman" w:cs="Times New Roman"/>
          <w:spacing w:val="-8"/>
        </w:rPr>
        <w:t>E</w:t>
      </w:r>
      <w:r>
        <w:rPr>
          <w:rFonts w:ascii="Times New Roman" w:eastAsia="Times New Roman" w:hAnsi="Times New Roman" w:cs="Times New Roman"/>
          <w:spacing w:val="-9"/>
        </w:rPr>
        <w:t>TF</w:t>
      </w:r>
      <w:r>
        <w:rPr>
          <w:spacing w:val="-9"/>
        </w:rPr>
        <w:t>，资金流入占比</w:t>
      </w:r>
      <w:r>
        <w:rPr>
          <w:rFonts w:ascii="Times New Roman" w:eastAsia="Times New Roman" w:hAnsi="Times New Roman" w:cs="Times New Roman"/>
          <w:spacing w:val="-9"/>
        </w:rPr>
        <w:t>58%</w:t>
      </w:r>
      <w:r>
        <w:rPr>
          <w:rFonts w:ascii="Times New Roman" w:eastAsia="Times New Roman" w:hAnsi="Times New Roman" w:cs="Times New Roman"/>
          <w:spacing w:val="-28"/>
        </w:rPr>
        <w:t xml:space="preserve"> </w:t>
      </w:r>
      <w:r>
        <w:rPr>
          <w:spacing w:val="-9"/>
        </w:rPr>
        <w:t>，</w:t>
      </w:r>
      <w:r>
        <w:t xml:space="preserve"> </w:t>
      </w:r>
      <w:r>
        <w:rPr>
          <w:spacing w:val="5"/>
        </w:rPr>
        <w:t>标的覆盖了各期限国债指数和浮息国债指数。投资于超长期国债的</w:t>
      </w:r>
      <w:r>
        <w:rPr>
          <w:rFonts w:ascii="Times New Roman" w:eastAsia="Times New Roman" w:hAnsi="Times New Roman" w:cs="Times New Roman"/>
        </w:rPr>
        <w:t>iShares</w:t>
      </w:r>
      <w:r>
        <w:rPr>
          <w:rFonts w:ascii="Times New Roman" w:eastAsia="Times New Roman" w:hAnsi="Times New Roman" w:cs="Times New Roman"/>
          <w:spacing w:val="40"/>
        </w:rPr>
        <w:t xml:space="preserve"> </w:t>
      </w:r>
      <w:r>
        <w:rPr>
          <w:rFonts w:ascii="Times New Roman" w:eastAsia="Times New Roman" w:hAnsi="Times New Roman" w:cs="Times New Roman"/>
          <w:spacing w:val="5"/>
        </w:rPr>
        <w:t>20+</w:t>
      </w:r>
      <w:r>
        <w:rPr>
          <w:rFonts w:ascii="Times New Roman" w:eastAsia="Times New Roman" w:hAnsi="Times New Roman" w:cs="Times New Roman"/>
        </w:rPr>
        <w:t xml:space="preserve"> </w:t>
      </w:r>
      <w:r>
        <w:rPr>
          <w:rFonts w:ascii="Times New Roman" w:eastAsia="Times New Roman" w:hAnsi="Times New Roman" w:cs="Times New Roman"/>
        </w:rPr>
        <w:t>Year Treasury Bond</w:t>
      </w:r>
      <w:r>
        <w:rPr>
          <w:rFonts w:ascii="Times New Roman" w:eastAsia="Times New Roman" w:hAnsi="Times New Roman" w:cs="Times New Roman"/>
          <w:spacing w:val="18"/>
          <w:w w:val="101"/>
        </w:rPr>
        <w:t xml:space="preserve"> </w:t>
      </w:r>
      <w:r>
        <w:rPr>
          <w:rFonts w:ascii="Times New Roman" w:eastAsia="Times New Roman" w:hAnsi="Times New Roman" w:cs="Times New Roman"/>
        </w:rPr>
        <w:t>ETF</w:t>
      </w:r>
      <w:r>
        <w:t>资金流入最多，规模</w:t>
      </w:r>
      <w:r>
        <w:rPr>
          <w:spacing w:val="-1"/>
        </w:rPr>
        <w:t>增速达</w:t>
      </w:r>
      <w:r>
        <w:rPr>
          <w:rFonts w:ascii="Times New Roman" w:eastAsia="Times New Roman" w:hAnsi="Times New Roman" w:cs="Times New Roman"/>
          <w:spacing w:val="-1"/>
        </w:rPr>
        <w:t>70.65%</w:t>
      </w:r>
      <w:r>
        <w:rPr>
          <w:spacing w:val="-1"/>
        </w:rPr>
        <w:t>；投资于</w:t>
      </w:r>
      <w:r>
        <w:rPr>
          <w:rFonts w:ascii="Times New Roman" w:eastAsia="Times New Roman" w:hAnsi="Times New Roman" w:cs="Times New Roman"/>
          <w:spacing w:val="-1"/>
        </w:rPr>
        <w:t>0-3</w:t>
      </w:r>
      <w:r>
        <w:rPr>
          <w:spacing w:val="-1"/>
        </w:rPr>
        <w:t>月国库券</w:t>
      </w:r>
      <w:r>
        <w:t xml:space="preserve"> </w:t>
      </w:r>
      <w:r>
        <w:t>的</w:t>
      </w:r>
      <w:r>
        <w:rPr>
          <w:rFonts w:ascii="Times New Roman" w:eastAsia="Times New Roman" w:hAnsi="Times New Roman" w:cs="Times New Roman"/>
        </w:rPr>
        <w:t>iShares 0-3 Month Treasury Bond ETF</w:t>
      </w:r>
      <w:r>
        <w:t>规模增速</w:t>
      </w:r>
      <w:r>
        <w:rPr>
          <w:spacing w:val="-1"/>
        </w:rPr>
        <w:t>较快，规模年增长率超</w:t>
      </w:r>
      <w:r>
        <w:rPr>
          <w:rFonts w:ascii="Times New Roman" w:eastAsia="Times New Roman" w:hAnsi="Times New Roman" w:cs="Times New Roman"/>
          <w:spacing w:val="-1"/>
        </w:rPr>
        <w:t>200%</w:t>
      </w:r>
      <w:r>
        <w:rPr>
          <w:spacing w:val="-1"/>
        </w:rPr>
        <w:t>。</w:t>
      </w:r>
    </w:p>
    <w:p>
      <w:pPr>
        <w:spacing w:line="338" w:lineRule="auto"/>
        <w:rPr>
          <w:rFonts w:ascii="Arial"/>
          <w:sz w:val="21"/>
        </w:rPr>
      </w:pPr>
      <w:r>
        <w:rPr>
          <w:rFonts w:ascii="Arial"/>
          <w:sz w:val="21"/>
        </w:rPr>
        <w:br/>
      </w:r>
      <w:r>
        <w:rPr>
          <w:rFonts w:ascii="Arial"/>
          <w:sz w:val="21"/>
        </w:rP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20" w:history="1">
        <w:r>
          <w:rPr>
            <w:rFonts w:ascii="SimSun" w:eastAsia="SimSun" w:hAnsi="SimSun" w:cs="SimSun"/>
            <w:b/>
            <w:bCs/>
            <w:noProof w:val="0"/>
            <w:snapToGrid/>
            <w:color w:val="0000EE"/>
            <w:kern w:val="0"/>
            <w:sz w:val="30"/>
            <w:szCs w:val="30"/>
            <w:u w:val="single" w:color="0000EE"/>
          </w:rPr>
          <w:t>https://d.book118.com/208114071050006042</w:t>
        </w:r>
      </w:hyperlink>
    </w:p>
    <w:p>
      <w:pPr>
        <w:spacing w:line="338" w:lineRule="auto"/>
        <w:rPr>
          <w:rFonts w:ascii="Arial"/>
          <w:sz w:val="21"/>
        </w:rPr>
      </w:pPr>
    </w:p>
    <w:sectPr>
      <w:headerReference w:type="default" r:id="rId21"/>
      <w:footerReference w:type="default" r:id="rId22"/>
      <w:pgSz w:w="11907" w:h="16839"/>
      <w:pgMar w:top="1118" w:right="1577" w:bottom="1162" w:left="1579" w:header="877" w:footer="987" w:gutter="0"/>
      <w:pgNumType w:start="5"/>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6" w:lineRule="auto"/>
      <w:ind w:left="4155"/>
      <w:rPr>
        <w:rFonts w:ascii="Segoe UI Semilight" w:eastAsia="Segoe UI Semilight" w:hAnsi="Segoe UI Semilight" w:cs="Segoe UI Semilight"/>
        <w:sz w:val="18"/>
        <w:szCs w:val="18"/>
      </w:rPr>
    </w:pPr>
    <w:r>
      <w:rPr>
        <w:rFonts w:ascii="Segoe UI Semilight" w:eastAsia="Segoe UI Semilight" w:hAnsi="Segoe UI Semilight" w:cs="Segoe UI Semilight"/>
        <w:sz w:val="18"/>
        <w:szCs w:val="18"/>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6" w:lineRule="auto"/>
      <w:ind w:left="4155"/>
      <w:rPr>
        <w:rFonts w:ascii="Segoe UI Semilight" w:eastAsia="Segoe UI Semilight" w:hAnsi="Segoe UI Semilight" w:cs="Segoe UI Semilight"/>
        <w:sz w:val="18"/>
        <w:szCs w:val="18"/>
      </w:rPr>
    </w:pPr>
    <w:r>
      <w:rPr>
        <w:rFonts w:ascii="Segoe UI Semilight" w:eastAsia="Segoe UI Semilight" w:hAnsi="Segoe UI Semilight" w:cs="Segoe UI Semilight"/>
        <w:sz w:val="18"/>
        <w:szCs w:val="18"/>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5" w:lineRule="auto"/>
      <w:ind w:left="4142"/>
      <w:rPr>
        <w:rFonts w:ascii="Segoe UI Semilight" w:eastAsia="Segoe UI Semilight" w:hAnsi="Segoe UI Semilight" w:cs="Segoe UI Semilight"/>
        <w:sz w:val="18"/>
        <w:szCs w:val="18"/>
      </w:rPr>
    </w:pPr>
    <w:r>
      <w:rPr>
        <w:rFonts w:ascii="Segoe UI Semilight" w:eastAsia="Segoe UI Semilight" w:hAnsi="Segoe UI Semilight" w:cs="Segoe UI Semilight"/>
        <w:sz w:val="18"/>
        <w:szCs w:val="18"/>
      </w:rP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5" w:lineRule="auto"/>
      <w:ind w:left="4142"/>
      <w:rPr>
        <w:rFonts w:ascii="Segoe UI Semilight" w:eastAsia="Segoe UI Semilight" w:hAnsi="Segoe UI Semilight" w:cs="Segoe UI Semilight"/>
        <w:sz w:val="18"/>
        <w:szCs w:val="18"/>
      </w:rPr>
    </w:pPr>
    <w:r>
      <w:rPr>
        <w:rFonts w:ascii="Segoe UI Semilight" w:eastAsia="Segoe UI Semilight" w:hAnsi="Segoe UI Semilight" w:cs="Segoe UI Semilight"/>
        <w:sz w:val="18"/>
        <w:szCs w:val="18"/>
      </w:rPr>
      <w:t>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5" w:lineRule="auto"/>
      <w:ind w:left="4336"/>
      <w:rPr>
        <w:rFonts w:ascii="Segoe UI Semilight" w:eastAsia="Segoe UI Semilight" w:hAnsi="Segoe UI Semilight" w:cs="Segoe UI Semilight"/>
        <w:sz w:val="18"/>
        <w:szCs w:val="18"/>
      </w:rPr>
    </w:pPr>
    <w:r>
      <w:rPr>
        <w:rFonts w:ascii="Segoe UI Semilight" w:eastAsia="Segoe UI Semilight" w:hAnsi="Segoe UI Semilight" w:cs="Segoe UI Semilight"/>
        <w:sz w:val="18"/>
        <w:szCs w:val="18"/>
      </w:rPr>
      <w:t>3</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8" w:lineRule="auto"/>
      <w:ind w:left="2651"/>
      <w:rPr>
        <w:sz w:val="18"/>
        <w:szCs w:val="18"/>
      </w:rPr>
    </w:pPr>
    <w:r>
      <w:pict>
        <v:shape id="_x0000_s2049" style="width:418.3pt;height:0.75pt;margin-top:55.2pt;margin-left:88.58pt;mso-position-horizontal-relative:page;mso-position-vertical-relative:page;position:absolute;z-index:251658240" coordorigin="0,0" coordsize="8365,15" o:allowincell="f" path="m,14l8365,14l8365,l,l,14xe" filled="t" fillcolor="black" stroked="f"/>
      </w:pict>
    </w:r>
    <w:r>
      <w:rPr>
        <w:spacing w:val="1"/>
        <w:sz w:val="18"/>
        <w:szCs w:val="18"/>
      </w:rPr>
      <w:t>固定收益指数化投资发展年度报告（</w:t>
    </w:r>
    <w:r>
      <w:rPr>
        <w:rFonts w:ascii="Times New Roman" w:eastAsia="Times New Roman" w:hAnsi="Times New Roman" w:cs="Times New Roman"/>
        <w:spacing w:val="1"/>
        <w:sz w:val="18"/>
        <w:szCs w:val="18"/>
      </w:rPr>
      <w:t>2023</w:t>
    </w:r>
    <w:r>
      <w:rPr>
        <w:spacing w:val="1"/>
        <w:sz w:val="18"/>
        <w:szCs w:val="18"/>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8" w:lineRule="auto"/>
      <w:ind w:left="2651"/>
      <w:rPr>
        <w:sz w:val="18"/>
        <w:szCs w:val="18"/>
      </w:rPr>
    </w:pPr>
    <w:r>
      <w:pict>
        <v:shape id="_x0000_s2050" style="width:418.3pt;height:0.75pt;margin-top:55.2pt;margin-left:88.58pt;mso-position-horizontal-relative:page;mso-position-vertical-relative:page;position:absolute;z-index:251659264" coordorigin="0,0" coordsize="8365,15" o:allowincell="f" path="m,14l8365,14l8365,l,l,14xe" filled="t" fillcolor="black" stroked="f"/>
      </w:pict>
    </w:r>
    <w:r>
      <w:rPr>
        <w:spacing w:val="1"/>
        <w:sz w:val="18"/>
        <w:szCs w:val="18"/>
      </w:rPr>
      <w:t>固定收益指数化投资发展年度报告（</w:t>
    </w:r>
    <w:r>
      <w:rPr>
        <w:rFonts w:ascii="Times New Roman" w:eastAsia="Times New Roman" w:hAnsi="Times New Roman" w:cs="Times New Roman"/>
        <w:spacing w:val="1"/>
        <w:sz w:val="18"/>
        <w:szCs w:val="18"/>
      </w:rPr>
      <w:t>2023</w:t>
    </w:r>
    <w:r>
      <w:rPr>
        <w:spacing w:val="1"/>
        <w:sz w:val="18"/>
        <w:szCs w:val="18"/>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8" w:lineRule="auto"/>
      <w:ind w:left="2651"/>
      <w:rPr>
        <w:sz w:val="18"/>
        <w:szCs w:val="18"/>
      </w:rPr>
    </w:pPr>
    <w:r>
      <w:pict>
        <v:shape id="_x0000_s2051" style="width:418.3pt;height:0.75pt;margin-top:55.2pt;margin-left:88.58pt;mso-position-horizontal-relative:page;mso-position-vertical-relative:page;position:absolute;z-index:251660288" coordorigin="0,0" coordsize="8365,15" o:allowincell="f" path="m,14l8365,14l8365,l,l,14xe" filled="t" fillcolor="black" stroked="f"/>
      </w:pict>
    </w:r>
    <w:r>
      <w:rPr>
        <w:spacing w:val="1"/>
        <w:sz w:val="18"/>
        <w:szCs w:val="18"/>
      </w:rPr>
      <w:t>固定收益指数化投资发展年度报告（</w:t>
    </w:r>
    <w:r>
      <w:rPr>
        <w:rFonts w:ascii="Times New Roman" w:eastAsia="Times New Roman" w:hAnsi="Times New Roman" w:cs="Times New Roman"/>
        <w:spacing w:val="1"/>
        <w:sz w:val="18"/>
        <w:szCs w:val="18"/>
      </w:rPr>
      <w:t>2023</w:t>
    </w:r>
    <w:r>
      <w:rPr>
        <w:spacing w:val="1"/>
        <w:sz w:val="18"/>
        <w:szCs w:val="18"/>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8" w:lineRule="auto"/>
      <w:ind w:left="2651"/>
      <w:rPr>
        <w:sz w:val="18"/>
        <w:szCs w:val="18"/>
      </w:rPr>
    </w:pPr>
    <w:r>
      <w:pict>
        <v:shape id="_x0000_s2052" style="width:418.3pt;height:0.75pt;margin-top:55.2pt;margin-left:88.58pt;mso-position-horizontal-relative:page;mso-position-vertical-relative:page;position:absolute;z-index:251661312" coordorigin="0,0" coordsize="8365,15" o:allowincell="f" path="m,14l8365,14l8365,l,l,14xe" filled="t" fillcolor="black" stroked="f"/>
      </w:pict>
    </w:r>
    <w:r>
      <w:rPr>
        <w:spacing w:val="1"/>
        <w:sz w:val="18"/>
        <w:szCs w:val="18"/>
      </w:rPr>
      <w:t>固定收益指数化投资发展年度报告（</w:t>
    </w:r>
    <w:r>
      <w:rPr>
        <w:rFonts w:ascii="Times New Roman" w:eastAsia="Times New Roman" w:hAnsi="Times New Roman" w:cs="Times New Roman"/>
        <w:spacing w:val="1"/>
        <w:sz w:val="18"/>
        <w:szCs w:val="18"/>
      </w:rPr>
      <w:t>2023</w:t>
    </w:r>
    <w:r>
      <w:rPr>
        <w:spacing w:val="1"/>
        <w:sz w:val="18"/>
        <w:szCs w:val="18"/>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8" w:lineRule="auto"/>
      <w:ind w:left="2843"/>
      <w:rPr>
        <w:sz w:val="18"/>
        <w:szCs w:val="18"/>
      </w:rPr>
    </w:pPr>
    <w:r>
      <w:pict>
        <v:shape id="_x0000_s2053" style="width:418.3pt;height:0.75pt;margin-top:55.2pt;margin-left:88.58pt;mso-position-horizontal-relative:page;mso-position-vertical-relative:page;position:absolute;z-index:251662336" coordorigin="0,0" coordsize="8365,15" o:allowincell="f" path="m,14l8365,14l8365,l,l,14xe" filled="t" fillcolor="black" stroked="f"/>
      </w:pict>
    </w:r>
    <w:r>
      <w:rPr>
        <w:spacing w:val="1"/>
        <w:sz w:val="18"/>
        <w:szCs w:val="18"/>
      </w:rPr>
      <w:t>固定收益指数化投资发展年度报告（</w:t>
    </w:r>
    <w:r>
      <w:rPr>
        <w:rFonts w:ascii="Times New Roman" w:eastAsia="Times New Roman" w:hAnsi="Times New Roman" w:cs="Times New Roman"/>
        <w:spacing w:val="1"/>
        <w:sz w:val="18"/>
        <w:szCs w:val="18"/>
      </w:rPr>
      <w:t>2023</w:t>
    </w:r>
    <w:r>
      <w:rPr>
        <w:spacing w:val="1"/>
        <w:sz w:val="18"/>
        <w:szCs w:val="18"/>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BodyText">
    <w:name w:val="Body Text"/>
    <w:basedOn w:val="Normal"/>
    <w:semiHidden/>
    <w:qFormat/>
    <w:rPr>
      <w:rFonts w:ascii="FangSong" w:eastAsia="FangSong" w:hAnsi="FangSong" w:cs="FangSong"/>
      <w:sz w:val="24"/>
      <w:szCs w:val="24"/>
      <w:lang w:val="en-US" w:eastAsia="en-US" w:bidi="ar-SA"/>
    </w:rPr>
  </w:style>
  <w:style w:type="paragraph" w:customStyle="1" w:styleId="TableText">
    <w:name w:val="Table Text"/>
    <w:basedOn w:val="Normal"/>
    <w:semiHidden/>
    <w:qFormat/>
    <w:rPr>
      <w:rFonts w:ascii="Arial" w:eastAsia="Arial" w:hAnsi="Arial" w:cs="Arial"/>
      <w:sz w:val="21"/>
      <w:szCs w:val="21"/>
      <w:lang w:val="en-US" w:eastAsia="en-US" w:bidi="ar-SA"/>
    </w:rPr>
  </w:style>
  <w:style w:type="table" w:customStyle="1" w:styleId="TableNormal0">
    <w:name w:val="Table Normal_0"/>
    <w:semiHidden/>
    <w:unhideWhenUsed/>
    <w:qFormat/>
    <w:tblPr>
      <w:tblCellMar>
        <w:top w:w="0" w:type="dxa"/>
        <w:left w:w="0" w:type="dxa"/>
        <w:bottom w:w="0" w:type="dxa"/>
        <w:right w:w="0" w:type="dxa"/>
      </w:tblCellMar>
    </w:tblPr>
  </w:style>
  <w:style w:type="table" w:customStyle="1" w:styleId="TableNormal1">
    <w:name w:val="Table Normal_1"/>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1" Type="http://schemas.openxmlformats.org/officeDocument/2006/relationships/image" Target="media/image4.png"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footer" Target="footer4.xml" /><Relationship Id="rId16" Type="http://schemas.openxmlformats.org/officeDocument/2006/relationships/image" Target="media/image5.png" /><Relationship Id="rId17" Type="http://schemas.openxmlformats.org/officeDocument/2006/relationships/image" Target="media/image6.jpeg" /><Relationship Id="rId18" Type="http://schemas.openxmlformats.org/officeDocument/2006/relationships/image" Target="media/image7.png" /><Relationship Id="rId19" Type="http://schemas.openxmlformats.org/officeDocument/2006/relationships/image" Target="media/image8.png" /><Relationship Id="rId2" Type="http://schemas.openxmlformats.org/officeDocument/2006/relationships/webSettings" Target="webSettings.xml" /><Relationship Id="rId20" Type="http://schemas.openxmlformats.org/officeDocument/2006/relationships/hyperlink" Target="https://d.book118.com/208114071050006042" TargetMode="External" /><Relationship Id="rId21" Type="http://schemas.openxmlformats.org/officeDocument/2006/relationships/header" Target="header5.xml" /><Relationship Id="rId22" Type="http://schemas.openxmlformats.org/officeDocument/2006/relationships/footer" Target="footer5.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image" Target="media/image1.png"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htc</dc:creator>
  <cp:revision>0</cp:revision>
  <dcterms:created xsi:type="dcterms:W3CDTF">2024-03-04T20:15:48Z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2024-03-04T20:28:16Z</vt:filetime>
  </property>
  <property fmtid="{D5CDD505-2E9C-101B-9397-08002B2CF9AE}" pid="3" name="CRO">
    <vt:lpwstr>wqlLaW5nc29mdCBQREYgdG8gV1BTIDkw</vt:lpwstr>
  </property>
</Properties>
</file>