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B249609"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59CA0E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83A71A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5263615" w14:textId="77777777">
                          <w:pPr>
                            <w:pStyle w:val="NoSpacing"/>
                            <w:jc w:val="right"/>
                            <w:rPr>
                              <w:color w:val="595959" w:themeColor="text1" w:themeTint="A6"/>
                              <w:sz w:val="32"/>
                              <w:szCs w:val="32"/>
                            </w:rPr>
                          </w:pPr>
                          <w:sdt>
                            <w:sdtPr>
                              <w:rPr>
                                <w:color w:val="595959" w:themeColor="text1" w:themeTint="A6"/>
                                <w:sz w:val="32"/>
                                <w:szCs w:val="32"/>
                              </w:rPr>
                              <w:alias w:val="摘要"/>
                              <w:id w:val="202208971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9940810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B676D9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9E47EC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02317901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74D836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4D66CC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117EF7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E4AE559"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A4D72D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83C082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210F2C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F3E310D"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FECB67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721A011"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006911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6F985F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D95F1D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C6B57B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D0FD69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3A7A4D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16C758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E4606E"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C5426E4"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364D05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D999FCD"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994618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29590862"/>
        <w:docPartObj>
          <w:docPartGallery w:val="Table of Contents"/>
          <w:docPartUnique/>
        </w:docPartObj>
      </w:sdtPr>
      <w:sdtEndPr>
        <w:rPr>
          <w:b/>
          <w:bCs/>
        </w:rPr>
      </w:sdtEndPr>
      <w:sdtContent>
        <w:p w:rsidR="00483551" w:rsidRPr="00913CD1" w:rsidP="00457322" w14:paraId="5C6E3AA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BCD04D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340773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B2A4628"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FD249D1"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166B64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C6CD74D"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68CA6AD"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CE2FE81"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B4A9BE4"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84B4B93"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9F26C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39ED0F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EC2A00A"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B828E7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A9FC46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E3F1343"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4D2DBD0"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84798A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DB8DDB9"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81EB08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C66752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29375169"/>
        <w:docPartObj>
          <w:docPartGallery w:val="Table of Contents"/>
          <w:docPartUnique/>
        </w:docPartObj>
      </w:sdtPr>
      <w:sdtEndPr>
        <w:rPr>
          <w:b/>
          <w:bCs/>
        </w:rPr>
      </w:sdtEndPr>
      <w:sdtContent>
        <w:p w:rsidR="00483551" w:rsidRPr="00913CD1" w:rsidP="00457322" w14:paraId="21A9DBD3"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C62E20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885FF1C"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798A379"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5C42BAE"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1CC7A1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C73BF6F"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F83D652"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FC1EF31"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0E01F7C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C8A6F7E"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5E42072"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BBD900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24A40F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5AC26D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859F1E6"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DA1D37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439ED3E"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D4F572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7CEBDF7"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15AAE4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EDCDC3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16287487"/>
        <w:docPartObj>
          <w:docPartGallery w:val="Table of Contents"/>
          <w:docPartUnique/>
        </w:docPartObj>
      </w:sdtPr>
      <w:sdtEndPr>
        <w:rPr>
          <w:b/>
          <w:bCs/>
        </w:rPr>
      </w:sdtEndPr>
      <w:sdtContent>
        <w:p w:rsidR="00483551" w:rsidRPr="00913CD1" w:rsidP="00457322" w14:paraId="19FA196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AAE61CF"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EEB1BA9"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C911DF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636E15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26FE6A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9F06DE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7B543F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FFC12D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46AEAD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4BF1650"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1C7D25B"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9DDB7FD"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9E830F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BAB353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22575B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222D00B"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C93FD8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472F5F8"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71F98" w14:paraId="29530C94" w14:textId="5593059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航天器电源项目可行性分析报告编制的目的在于对拟实施的航天器电源项目进行全面、系统的分析和评估，以确定该项目是否具有实施的价值和可行性。通过编制该报告，可以为国家航天部门提供决策依据，确保资源的有效配置和利用，降低项目风险，提高项目成功率。具体来说，编制该报告的意义包括：</w:t>
      </w:r>
      <w:r>
        <w:rPr>
          <w:rFonts w:ascii="仿宋" w:eastAsia="仿宋" w:hAnsi="仿宋"/>
          <w:sz w:val="28"/>
        </w:rPr>
        <w:br/>
        <w:t xml:space="preserve">    1.</w:t>
      </w:r>
      <w:r>
        <w:rPr>
          <w:rFonts w:ascii="仿宋" w:eastAsia="仿宋" w:hAnsi="仿宋"/>
          <w:sz w:val="28"/>
        </w:rPr>
        <w:t>明确项目目标：通过分析，可以明确航天器电源项目的具体目标、任务和指标，确保项目实施具有清晰的方向和明确的目的。</w:t>
      </w:r>
      <w:r>
        <w:rPr>
          <w:rFonts w:ascii="仿宋" w:eastAsia="仿宋" w:hAnsi="仿宋"/>
          <w:sz w:val="28"/>
        </w:rPr>
        <w:br/>
        <w:t xml:space="preserve">    2.</w:t>
      </w:r>
      <w:r>
        <w:rPr>
          <w:rFonts w:ascii="仿宋" w:eastAsia="仿宋" w:hAnsi="仿宋"/>
          <w:sz w:val="28"/>
        </w:rPr>
        <w:t>评估技术可行性：对项目所涉及的关键技术进行评估，确定技术是否成熟，是否存在技术瓶颈，以及是否需要进一步研发或技术引进。</w:t>
      </w:r>
      <w:r>
        <w:rPr>
          <w:rFonts w:ascii="仿宋" w:eastAsia="仿宋" w:hAnsi="仿宋"/>
          <w:sz w:val="28"/>
        </w:rPr>
        <w:br/>
        <w:t xml:space="preserve">    3.</w:t>
      </w:r>
      <w:r>
        <w:rPr>
          <w:rFonts w:ascii="仿宋" w:eastAsia="仿宋" w:hAnsi="仿宋"/>
          <w:sz w:val="28"/>
        </w:rPr>
        <w:t>成本效益分析：通过对项目预期成本和收益的详细计算和比较，评估项目是否具有经济可行性，是否能够为国家带来预期的经济效益和社会效益。</w:t>
      </w:r>
      <w:r>
        <w:rPr>
          <w:rFonts w:ascii="仿宋" w:eastAsia="仿宋" w:hAnsi="仿宋"/>
          <w:sz w:val="28"/>
        </w:rPr>
        <w:br/>
        <w:t xml:space="preserve">    4.</w:t>
      </w:r>
      <w:r>
        <w:rPr>
          <w:rFonts w:ascii="仿宋" w:eastAsia="仿宋" w:hAnsi="仿宋"/>
          <w:sz w:val="28"/>
        </w:rPr>
        <w:t>风险评估：识别项目可能面临的各种风险，如技术风险、市场风险、管理风险等，并制定相应的风险应对策略，降低项目的不确定性。</w:t>
      </w:r>
      <w:r>
        <w:rPr>
          <w:rFonts w:ascii="仿宋" w:eastAsia="仿宋" w:hAnsi="仿宋"/>
          <w:sz w:val="28"/>
        </w:rPr>
        <w:br/>
        <w:t xml:space="preserve">    5.</w:t>
      </w:r>
    </w:p>
    <w:p w:rsidR="00B71F98" w14:textId="55930599">
      <w:pPr>
        <w:ind w:firstLine="561"/>
      </w:pPr>
      <w:r>
        <w:rPr>
          <w:rFonts w:ascii="仿宋" w:eastAsia="仿宋" w:hAnsi="仿宋"/>
          <w:sz w:val="28"/>
        </w:rPr>
        <w:t>政策合规性：确保项目符合国家的相关法律法规和政策要求，避免项目在实施过程中因政策问题而受阻。</w:t>
      </w:r>
      <w:r>
        <w:rPr>
          <w:rFonts w:ascii="仿宋" w:eastAsia="仿宋" w:hAnsi="仿宋"/>
          <w:sz w:val="28"/>
        </w:rPr>
        <w:br/>
        <w:t xml:space="preserve">    6.</w:t>
      </w:r>
      <w:r>
        <w:rPr>
          <w:rFonts w:ascii="仿宋" w:eastAsia="仿宋" w:hAnsi="仿宋"/>
          <w:sz w:val="28"/>
        </w:rPr>
        <w:t>资源配置优化：通过对人力、物力、财力等资源的合理配置，确保项目能够在有限的资源条件下实现最优效果。</w:t>
      </w:r>
      <w:r>
        <w:rPr>
          <w:rFonts w:ascii="仿宋" w:eastAsia="仿宋" w:hAnsi="仿宋"/>
          <w:sz w:val="28"/>
        </w:rPr>
        <w:br/>
        <w:t xml:space="preserve">    7.</w:t>
      </w:r>
      <w:r>
        <w:rPr>
          <w:rFonts w:ascii="仿宋" w:eastAsia="仿宋" w:hAnsi="仿宋"/>
          <w:sz w:val="28"/>
        </w:rPr>
        <w:t>推动航天技术发展：通过项目的实施，可以促进航天器电源技术的发展和创新，提升国家的航天技术水平。</w:t>
      </w:r>
      <w:r>
        <w:rPr>
          <w:rFonts w:ascii="仿宋" w:eastAsia="仿宋" w:hAnsi="仿宋"/>
          <w:sz w:val="28"/>
        </w:rPr>
        <w:br/>
        <w:t xml:space="preserve">    8.</w:t>
      </w:r>
      <w:r>
        <w:rPr>
          <w:rFonts w:ascii="仿宋" w:eastAsia="仿宋" w:hAnsi="仿宋"/>
          <w:sz w:val="28"/>
        </w:rPr>
        <w:t>增强国际竞争力：高质量的航天器电源项目能够为国家带来显著的科技和经济效益，增强国家在国际航天领域的竞争力和话语权。</w:t>
      </w:r>
      <w:r>
        <w:rPr>
          <w:rFonts w:ascii="仿宋" w:eastAsia="仿宋" w:hAnsi="仿宋"/>
          <w:sz w:val="28"/>
        </w:rPr>
        <w:br/>
      </w:r>
      <w:r>
        <w:rPr>
          <w:rFonts w:ascii="仿宋" w:eastAsia="仿宋" w:hAnsi="仿宋"/>
          <w:sz w:val="28"/>
        </w:rPr>
        <w:t>综上所述，航天器电源项目可行性分析报告的编制对于确保项目成功实施、提高资源利用效率、降低项目风险以及推动国家航天事业发展具有重要意义。</w:t>
      </w:r>
    </w:p>
    <w:p w:rsidR="009D1637" w:rsidRPr="00913CD1" w:rsidP="00457322" w14:paraId="7216494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C07105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60C010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5902E53"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74E1C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AAC93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09A513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CEB590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BC2DE0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DCC516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25C230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3B997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203F9F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7D98414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50E345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CFBA45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CDC34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6E3B5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8A5C6A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AC2FC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55B33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6D839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032E0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AD8EA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E96D1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ADD0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B5635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w:t>
      </w:r>
    </w:p>
    <w:p w:rsidR="009D1637" w:rsidRPr="00913CD1" w:rsidP="00457322" w14:paraId="754001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w:t>
      </w:r>
    </w:p>
    <w:p w:rsidR="009D1637" w:rsidRPr="00913CD1" w:rsidP="00457322" w14:paraId="338000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09B75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6FDA7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C1DB0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A077D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C60C1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6EB79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290D5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航天器电源产品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95F268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航天器电源</w:t>
      </w:r>
      <w:r w:rsidRPr="00913CD1">
        <w:rPr>
          <w:rFonts w:ascii="仿宋" w:eastAsia="仿宋" w:hAnsi="仿宋"/>
        </w:rPr>
        <w:t>项目绪论</w:t>
      </w:r>
      <w:bookmarkEnd w:id="4"/>
    </w:p>
    <w:p w:rsidR="009D1637" w:rsidRPr="00913CD1" w:rsidP="00457322" w14:paraId="0256AC2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航天器电源</w:t>
      </w:r>
      <w:r w:rsidRPr="00913CD1">
        <w:rPr>
          <w:rFonts w:ascii="仿宋" w:eastAsia="仿宋" w:hAnsi="仿宋"/>
        </w:rPr>
        <w:t>项目名称及建设性质</w:t>
      </w:r>
      <w:bookmarkEnd w:id="5"/>
    </w:p>
    <w:p w:rsidR="009D1637" w:rsidRPr="00913CD1" w:rsidP="00457322" w14:paraId="5216AE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项目名称</w:t>
      </w:r>
    </w:p>
    <w:p w:rsidR="009D1637" w:rsidRPr="00913CD1" w:rsidP="00457322" w14:paraId="4B2D90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w:t>
      </w:r>
    </w:p>
    <w:p w:rsidR="009D1637" w:rsidRPr="00913CD1" w:rsidP="00457322" w14:paraId="2E12D1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项目建设性质</w:t>
      </w:r>
    </w:p>
    <w:p w:rsidR="009D1637" w:rsidRPr="00913CD1" w:rsidP="00457322" w14:paraId="2301A0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航天器电源</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07BF35E"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航天器电源</w:t>
      </w:r>
      <w:r w:rsidRPr="00913CD1">
        <w:rPr>
          <w:rFonts w:ascii="仿宋" w:eastAsia="仿宋" w:hAnsi="仿宋"/>
        </w:rPr>
        <w:t>项目承办单位</w:t>
      </w:r>
      <w:bookmarkEnd w:id="6"/>
    </w:p>
    <w:p w:rsidR="009D1637" w:rsidRPr="00913CD1" w:rsidP="00457322" w14:paraId="7E341D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项目实施主体</w:t>
      </w:r>
    </w:p>
    <w:p w:rsidR="009D1637" w:rsidRPr="00913CD1" w:rsidP="00457322" w14:paraId="305A2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D647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20B01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项目信息。</w:t>
      </w:r>
    </w:p>
    <w:p w:rsidR="009D1637" w:rsidRPr="00913CD1" w:rsidP="00457322" w14:paraId="5B3C87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3C1FDA5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D07D9A7"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135AF4A"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39278A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52AB505"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航天器电源</w:t>
      </w:r>
      <w:r w:rsidRPr="00913CD1">
        <w:rPr>
          <w:rFonts w:ascii="仿宋" w:eastAsia="仿宋" w:hAnsi="仿宋"/>
        </w:rPr>
        <w:t>项目定位及建设理由</w:t>
      </w:r>
      <w:bookmarkEnd w:id="7"/>
    </w:p>
    <w:p w:rsidR="00B71F98" w14:paraId="126F5650" w14:textId="712086F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航天器电源项目可行性分析报告中的项目定位及建设理由应清晰阐述项目在航天器研发和运行中的重要作用，以及建设该项目的必要性和紧迫性。报告应基于对市场需求的深入调研、技术发展趋势的分析以及国家航天战略的考量，论证项目在推动航天技术进步、提升国家航天竞争力方面的战略价值。</w:t>
      </w:r>
      <w:r>
        <w:rPr>
          <w:rFonts w:ascii="仿宋" w:eastAsia="仿宋" w:hAnsi="仿宋"/>
          <w:sz w:val="28"/>
        </w:rPr>
        <w:br/>
      </w:r>
      <w:r>
        <w:rPr>
          <w:rFonts w:ascii="仿宋" w:eastAsia="仿宋" w:hAnsi="仿宋"/>
          <w:sz w:val="28"/>
        </w:rPr>
        <w:t>首先，项目定位应明确航天器电源系统在航天器整体架构中的关键地位，强调其对保障航天器正常运行、完成预定任务的关键作用。电源系统不仅是航天器的能量来源，更是维持其生命支持、通信、科学实验等各类载荷正常工作的基础。因此，建设一个高效、可靠的电源系统对于航天器的成功发射和长期在轨运行至关重要。</w:t>
      </w:r>
      <w:r>
        <w:rPr>
          <w:rFonts w:ascii="仿宋" w:eastAsia="仿宋" w:hAnsi="仿宋"/>
          <w:sz w:val="28"/>
        </w:rPr>
        <w:br/>
      </w:r>
      <w:r>
        <w:rPr>
          <w:rFonts w:ascii="仿宋" w:eastAsia="仿宋" w:hAnsi="仿宋"/>
          <w:sz w:val="28"/>
        </w:rPr>
        <w:t>其次，建设理由应包括以下几点：</w:t>
      </w:r>
    </w:p>
    <w:p w:rsidR="00B71F98" w14:textId="712086FE">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技术先进性：项目应采用先进的空间电源技术，如太阳能帆板技术、核动力技术、新型电池技术等，以确保电源系统的性能达到国际领先水平，满足未来航天任务对能源的高要求。</w:t>
      </w:r>
      <w:r>
        <w:rPr>
          <w:rFonts w:ascii="仿宋" w:eastAsia="仿宋" w:hAnsi="仿宋"/>
          <w:sz w:val="28"/>
        </w:rPr>
        <w:br/>
        <w:t xml:space="preserve">    2.</w:t>
      </w:r>
      <w:r>
        <w:rPr>
          <w:rFonts w:ascii="仿宋" w:eastAsia="仿宋" w:hAnsi="仿宋"/>
          <w:sz w:val="28"/>
        </w:rPr>
        <w:t>市场需求：随着全球航天事业的快速发展，对各种类型的航天器需求日益增长，尤其是对能源供应稳定、效率高的电源系统需求更为迫切。因此，建设航天器电源项目能够有效满足市场对高质量航天器电源解决方案的需求。</w:t>
      </w:r>
      <w:r>
        <w:rPr>
          <w:rFonts w:ascii="仿宋" w:eastAsia="仿宋" w:hAnsi="仿宋"/>
          <w:sz w:val="28"/>
        </w:rPr>
        <w:br/>
        <w:t xml:space="preserve">    3.</w:t>
      </w:r>
      <w:r>
        <w:rPr>
          <w:rFonts w:ascii="仿宋" w:eastAsia="仿宋" w:hAnsi="仿宋"/>
          <w:sz w:val="28"/>
        </w:rPr>
        <w:t>经济可行性：通过对项目成本、收益和投资回报率等经济指标的详细分析，论证项目在经济上的可行性和潜在的经济效益，包括降低成本、提高效率、增加收入等方面。</w:t>
      </w:r>
      <w:r>
        <w:rPr>
          <w:rFonts w:ascii="仿宋" w:eastAsia="仿宋" w:hAnsi="仿宋"/>
          <w:sz w:val="28"/>
        </w:rPr>
        <w:br/>
        <w:t xml:space="preserve">    4.</w:t>
      </w:r>
      <w:r>
        <w:rPr>
          <w:rFonts w:ascii="仿宋" w:eastAsia="仿宋" w:hAnsi="仿宋"/>
          <w:sz w:val="28"/>
        </w:rPr>
        <w:t>社会效益：项目的建设将带动相关产业链的发展，促进技术创新和产业升级，同时为国家航天事业的发展做出贡献，提升国家的科技实力和综合国力。</w:t>
      </w:r>
      <w:r>
        <w:rPr>
          <w:rFonts w:ascii="仿宋" w:eastAsia="仿宋" w:hAnsi="仿宋"/>
          <w:sz w:val="28"/>
        </w:rPr>
        <w:br/>
        <w:t xml:space="preserve">    5.</w:t>
      </w:r>
      <w:r>
        <w:rPr>
          <w:rFonts w:ascii="仿宋" w:eastAsia="仿宋" w:hAnsi="仿宋"/>
          <w:sz w:val="28"/>
        </w:rPr>
        <w:t>政策支持：分析国家相关航天政策和产业扶持政策，说明项目在政策环境上的有利条件，以及如何利用政策支持来推动项目的顺利实施。</w:t>
      </w:r>
      <w:r>
        <w:rPr>
          <w:rFonts w:ascii="仿宋" w:eastAsia="仿宋" w:hAnsi="仿宋"/>
          <w:sz w:val="28"/>
        </w:rPr>
        <w:br/>
      </w:r>
      <w:r>
        <w:rPr>
          <w:rFonts w:ascii="仿宋" w:eastAsia="仿宋" w:hAnsi="仿宋"/>
          <w:sz w:val="28"/>
        </w:rPr>
        <w:t>综上所述，航天器电源项目可行性分析报告中的项目定位及建设理由应充分体现项目的技术先进性、市场需求、经济可行性、社会效益以及政策支持等多个维度，从而为项目的实施提供强有力的论证基础。</w:t>
      </w:r>
    </w:p>
    <w:p w:rsidR="009D1637" w:rsidRPr="00913CD1" w:rsidP="00457322" w14:paraId="544EF83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494C5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A5B1520"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3461E9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410D9B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航天器电源</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657CAD7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航天器电源</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B17E80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航天器电源</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F2E268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8898B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FA727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AA5BC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34F41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项目功能、盈利性等</w:t>
      </w:r>
    </w:p>
    <w:p w:rsidR="007D3AEE" w:rsidRPr="00913CD1" w:rsidP="00457322" w14:paraId="427E4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2B2725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2DA0A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1DCB948"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航天器电源</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项目建设的可行性和效益的合理性。</w:t>
      </w:r>
    </w:p>
    <w:p w:rsidR="009D1637" w:rsidRPr="00913CD1" w:rsidP="00457322" w14:paraId="1BBCDE1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航天器电源</w:t>
      </w:r>
      <w:r w:rsidRPr="00913CD1">
        <w:rPr>
          <w:rFonts w:ascii="仿宋" w:eastAsia="仿宋" w:hAnsi="仿宋"/>
        </w:rPr>
        <w:t>项目建设选址</w:t>
      </w:r>
      <w:bookmarkEnd w:id="9"/>
    </w:p>
    <w:p w:rsidR="009D1637" w:rsidRPr="00913CD1" w:rsidP="00457322" w14:paraId="37A0F7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项目选址及规划</w:t>
      </w:r>
    </w:p>
    <w:p w:rsidR="009D1637" w:rsidRPr="00913CD1" w:rsidP="00457322" w14:paraId="354450A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项目的建设。</w:t>
      </w:r>
    </w:p>
    <w:p w:rsidR="009D1637" w:rsidRPr="00913CD1" w:rsidP="00457322" w14:paraId="18D6F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项目背景及选址理由</w:t>
      </w:r>
    </w:p>
    <w:p w:rsidR="009D1637" w:rsidRPr="00913CD1" w:rsidP="00457322" w14:paraId="0AE944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项目背景</w:t>
      </w:r>
    </w:p>
    <w:p w:rsidR="00B71F98" w14:paraId="3207E2B8" w14:textId="3D3653D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航天器电源项目可行性分析报告中的项目背景通常包括以下几个方面：</w:t>
      </w:r>
      <w:r>
        <w:rPr>
          <w:rFonts w:ascii="仿宋" w:eastAsia="仿宋" w:hAnsi="仿宋"/>
          <w:sz w:val="28"/>
        </w:rPr>
        <w:br/>
        <w:t xml:space="preserve">    1.</w:t>
      </w:r>
      <w:r>
        <w:rPr>
          <w:rFonts w:ascii="仿宋" w:eastAsia="仿宋" w:hAnsi="仿宋"/>
          <w:sz w:val="28"/>
        </w:rPr>
        <w:t>航天器电源概述</w:t>
      </w:r>
      <w:r>
        <w:rPr>
          <w:rFonts w:ascii="仿宋" w:eastAsia="仿宋" w:hAnsi="仿宋"/>
          <w:sz w:val="28"/>
        </w:rPr>
        <w:t>：简要介绍航天器电源在航天任务中的重要作用，包括其功能、特点以及技术要求。</w:t>
      </w:r>
      <w:r>
        <w:rPr>
          <w:rFonts w:ascii="仿宋" w:eastAsia="仿宋" w:hAnsi="仿宋"/>
          <w:sz w:val="28"/>
        </w:rPr>
        <w:br/>
        <w:t xml:space="preserve">    2.</w:t>
      </w:r>
      <w:r>
        <w:rPr>
          <w:rFonts w:ascii="仿宋" w:eastAsia="仿宋" w:hAnsi="仿宋"/>
          <w:sz w:val="28"/>
        </w:rPr>
        <w:t>国内外发展现状</w:t>
      </w:r>
      <w:r>
        <w:rPr>
          <w:rFonts w:ascii="仿宋" w:eastAsia="仿宋" w:hAnsi="仿宋"/>
          <w:sz w:val="28"/>
        </w:rPr>
        <w:t>：分析国内外航天器电源技术的发展水平，包括关键技术突破、应用现状以及未来的发展趋势。</w:t>
      </w:r>
      <w:r>
        <w:rPr>
          <w:rFonts w:ascii="仿宋" w:eastAsia="仿宋" w:hAnsi="仿宋"/>
          <w:sz w:val="28"/>
        </w:rPr>
        <w:br/>
        <w:t xml:space="preserve">    3.</w:t>
      </w:r>
      <w:r>
        <w:rPr>
          <w:rFonts w:ascii="仿宋" w:eastAsia="仿宋" w:hAnsi="仿宋"/>
          <w:sz w:val="28"/>
        </w:rPr>
        <w:t>市场需求分析</w:t>
      </w:r>
      <w:r>
        <w:rPr>
          <w:rFonts w:ascii="仿宋" w:eastAsia="仿宋" w:hAnsi="仿宋"/>
          <w:sz w:val="28"/>
        </w:rPr>
        <w:t>：评估当前及未来航天任务对电源系统的需求，包括通信卫星、导航卫星、深空探测器等不同类型航天器的电源需求。</w:t>
      </w:r>
      <w:r>
        <w:rPr>
          <w:rFonts w:ascii="仿宋" w:eastAsia="仿宋" w:hAnsi="仿宋"/>
          <w:sz w:val="28"/>
        </w:rPr>
        <w:br/>
        <w:t xml:space="preserve">    4.</w:t>
      </w:r>
      <w:r>
        <w:rPr>
          <w:rFonts w:ascii="仿宋" w:eastAsia="仿宋" w:hAnsi="仿宋"/>
          <w:sz w:val="28"/>
        </w:rPr>
        <w:t>技术发展分析</w:t>
      </w:r>
    </w:p>
    <w:p w:rsidR="00B71F98" w14:textId="3D3653DD">
      <w:pPr>
        <w:ind w:firstLine="560"/>
      </w:pPr>
      <w:r>
        <w:rPr>
          <w:rFonts w:ascii="仿宋" w:eastAsia="仿宋" w:hAnsi="仿宋"/>
          <w:sz w:val="28"/>
        </w:rPr>
        <w:t>：探讨航天器电源领域的技术发展动态，包括新型能源转换技术、高效能源存储技术、轻质电源结构设计等。</w:t>
      </w:r>
      <w:r>
        <w:rPr>
          <w:rFonts w:ascii="仿宋" w:eastAsia="仿宋" w:hAnsi="仿宋"/>
          <w:sz w:val="28"/>
        </w:rPr>
        <w:br/>
        <w:t xml:space="preserve">    5.</w:t>
      </w:r>
      <w:r>
        <w:rPr>
          <w:rFonts w:ascii="仿宋" w:eastAsia="仿宋" w:hAnsi="仿宋"/>
          <w:sz w:val="28"/>
        </w:rPr>
        <w:t>项目意义与目标</w:t>
      </w:r>
      <w:r>
        <w:rPr>
          <w:rFonts w:ascii="仿宋" w:eastAsia="仿宋" w:hAnsi="仿宋"/>
          <w:sz w:val="28"/>
        </w:rPr>
        <w:t>：阐述项目实施对提升国家航天技术水平、促进相关产业发展以及推动科学探索的重要意义，并明确项目的技术目标和应用目标。</w:t>
      </w:r>
      <w:r>
        <w:rPr>
          <w:rFonts w:ascii="仿宋" w:eastAsia="仿宋" w:hAnsi="仿宋"/>
          <w:sz w:val="28"/>
        </w:rPr>
        <w:br/>
        <w:t xml:space="preserve">    6.</w:t>
      </w:r>
      <w:r>
        <w:rPr>
          <w:rFonts w:ascii="仿宋" w:eastAsia="仿宋" w:hAnsi="仿宋"/>
          <w:sz w:val="28"/>
        </w:rPr>
        <w:t>项目背景支持</w:t>
      </w:r>
      <w:r>
        <w:rPr>
          <w:rFonts w:ascii="仿宋" w:eastAsia="仿宋" w:hAnsi="仿宋"/>
          <w:sz w:val="28"/>
        </w:rPr>
        <w:t>：说明项目是否得到了国家政策、航天规划、资金支持等方面的背景支持，以及这些支持对项目实施的影响。</w:t>
      </w:r>
      <w:r>
        <w:rPr>
          <w:rFonts w:ascii="仿宋" w:eastAsia="仿宋" w:hAnsi="仿宋"/>
          <w:sz w:val="28"/>
        </w:rPr>
        <w:br/>
        <w:t xml:space="preserve">    7.</w:t>
      </w:r>
      <w:r>
        <w:rPr>
          <w:rFonts w:ascii="仿宋" w:eastAsia="仿宋" w:hAnsi="仿宋"/>
          <w:sz w:val="28"/>
        </w:rPr>
        <w:t>风险与挑战</w:t>
      </w:r>
      <w:r>
        <w:rPr>
          <w:rFonts w:ascii="仿宋" w:eastAsia="仿宋" w:hAnsi="仿宋"/>
          <w:sz w:val="28"/>
        </w:rPr>
        <w:t>：识别项目实施可能面临的技术风险、市场风险、管理风险等，并提出应对策略。</w:t>
      </w:r>
      <w:r>
        <w:rPr>
          <w:rFonts w:ascii="仿宋" w:eastAsia="仿宋" w:hAnsi="仿宋"/>
          <w:sz w:val="28"/>
        </w:rPr>
        <w:br/>
        <w:t xml:space="preserve">    8.</w:t>
      </w:r>
      <w:r>
        <w:rPr>
          <w:rFonts w:ascii="仿宋" w:eastAsia="仿宋" w:hAnsi="仿宋"/>
          <w:sz w:val="28"/>
        </w:rPr>
        <w:t>结论与建议</w:t>
      </w:r>
      <w:r>
        <w:rPr>
          <w:rFonts w:ascii="仿宋" w:eastAsia="仿宋" w:hAnsi="仿宋"/>
          <w:sz w:val="28"/>
        </w:rPr>
        <w:t>：基于上述分析，给出项目是否可行的结论，并提出相应的建议和措施，以确保项目成功实施。</w:t>
      </w:r>
    </w:p>
    <w:p w:rsidR="009D1637" w:rsidRPr="00913CD1" w:rsidP="00457322" w14:paraId="739173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E0E9A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13A6F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项目的发展和扩张。</w:t>
      </w:r>
    </w:p>
    <w:p w:rsidR="009D1637" w:rsidRPr="00913CD1" w:rsidP="00457322" w14:paraId="39C301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项目的可迗性。</w:t>
      </w:r>
    </w:p>
    <w:p w:rsidR="009D1637" w:rsidRPr="00913CD1" w:rsidP="00457322" w14:paraId="091DFC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项目建设提供了良好基础条件。</w:t>
      </w:r>
    </w:p>
    <w:p w:rsidR="009D1637" w:rsidRPr="00913CD1" w:rsidP="00457322" w14:paraId="5E79D2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项目规模和扩展的需要。</w:t>
      </w:r>
    </w:p>
    <w:p w:rsidR="009D1637" w:rsidRPr="00913CD1" w:rsidP="00457322" w14:paraId="0283845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航天器电源</w:t>
      </w:r>
      <w:r w:rsidRPr="00913CD1">
        <w:rPr>
          <w:rFonts w:ascii="仿宋" w:eastAsia="仿宋" w:hAnsi="仿宋"/>
        </w:rPr>
        <w:t>项目生产规模</w:t>
      </w:r>
      <w:bookmarkEnd w:id="10"/>
    </w:p>
    <w:p w:rsidR="009D1637" w:rsidRPr="00913CD1" w:rsidP="00457322" w14:paraId="0A77F1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67B0ED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9F5ED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AB16F06"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3FD1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项目实施过程中，对环境的影响降到最低。</w:t>
      </w:r>
    </w:p>
    <w:p w:rsidR="009D1637" w:rsidRPr="00913CD1" w:rsidP="00457322" w14:paraId="002589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B0965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292CA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47C041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航天器电源</w:t>
      </w:r>
      <w:r w:rsidRPr="00913CD1">
        <w:rPr>
          <w:rFonts w:ascii="仿宋" w:eastAsia="仿宋" w:hAnsi="仿宋"/>
        </w:rPr>
        <w:t>项目总投资及资金构成</w:t>
      </w:r>
      <w:bookmarkEnd w:id="13"/>
    </w:p>
    <w:p w:rsidR="009D1637" w:rsidRPr="00913CD1" w:rsidP="00457322" w14:paraId="24B53D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的生产能力。</w:t>
      </w:r>
    </w:p>
    <w:p w:rsidR="009D1637" w:rsidRPr="00913CD1" w:rsidP="00457322" w14:paraId="581170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项目总投资</w:t>
      </w:r>
    </w:p>
    <w:p w:rsidR="009D1637" w:rsidRPr="00913CD1" w:rsidP="00457322" w14:paraId="3023A4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265EB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B127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FB0DA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EAB6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FA2C9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307BF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B47B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项目的顺利建设奠定了财务基础。</w:t>
      </w:r>
    </w:p>
    <w:p w:rsidR="009D1637" w:rsidRPr="00913CD1" w:rsidP="00457322" w14:paraId="688F4D6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C9919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86E364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航天器电源</w:t>
      </w:r>
      <w:r w:rsidRPr="00913CD1">
        <w:rPr>
          <w:rFonts w:ascii="仿宋" w:eastAsia="仿宋" w:hAnsi="仿宋"/>
        </w:rPr>
        <w:t>项目预期经济效益规划目标</w:t>
      </w:r>
      <w:bookmarkEnd w:id="15"/>
    </w:p>
    <w:p w:rsidR="009D1637" w:rsidRPr="00913CD1" w:rsidP="00457322" w14:paraId="372474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项目的盈利能力和市场竞争力。</w:t>
      </w:r>
    </w:p>
    <w:p w:rsidR="009D1637" w:rsidRPr="00913CD1" w:rsidP="00457322" w14:paraId="0C9208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项目具有较高的投资价值和发展潜力。</w:t>
      </w:r>
    </w:p>
    <w:p w:rsidR="009D1637" w:rsidRPr="00913CD1" w:rsidP="00457322" w14:paraId="59537CF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2EE7B1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航天器电源</w:t>
      </w:r>
      <w:r w:rsidRPr="00913CD1">
        <w:rPr>
          <w:rFonts w:ascii="仿宋" w:eastAsia="仿宋" w:hAnsi="仿宋"/>
        </w:rPr>
        <w:t>项目建设进度规划</w:t>
      </w:r>
      <w:bookmarkEnd w:id="16"/>
    </w:p>
    <w:p w:rsidR="009D1637" w:rsidRPr="00913CD1" w:rsidP="00457322" w14:paraId="41F49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项目的顺利进行和按时完成。</w:t>
      </w:r>
    </w:p>
    <w:p w:rsidR="009D1637" w:rsidRPr="00913CD1" w:rsidP="00457322" w14:paraId="602702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项目的质量和进度。</w:t>
      </w:r>
    </w:p>
    <w:p w:rsidR="009D1637" w:rsidRPr="00913CD1" w:rsidP="00457322" w14:paraId="538B45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0EB837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航天器电源</w:t>
      </w:r>
      <w:r w:rsidRPr="00913CD1">
        <w:rPr>
          <w:rFonts w:ascii="仿宋" w:eastAsia="仿宋" w:hAnsi="仿宋"/>
        </w:rPr>
        <w:t>项目综合评价</w:t>
      </w:r>
      <w:bookmarkEnd w:id="17"/>
    </w:p>
    <w:p w:rsidR="00BF6395" w:rsidRPr="00913CD1" w:rsidP="00457322" w14:paraId="061FF5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航天器电源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319237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航天器电源项目的投资回报率稳定且可观。根据市场调查和预测，航天器电源市场需求持续增长，具有良好的市场前景和发展空间。我们的投资方向紧密结合国家产业政策和市场需求，为投资者创造可观的投资收益。</w:t>
      </w:r>
    </w:p>
    <w:p w:rsidR="00BF6395" w:rsidRPr="00913CD1" w:rsidP="00457322" w14:paraId="46722D0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航天器电源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53714A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在技术方案设计方面，我们注重方案的优化和效益的提升。通过科学合理的设计，实现航天器电源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生产流程的高效化和产品的优质化。我们将采用先进的生产工艺和技术，提高生产效率，降低生产成本。同时，我们还将加强产品研发和创新，不断推出具有竞争力的新产品，满足航天器电源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D1F343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此外，航天器电源项目的建设将带来显著的就业机会和社会效益。项目的实施将促进当地经济的发展，提升当地民众的生活水平。我们将积极履行社会责任，关注环境保护和可持续发展，为社会做出积极贡献。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122DFA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综上所述，本期航天器电源项目具备技术和经济的可行性，具有良好的市场前景和发展空间。我们将充分发挥自身优势，抓住市场机遇，为投资者创造丰厚的投资回报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1EAA99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278C7D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E986A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83BF0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E7D73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DC455E1"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01F80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6380D2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00B3B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9F27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6B1D3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F1CC3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D7894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5E5D5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D4726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DAF5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A92AA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7B1235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1A6B3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4343F3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航天器电源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20EEF0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航天器电源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97FC8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航天器电源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63FC4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575841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FD600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FED6E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2AB0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航天器电源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7814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56D388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A1DB41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0936A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项目的顺利进行和迗成目标。</w:t>
      </w:r>
    </w:p>
    <w:p w:rsidR="009D1637" w:rsidRPr="00913CD1" w:rsidP="00457322" w14:paraId="6270D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EFF58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4E265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C4EA4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0169D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EA9F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92698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8A2C2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71E85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8E31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C312C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5772C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7F433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E79C3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0443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4EABEF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6CAD9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B8A48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305E6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47725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9DAD8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BB9A1F3"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B86D8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F2F25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EAECB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2B680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6E725C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45D73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01F9E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80D04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65F5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281C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170C74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3D9DA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7B06B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60E3B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B0311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FD20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78A06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52FCF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6489B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A76E7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E8E34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07A7C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5F674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AD43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97704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601AB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91F65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48C06F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AF52F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B1D5A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025E11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8388A6B"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航天器电源</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7C22EF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350D0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E4D62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9CB5A0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航天器电源</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94A64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5FDD8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67A49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C752D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66FAD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56856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ED57ED5"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F6FA53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922284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E707B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C443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1050C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29CB5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8DA1C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275C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B2B68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B516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C6134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8329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7A7D07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航天器电源</w:t>
      </w:r>
      <w:r w:rsidRPr="00913CD1">
        <w:rPr>
          <w:rFonts w:ascii="仿宋" w:eastAsia="仿宋" w:hAnsi="仿宋"/>
        </w:rPr>
        <w:t>项目技术工艺分析</w:t>
      </w:r>
      <w:bookmarkEnd w:id="28"/>
    </w:p>
    <w:p w:rsidR="009D1637" w:rsidRPr="00913CD1" w:rsidP="00457322" w14:paraId="7BF59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17B2EF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69721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EE75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C4897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7DFA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A0A23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2075B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F5775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937C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C8A443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航天器电源项目</w:t>
      </w:r>
      <w:r w:rsidRPr="00913CD1">
        <w:rPr>
          <w:rFonts w:ascii="仿宋" w:eastAsia="仿宋" w:hAnsi="仿宋"/>
        </w:rPr>
        <w:t>质量管理</w:t>
      </w:r>
      <w:bookmarkEnd w:id="29"/>
    </w:p>
    <w:p w:rsidR="009D1637" w:rsidRPr="00913CD1" w:rsidP="00457322" w14:paraId="7F66A1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1F442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56548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699CAE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AE117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852B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47483F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9BD2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294CC34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航天器电源项目</w:t>
      </w:r>
      <w:r w:rsidRPr="00913CD1">
        <w:rPr>
          <w:rFonts w:ascii="仿宋" w:eastAsia="仿宋" w:hAnsi="仿宋"/>
        </w:rPr>
        <w:t>设备选型方案</w:t>
      </w:r>
      <w:bookmarkEnd w:id="30"/>
    </w:p>
    <w:p w:rsidR="009D1637" w:rsidRPr="00913CD1" w:rsidP="00457322" w14:paraId="00ED44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96E9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3BB79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A3EF7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CB273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518E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6B732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3D0720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项目的高效运行和产品质量的稳定提升。</w:t>
      </w:r>
    </w:p>
    <w:p w:rsidR="009D1637" w:rsidRPr="00913CD1" w:rsidP="00457322" w14:paraId="557095BA"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B2CDE87"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361D8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BC34E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E9FC2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20122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09DA4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AABF4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1E2A5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EFF17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B2F4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EBAAA5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A24B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DADD2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064FA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航天器电源</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CDB13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航天器电源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B958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https://d.book118.com/215002130034011103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57856C8" w14:textId="77777777">
    <w:pPr>
      <w:pStyle w:val="Footer"/>
      <w:jc w:val="center"/>
    </w:pPr>
  </w:p>
  <w:p w:rsidR="008D6901" w14:paraId="54A617B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03BB9C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4E53B1E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6583033"/>
      <w:docPartObj>
        <w:docPartGallery w:val="Page Numbers (Bottom of Page)"/>
        <w:docPartUnique/>
      </w:docPartObj>
    </w:sdtPr>
    <w:sdtContent>
      <w:sdt>
        <w:sdtPr>
          <w:id w:val="2785028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1475326"/>
      <w:docPartObj>
        <w:docPartGallery w:val="Page Numbers (Bottom of Page)"/>
        <w:docPartUnique/>
      </w:docPartObj>
    </w:sdtPr>
    <w:sdtContent>
      <w:sdt>
        <w:sdtPr>
          <w:id w:val="1734105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2017852"/>
      <w:docPartObj>
        <w:docPartGallery w:val="Page Numbers (Bottom of Page)"/>
        <w:docPartUnique/>
      </w:docPartObj>
    </w:sdtPr>
    <w:sdtContent>
      <w:sdt>
        <w:sdtPr>
          <w:id w:val="3852340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1392820"/>
      <w:docPartObj>
        <w:docPartGallery w:val="Page Numbers (Bottom of Page)"/>
        <w:docPartUnique/>
      </w:docPartObj>
    </w:sdtPr>
    <w:sdtContent>
      <w:sdt>
        <w:sdtPr>
          <w:id w:val="14494925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8316881"/>
      <w:docPartObj>
        <w:docPartGallery w:val="Page Numbers (Bottom of Page)"/>
        <w:docPartUnique/>
      </w:docPartObj>
    </w:sdtPr>
    <w:sdtContent>
      <w:sdt>
        <w:sdtPr>
          <w:id w:val="13828112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034037"/>
      <w:docPartObj>
        <w:docPartGallery w:val="Page Numbers (Bottom of Page)"/>
        <w:docPartUnique/>
      </w:docPartObj>
    </w:sdtPr>
    <w:sdtContent>
      <w:sdt>
        <w:sdtPr>
          <w:id w:val="4274522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4774022"/>
      <w:docPartObj>
        <w:docPartGallery w:val="Page Numbers (Bottom of Page)"/>
        <w:docPartUnique/>
      </w:docPartObj>
    </w:sdtPr>
    <w:sdtContent>
      <w:sdt>
        <w:sdtPr>
          <w:id w:val="2426737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0004290"/>
      <w:docPartObj>
        <w:docPartGallery w:val="Page Numbers (Bottom of Page)"/>
        <w:docPartUnique/>
      </w:docPartObj>
    </w:sdtPr>
    <w:sdtContent>
      <w:sdt>
        <w:sdtPr>
          <w:id w:val="12509306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4044754"/>
      <w:docPartObj>
        <w:docPartGallery w:val="Page Numbers (Bottom of Page)"/>
        <w:docPartUnique/>
      </w:docPartObj>
    </w:sdtPr>
    <w:sdtContent>
      <w:sdt>
        <w:sdtPr>
          <w:id w:val="139546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1691473"/>
      <w:docPartObj>
        <w:docPartGallery w:val="Page Numbers (Bottom of Page)"/>
        <w:docPartUnique/>
      </w:docPartObj>
    </w:sdtPr>
    <w:sdtContent>
      <w:sdt>
        <w:sdtPr>
          <w:id w:val="15976771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2305765"/>
      <w:docPartObj>
        <w:docPartGallery w:val="Page Numbers (Bottom of Page)"/>
        <w:docPartUnique/>
      </w:docPartObj>
    </w:sdtPr>
    <w:sdtContent>
      <w:sdt>
        <w:sdtPr>
          <w:id w:val="21104848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9159161"/>
      <w:docPartObj>
        <w:docPartGallery w:val="Page Numbers (Bottom of Page)"/>
        <w:docPartUnique/>
      </w:docPartObj>
    </w:sdtPr>
    <w:sdtContent>
      <w:sdt>
        <w:sdtPr>
          <w:id w:val="2210799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7556549"/>
      <w:docPartObj>
        <w:docPartGallery w:val="Page Numbers (Bottom of Page)"/>
        <w:docPartUnique/>
      </w:docPartObj>
    </w:sdtPr>
    <w:sdtContent>
      <w:sdt>
        <w:sdtPr>
          <w:id w:val="20264893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4775170"/>
      <w:docPartObj>
        <w:docPartGallery w:val="Page Numbers (Bottom of Page)"/>
        <w:docPartUnique/>
      </w:docPartObj>
    </w:sdtPr>
    <w:sdtContent>
      <w:sdt>
        <w:sdtPr>
          <w:id w:val="13612064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5218583"/>
      <w:docPartObj>
        <w:docPartGallery w:val="Page Numbers (Bottom of Page)"/>
        <w:docPartUnique/>
      </w:docPartObj>
    </w:sdtPr>
    <w:sdtContent>
      <w:sdt>
        <w:sdtPr>
          <w:id w:val="18808036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5331361"/>
      <w:docPartObj>
        <w:docPartGallery w:val="Page Numbers (Bottom of Page)"/>
        <w:docPartUnique/>
      </w:docPartObj>
    </w:sdtPr>
    <w:sdtContent>
      <w:sdt>
        <w:sdtPr>
          <w:id w:val="14262299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8105855"/>
      <w:docPartObj>
        <w:docPartGallery w:val="Page Numbers (Bottom of Page)"/>
        <w:docPartUnique/>
      </w:docPartObj>
    </w:sdtPr>
    <w:sdtContent>
      <w:sdt>
        <w:sdtPr>
          <w:id w:val="536700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9151908"/>
      <w:docPartObj>
        <w:docPartGallery w:val="Page Numbers (Bottom of Page)"/>
        <w:docPartUnique/>
      </w:docPartObj>
    </w:sdtPr>
    <w:sdtContent>
      <w:sdt>
        <w:sdtPr>
          <w:id w:val="13222870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5342733"/>
      <w:docPartObj>
        <w:docPartGallery w:val="Page Numbers (Bottom of Page)"/>
        <w:docPartUnique/>
      </w:docPartObj>
    </w:sdtPr>
    <w:sdtContent>
      <w:sdt>
        <w:sdtPr>
          <w:id w:val="7423897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3302885"/>
      <w:docPartObj>
        <w:docPartGallery w:val="Page Numbers (Bottom of Page)"/>
        <w:docPartUnique/>
      </w:docPartObj>
    </w:sdtPr>
    <w:sdtContent>
      <w:sdt>
        <w:sdtPr>
          <w:id w:val="11578207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6126934"/>
      <w:docPartObj>
        <w:docPartGallery w:val="Page Numbers (Bottom of Page)"/>
        <w:docPartUnique/>
      </w:docPartObj>
    </w:sdtPr>
    <w:sdtContent>
      <w:sdt>
        <w:sdtPr>
          <w:id w:val="18270620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6135462"/>
      <w:docPartObj>
        <w:docPartGallery w:val="Page Numbers (Bottom of Page)"/>
        <w:docPartUnique/>
      </w:docPartObj>
    </w:sdtPr>
    <w:sdtContent>
      <w:sdt>
        <w:sdtPr>
          <w:id w:val="2545922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633457"/>
      <w:docPartObj>
        <w:docPartGallery w:val="Page Numbers (Bottom of Page)"/>
        <w:docPartUnique/>
      </w:docPartObj>
    </w:sdtPr>
    <w:sdtContent>
      <w:sdt>
        <w:sdtPr>
          <w:id w:val="10385736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5545369"/>
      <w:docPartObj>
        <w:docPartGallery w:val="Page Numbers (Bottom of Page)"/>
        <w:docPartUnique/>
      </w:docPartObj>
    </w:sdtPr>
    <w:sdtContent>
      <w:sdt>
        <w:sdtPr>
          <w:id w:val="11560094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6826570"/>
      <w:docPartObj>
        <w:docPartGallery w:val="Page Numbers (Bottom of Page)"/>
        <w:docPartUnique/>
      </w:docPartObj>
    </w:sdtPr>
    <w:sdtContent>
      <w:sdt>
        <w:sdtPr>
          <w:id w:val="2502579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4837515"/>
      <w:docPartObj>
        <w:docPartGallery w:val="Page Numbers (Bottom of Page)"/>
        <w:docPartUnique/>
      </w:docPartObj>
    </w:sdtPr>
    <w:sdtContent>
      <w:sdt>
        <w:sdtPr>
          <w:id w:val="20328266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2562475"/>
      <w:docPartObj>
        <w:docPartGallery w:val="Page Numbers (Bottom of Page)"/>
        <w:docPartUnique/>
      </w:docPartObj>
    </w:sdtPr>
    <w:sdtContent>
      <w:sdt>
        <w:sdtPr>
          <w:id w:val="9684505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1530798"/>
      <w:docPartObj>
        <w:docPartGallery w:val="Page Numbers (Bottom of Page)"/>
        <w:docPartUnique/>
      </w:docPartObj>
    </w:sdtPr>
    <w:sdtContent>
      <w:sdt>
        <w:sdtPr>
          <w:id w:val="19689742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1618588"/>
      <w:docPartObj>
        <w:docPartGallery w:val="Page Numbers (Bottom of Page)"/>
        <w:docPartUnique/>
      </w:docPartObj>
    </w:sdtPr>
    <w:sdtContent>
      <w:sdt>
        <w:sdtPr>
          <w:id w:val="8407268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5B80196" w14:textId="77777777">
    <w:pPr>
      <w:pStyle w:val="Header"/>
      <w:pBdr>
        <w:bottom w:val="single" w:sz="4" w:space="1" w:color="auto"/>
      </w:pBdr>
      <w:jc w:val="right"/>
    </w:pPr>
    <w:r>
      <w:t>2024年航天器电源项目可行性分析报告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2024年航天器电源项目可行性分析报告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2024年航天器电源项目可行性分析报告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2024年航天器电源项目可行性分析报告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2024年航天器电源项目可行性分析报告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A8DF919" w14:textId="77777777">
    <w:pPr>
      <w:pStyle w:val="Header"/>
      <w:pBdr>
        <w:bottom w:val="single" w:sz="4" w:space="1" w:color="auto"/>
      </w:pBdr>
      <w:jc w:val="right"/>
      <w:rPr>
        <w:sz w:val="24"/>
        <w:szCs w:val="24"/>
      </w:rPr>
    </w:pPr>
    <w:r>
      <w:t>2024年航天器电源项目可行性分析报告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2024年航天器电源项目可行性分析报告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3C6ACF"/>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71F98"/>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168316D"/>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15002130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7235</Words>
  <Characters>41242</Characters>
  <Application>Microsoft Office Word</Application>
  <DocSecurity>0</DocSecurity>
  <Lines>343</Lines>
  <Paragraphs>96</Paragraphs>
  <ScaleCrop>false</ScaleCrop>
  <Company/>
  <LinksUpToDate>false</LinksUpToDate>
  <CharactersWithSpaces>48381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2024-02-02T03:55:00Z</dcterms:modified>
</cp:coreProperties>
</file>