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2018-2023年南通师范高等专科学校高职单招（数学／语文／英语）历年常考试题库含答案解析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《张中丞传后叙》主要采用____的写法来补记许远的事迹（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A.夹叙夹议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B.议论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在《答司马谏议书》中，王安石驳斥司马光指责新法“征利”的观点时，所持的理论依据是（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A.“受命于人主”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B.“举先王之政”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C.“为天下理财”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D.“度义而后动”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闻一多属于下列诗歌流派中的（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A.七月派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B.新月派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C.湖畔派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D.象征诗派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在下列词作中富有主见的是（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A.李煜《虞美人（春花秋月何时了）》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B.柳永《八声甘州（对潇潇暮雨洒江天）》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C.苏轼《水调歌头（明月几时有）》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D.李清照《声声慢（寻寻觅觅）》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在契诃夫小说《苦恼》里，车夫姚纳向小母马倾诉的主要原因是（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A.年老多病，无依无靠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B.生活困窘，缺乏救助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C.儿子死了，无人赡养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D.社会冷漠，百姓麻木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鲁迅指出：中国几千年封建社会“一治一乱”的历史是（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A.咱们向来就很好比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B.想做奴隶而不得的时代和暂时做稳了奴隶的时代的交替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C.汉族文化发达的时代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D.“古已有之”的时代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《关山月》中表现朝廷对收复中原态度的诗句是（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A.和戎诏下十五年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B.厩马肥死弓断弦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C.沙头空照征人骨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D.几处今宵垂泪痕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柳永的词集是（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鲁迅短篇小说《风波》的结构线索是（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A.张勋复辟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B.九斤老太的唠叨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C.七斤的苦闷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《李将军列传》中作者将李广和李蔡对比的目的是凸显李广（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A.勇猛善射的武功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B.体恤部下的武德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C.终生未封的遭遇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D.治军简易的特点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11.</w:t>
      </w:r>
      <w:r>
        <w:rPr>
          <w:rFonts w:ascii="黑体" w:eastAsia="黑体" w:hAnsi="黑体" w:cs="Times New Roman"/>
          <w:sz w:val="24"/>
          <w:lang w:val="en-US" w:eastAsia="ja-JP" w:bidi="ar-SA"/>
        </w:rPr>
        <w:t>徐志摩的《再别康桥》被收录在诗集（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A.《志摩的诗》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B.《翡冷翠的一夜》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C.《猛虎集》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D.《云游集》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0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下列句子中，“且”字可译为“将近”的是（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A.外无待而犹死守，人相食且尽。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B.岂吾相不当侯邪？且固命也？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C.且臣结发而与匈奴战，今乃一得当单于。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D.虽食，且不下咽。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提出“文章合为时而著，歌诗合为事而作”文学主张的是（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D.李商隐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李商隐《无题》中推己而及对方的一联是（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A.相见时难别亦难，东风无力百花残。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B.春蚕到死丝方尽，蜡炬成灰泪始干。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https://d.book118.com/215032310330011112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21503231033001111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