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武汉市汉南区2023-2024学年九年级上学期期末物理检测卷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（高青县一模）2022年11月7日，在国家主席习近平与台湾领导人马英九的新加坡首次会面后的晚宴上，其中有风味酱鲍片脆瓜、湘式青蒜爆龙虾、竹叶东星斑XO糯米饭和百合炒芦笋四道菜了，下列分析正确的是（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pt;height:44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.风味鲍片脆瓜中，鲍鱼、脆瓜、酱汁相拌后很快入味，主要是因为分子之间有引力</w:t>
      </w:r>
    </w:p>
    <w:p w:rsidR="00A81065" w:rsidP="00744A41">
      <w:pPr>
        <w:tabs>
          <w:tab w:val="left" w:pos="2520"/>
          <w:tab w:val="left" w:pos="4410"/>
          <w:tab w:val="left" w:pos="6300"/>
        </w:tabs>
        <w:spacing w:line="360" w:lineRule="auto"/>
        <w:ind w:left="357" w:leftChars="170"/>
        <w:textAlignment w:val="center"/>
        <w:rPr>
          <w:rFonts w:hint="eastAsia"/>
        </w:rPr>
      </w:pPr>
      <w:r>
        <w:t>B .做湘式青蒜爆龙虾时用的是铁锅，主要是利用了铁的比热容大</w:t>
      </w:r>
    </w:p>
    <w:p w:rsidR="00A81065" w:rsidP="00744A41">
      <w:pPr>
        <w:tabs>
          <w:tab w:val="left" w:pos="2520"/>
          <w:tab w:val="left" w:pos="4410"/>
          <w:tab w:val="left" w:pos="6300"/>
        </w:tabs>
        <w:spacing w:line="360" w:lineRule="auto"/>
        <w:ind w:left="357" w:leftChars="170"/>
        <w:textAlignment w:val="center"/>
        <w:rPr>
          <w:rFonts w:hint="eastAsia"/>
        </w:rPr>
      </w:pPr>
      <w:r>
        <w:t>C .百合煸炒芦笋时，主要是通过做功的方式使百合和芦笋的内能增加的</w:t>
      </w:r>
    </w:p>
    <w:p w:rsidR="00A81065" w:rsidP="00744A41">
      <w:pPr>
        <w:tabs>
          <w:tab w:val="left" w:pos="2520"/>
          <w:tab w:val="left" w:pos="4410"/>
          <w:tab w:val="left" w:pos="6300"/>
        </w:tabs>
        <w:spacing w:line="360" w:lineRule="auto"/>
        <w:ind w:left="357" w:leftChars="170"/>
        <w:textAlignment w:val="center"/>
        <w:rPr>
          <w:rFonts w:hint="eastAsia"/>
        </w:rPr>
      </w:pPr>
      <w:r>
        <w:t>D .清蒸竹叶东星糯米饭时，主要通过热传递和高温水蒸气液化放热，使米饭蒸熟的</w:t>
      </w:r>
    </w:p>
    <w:p w:rsidR="00A81065" w:rsidP="00744A41">
      <w:pPr>
        <w:pStyle w:val="BalloonText"/>
        <w:spacing w:line="360" w:lineRule="auto"/>
        <w:ind w:firstLineChars="0"/>
        <w:textAlignment w:val="center"/>
      </w:pPr>
      <w:r>
        <w:t>2.  如图所示，把两个发光二极管极性相反地并联起来，组成二极管组．把它的a、b端分别接在手摇发电机和干电池组上时，将观察到的现象记录在表中．以下说法正确的是（　　）</w:t>
      </w:r>
    </w:p>
    <w:p w:rsidR="00A81065" w:rsidP="00744A41">
      <w:pPr>
        <w:spacing w:line="360" w:lineRule="auto"/>
        <w:ind w:left="357" w:leftChars="170"/>
        <w:textAlignment w:val="center"/>
        <w:rPr>
          <w:rFonts w:hint="eastAsia"/>
        </w:rPr>
        <w:sectPr w:rsidSect="007A55E5">
          <w:headerReference w:type="even" r:id="rId6"/>
          <w:headerReference w:type="default" r:id="rId7"/>
          <w:footerReference w:type="even" r:id="rId8"/>
          <w:footerReference w:type="default" r:id="rId9"/>
          <w:pgSz w:w="11906" w:h="16838" w:code="9"/>
          <w:pgMar w:top="1440" w:right="1797" w:bottom="1440" w:left="1797" w:header="851" w:footer="992" w:gutter="0"/>
          <w:pgNumType w:start="1"/>
          <w:cols w:space="425"/>
          <w:docGrid w:type="lines" w:linePitch="312"/>
        </w:sectPr>
      </w:pPr>
      <w:r>
        <w:pict>
          <v:shape id="_x0000_i1026" type="#_x0000_t75" style="width:224pt;height:48pt">
            <v:imagedata r:id="rId10" o:title="2"/>
          </v:shape>
        </w:pict>
      </w:r>
    </w:p>
    <w:p w:rsidR="00A81065" w:rsidP="00744A41">
      <w:pPr>
        <w:spacing w:line="360" w:lineRule="auto"/>
        <w:ind w:left="357" w:leftChars="170"/>
        <w:textAlignment w:val="center"/>
        <w:rPr>
          <w:rFonts w:hint="eastAsia"/>
        </w:rPr>
      </w:pPr>
      <w:r>
        <w:pict>
          <v:shape id="_x0000_i1027" type="#_x0000_t75" style="width:146pt;height:129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A .手摇发电机产生的是直流电</w:t>
      </w:r>
    </w:p>
    <w:p w:rsidR="00A81065" w:rsidP="00744A41">
      <w:pPr>
        <w:tabs>
          <w:tab w:val="left" w:pos="2520"/>
          <w:tab w:val="left" w:pos="4410"/>
          <w:tab w:val="left" w:pos="6300"/>
        </w:tabs>
        <w:spacing w:line="360" w:lineRule="auto"/>
        <w:ind w:left="357" w:leftChars="170"/>
        <w:textAlignment w:val="center"/>
        <w:rPr>
          <w:rFonts w:hint="eastAsia"/>
        </w:rPr>
      </w:pPr>
      <w:r>
        <w:t>B .表格中漏写的现象应该是“也一直发光”</w:t>
      </w:r>
    </w:p>
    <w:p w:rsidR="00A81065" w:rsidP="00744A41">
      <w:pPr>
        <w:tabs>
          <w:tab w:val="left" w:pos="2520"/>
          <w:tab w:val="left" w:pos="4410"/>
          <w:tab w:val="left" w:pos="6300"/>
        </w:tabs>
        <w:spacing w:line="360" w:lineRule="auto"/>
        <w:ind w:left="357" w:leftChars="170"/>
        <w:textAlignment w:val="center"/>
        <w:rPr>
          <w:rFonts w:hint="eastAsia"/>
        </w:rPr>
      </w:pPr>
      <w:r>
        <w:t>C .电能是一次能源</w:t>
      </w:r>
    </w:p>
    <w:p w:rsidR="00A81065" w:rsidP="00744A41">
      <w:pPr>
        <w:tabs>
          <w:tab w:val="left" w:pos="2520"/>
          <w:tab w:val="left" w:pos="4410"/>
          <w:tab w:val="left" w:pos="6300"/>
        </w:tabs>
        <w:spacing w:line="360" w:lineRule="auto"/>
        <w:ind w:left="357" w:leftChars="170"/>
        <w:textAlignment w:val="center"/>
        <w:rPr>
          <w:rFonts w:hint="eastAsia"/>
        </w:rPr>
      </w:pPr>
      <w:r>
        <w:t>D .手摇发电机的工作原理是：电磁感应</w:t>
      </w:r>
    </w:p>
    <w:p w:rsidR="00A81065" w:rsidP="00744A41">
      <w:pPr>
        <w:pStyle w:val="BalloonText"/>
        <w:spacing w:line="360" w:lineRule="auto"/>
        <w:ind w:firstLineChars="0"/>
        <w:textAlignment w:val="center"/>
      </w:pPr>
      <w:r>
        <w:t>3.  （莆田模拟）下列对厨房中有关现象的解释，正确的是（　　）</w:t>
      </w:r>
    </w:p>
    <w:p w:rsidR="00A81065" w:rsidP="00744A41">
      <w:pPr>
        <w:tabs>
          <w:tab w:val="left" w:pos="2520"/>
          <w:tab w:val="left" w:pos="4410"/>
          <w:tab w:val="left" w:pos="6300"/>
        </w:tabs>
        <w:spacing w:line="360" w:lineRule="auto"/>
        <w:ind w:left="357" w:leftChars="170"/>
        <w:textAlignment w:val="center"/>
        <w:rPr>
          <w:rFonts w:hint="eastAsia"/>
        </w:rPr>
      </w:pPr>
      <w:r>
        <w:t>A .煤气罐内的煤气用去一半后，热值变为原来的一半</w:t>
      </w:r>
    </w:p>
    <w:p w:rsidR="00A81065" w:rsidP="00744A41">
      <w:pPr>
        <w:tabs>
          <w:tab w:val="left" w:pos="2520"/>
          <w:tab w:val="left" w:pos="4410"/>
          <w:tab w:val="left" w:pos="6300"/>
        </w:tabs>
        <w:spacing w:line="360" w:lineRule="auto"/>
        <w:ind w:left="357" w:leftChars="170"/>
        <w:textAlignment w:val="center"/>
        <w:rPr>
          <w:rFonts w:hint="eastAsia"/>
        </w:rPr>
      </w:pPr>
      <w:r>
        <w:t>B .菜刀手柄上刻有凹凸不平的花纹是为了减小摩擦</w:t>
      </w:r>
    </w:p>
    <w:p w:rsidR="00A81065" w:rsidP="00744A41">
      <w:pPr>
        <w:tabs>
          <w:tab w:val="left" w:pos="2520"/>
          <w:tab w:val="left" w:pos="4410"/>
          <w:tab w:val="left" w:pos="6300"/>
        </w:tabs>
        <w:spacing w:line="360" w:lineRule="auto"/>
        <w:ind w:left="357" w:leftChars="170"/>
        <w:textAlignment w:val="center"/>
        <w:rPr>
          <w:rFonts w:hint="eastAsia"/>
        </w:rPr>
      </w:pPr>
      <w:r>
        <w:t>C .塑料吸盘能贴在光滑的墙上是利用了大气压强</w:t>
      </w:r>
    </w:p>
    <w:p w:rsidR="00A81065" w:rsidP="00744A41">
      <w:pPr>
        <w:tabs>
          <w:tab w:val="left" w:pos="2520"/>
          <w:tab w:val="left" w:pos="4410"/>
          <w:tab w:val="left" w:pos="6300"/>
        </w:tabs>
        <w:spacing w:line="360" w:lineRule="auto"/>
        <w:ind w:left="357" w:leftChars="170"/>
        <w:textAlignment w:val="center"/>
        <w:rPr>
          <w:rFonts w:hint="eastAsia"/>
        </w:rPr>
      </w:pPr>
      <w:r>
        <w:t>D .用高压锅煮食物容易熟，是因为液体沸点随气体压强的增大而降低</w:t>
      </w:r>
    </w:p>
    <w:p w:rsidR="00A81065" w:rsidP="00744A41">
      <w:pPr>
        <w:pStyle w:val="BalloonText"/>
        <w:spacing w:line="360" w:lineRule="auto"/>
        <w:ind w:firstLineChars="0"/>
        <w:textAlignment w:val="center"/>
      </w:pPr>
      <w:r>
        <w:t>4.  （2022年云南省昆明市中考物理模拟试卷（三））如图所示电源电压保持不变，电阻R</w:t>
      </w:r>
      <w:r w:rsidRPr="004E0094">
        <w:rPr>
          <w:vertAlign w:val="subscript"/>
        </w:rPr>
        <w:t>1</w:t>
      </w:r>
      <w:r>
        <w:t>＞R</w:t>
      </w:r>
      <w:r w:rsidRPr="004E0094">
        <w:rPr>
          <w:vertAlign w:val="subscript"/>
        </w:rPr>
        <w:t>2</w:t>
      </w:r>
      <w:r>
        <w:t>电压表示数分别U</w:t>
      </w:r>
      <w:r w:rsidRPr="004E0094">
        <w:rPr>
          <w:vertAlign w:val="subscript"/>
        </w:rPr>
        <w:t>1</w:t>
      </w:r>
      <w:r>
        <w:t>、U</w:t>
      </w:r>
      <w:r w:rsidRPr="004E0094">
        <w:rPr>
          <w:vertAlign w:val="subscript"/>
        </w:rPr>
        <w:t>2</w:t>
      </w:r>
      <w:r>
        <w:t>电流表A</w:t>
      </w:r>
      <w:r w:rsidRPr="004E0094">
        <w:rPr>
          <w:vertAlign w:val="subscript"/>
        </w:rPr>
        <w:t>1</w:t>
      </w:r>
      <w:r>
        <w:t>、A</w:t>
      </w:r>
      <w:r w:rsidRPr="004E0094">
        <w:rPr>
          <w:vertAlign w:val="subscript"/>
        </w:rPr>
        <w:t>2</w:t>
      </w:r>
      <w:r>
        <w:t>的示数分别为I</w:t>
      </w:r>
      <w:r w:rsidRPr="004E0094">
        <w:rPr>
          <w:vertAlign w:val="subscript"/>
        </w:rPr>
        <w:t>1</w:t>
      </w:r>
      <w:r>
        <w:t>、I</w:t>
      </w:r>
      <w:r w:rsidRPr="004E0094">
        <w:rPr>
          <w:vertAlign w:val="subscript"/>
        </w:rPr>
        <w:t>2</w:t>
      </w:r>
      <w:r>
        <w:t>则闭合开关时下列关系中正确的是（　　）</w:t>
      </w:r>
    </w:p>
    <w:p w:rsidR="00A81065" w:rsidP="00744A41">
      <w:pPr>
        <w:spacing w:line="360" w:lineRule="auto"/>
        <w:ind w:left="357" w:leftChars="170"/>
        <w:textAlignment w:val="center"/>
        <w:rPr>
          <w:rFonts w:hint="eastAsia"/>
        </w:rPr>
      </w:pPr>
      <w:r>
        <w:pict>
          <v:shape id="_x0000_i1028" type="#_x0000_t75" style="width:79pt;height:57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A .U</w:t>
      </w:r>
      <w:r w:rsidRPr="004E0094">
        <w:rPr>
          <w:vertAlign w:val="subscript"/>
        </w:rPr>
        <w:t>1</w:t>
      </w:r>
      <w:r>
        <w:t>=U</w:t>
      </w:r>
      <w:r w:rsidRPr="004E0094">
        <w:rPr>
          <w:vertAlign w:val="subscript"/>
        </w:rPr>
        <w:t>2</w:t>
      </w:r>
      <w:r>
        <w:t>I</w:t>
      </w:r>
      <w:r w:rsidRPr="004E0094">
        <w:rPr>
          <w:vertAlign w:val="subscript"/>
        </w:rPr>
        <w:t>1</w:t>
      </w:r>
      <w:r>
        <w:t>＞I</w:t>
      </w:r>
      <w:r w:rsidRPr="004E0094">
        <w:rPr>
          <w:vertAlign w:val="subscript"/>
        </w:rPr>
        <w:t>2</w:t>
      </w:r>
    </w:p>
    <w:p w:rsidR="00A81065" w:rsidP="00744A41">
      <w:pPr>
        <w:tabs>
          <w:tab w:val="left" w:pos="2520"/>
          <w:tab w:val="left" w:pos="4410"/>
          <w:tab w:val="left" w:pos="6300"/>
        </w:tabs>
        <w:spacing w:line="360" w:lineRule="auto"/>
        <w:ind w:left="357" w:leftChars="170"/>
        <w:textAlignment w:val="center"/>
        <w:rPr>
          <w:rFonts w:hint="eastAsia"/>
        </w:rPr>
      </w:pPr>
      <w:r>
        <w:t>B .U</w:t>
      </w:r>
      <w:r w:rsidRPr="004E0094">
        <w:rPr>
          <w:vertAlign w:val="subscript"/>
        </w:rPr>
        <w:t>1</w:t>
      </w:r>
      <w:r>
        <w:t>=U</w:t>
      </w:r>
      <w:r w:rsidRPr="004E0094">
        <w:rPr>
          <w:vertAlign w:val="subscript"/>
        </w:rPr>
        <w:t>2</w:t>
      </w:r>
      <w:r>
        <w:t>I</w:t>
      </w:r>
      <w:r w:rsidRPr="004E0094">
        <w:rPr>
          <w:vertAlign w:val="subscript"/>
        </w:rPr>
        <w:t>1</w:t>
      </w:r>
      <w:r>
        <w:t>＜I</w:t>
      </w:r>
      <w:r w:rsidRPr="004E0094">
        <w:rPr>
          <w:vertAlign w:val="subscript"/>
        </w:rPr>
        <w:t>2</w:t>
      </w:r>
    </w:p>
    <w:p w:rsidR="00A81065" w:rsidP="00744A41">
      <w:pPr>
        <w:tabs>
          <w:tab w:val="left" w:pos="2520"/>
          <w:tab w:val="left" w:pos="4410"/>
          <w:tab w:val="left" w:pos="6300"/>
        </w:tabs>
        <w:spacing w:line="360" w:lineRule="auto"/>
        <w:ind w:left="357" w:leftChars="170"/>
        <w:textAlignment w:val="center"/>
        <w:rPr>
          <w:rFonts w:hint="eastAsia"/>
        </w:rPr>
      </w:pPr>
      <w:r>
        <w:t>C .U</w:t>
      </w:r>
      <w:r w:rsidRPr="004E0094">
        <w:rPr>
          <w:vertAlign w:val="subscript"/>
        </w:rPr>
        <w:t>1</w:t>
      </w:r>
      <w:r>
        <w:t>=U</w:t>
      </w:r>
      <w:r w:rsidRPr="004E0094">
        <w:rPr>
          <w:vertAlign w:val="subscript"/>
        </w:rPr>
        <w:t>2</w:t>
      </w:r>
      <w:r>
        <w:t>I</w:t>
      </w:r>
      <w:r w:rsidRPr="004E0094">
        <w:rPr>
          <w:vertAlign w:val="subscript"/>
        </w:rPr>
        <w:t>1</w:t>
      </w:r>
      <w:r>
        <w:t>=I</w:t>
      </w:r>
      <w:r w:rsidRPr="004E0094">
        <w:rPr>
          <w:vertAlign w:val="subscript"/>
        </w:rPr>
        <w:t>2</w:t>
      </w:r>
    </w:p>
    <w:p w:rsidR="00A81065" w:rsidP="00744A41">
      <w:pPr>
        <w:tabs>
          <w:tab w:val="left" w:pos="2520"/>
          <w:tab w:val="left" w:pos="4410"/>
          <w:tab w:val="left" w:pos="6300"/>
        </w:tabs>
        <w:spacing w:line="360" w:lineRule="auto"/>
        <w:ind w:left="357" w:leftChars="170"/>
        <w:textAlignment w:val="center"/>
        <w:rPr>
          <w:rFonts w:hint="eastAsia"/>
        </w:rPr>
      </w:pPr>
      <w:r>
        <w:t>D .U</w:t>
      </w:r>
      <w:r w:rsidRPr="004E0094">
        <w:rPr>
          <w:vertAlign w:val="subscript"/>
        </w:rPr>
        <w:t>1</w:t>
      </w:r>
      <w:r>
        <w:t>＜U</w:t>
      </w:r>
      <w:r w:rsidRPr="004E0094">
        <w:rPr>
          <w:vertAlign w:val="subscript"/>
        </w:rPr>
        <w:t>2</w:t>
      </w:r>
      <w:r>
        <w:t>I</w:t>
      </w:r>
      <w:r w:rsidRPr="004E0094">
        <w:rPr>
          <w:vertAlign w:val="subscript"/>
        </w:rPr>
        <w:t>1</w:t>
      </w:r>
      <w:r>
        <w:t>=I</w:t>
      </w:r>
      <w:r w:rsidRPr="004E0094">
        <w:rPr>
          <w:vertAlign w:val="subscript"/>
        </w:rPr>
        <w:t>2</w:t>
      </w:r>
    </w:p>
    <w:p w:rsidR="00A81065" w:rsidP="00744A41">
      <w:pPr>
        <w:pStyle w:val="BalloonText"/>
        <w:spacing w:line="360" w:lineRule="auto"/>
        <w:ind w:firstLineChars="0"/>
        <w:textAlignment w:val="center"/>
      </w:pPr>
      <w:r>
        <w:t>5.  （2020年秋•承德县期末）（2020年秋•承德县期末）如图所示电路中，小灯泡L</w:t>
      </w:r>
      <w:r w:rsidRPr="004E0094">
        <w:rPr>
          <w:vertAlign w:val="subscript"/>
        </w:rPr>
        <w:t>1</w:t>
      </w:r>
      <w:r>
        <w:t>、L</w:t>
      </w:r>
      <w:r w:rsidRPr="004E0094">
        <w:rPr>
          <w:vertAlign w:val="subscript"/>
        </w:rPr>
        <w:t>2</w:t>
      </w:r>
      <w:r>
        <w:t>都标有“3V，0.5A”字样，电源由两节干电池串联而成．则下列说法正确的是（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https://d.book118.com/215100210030011100</w:t>
        </w:r>
      </w:hyperlink>
    </w:p>
    <w:p w:rsidR="00A81065" w:rsidP="00744A41">
      <w:pPr>
        <w:pStyle w:val="BalloonText"/>
        <w:spacing w:line="360" w:lineRule="auto"/>
        <w:ind w:firstLineChars="0"/>
        <w:textAlignment w:val="center"/>
      </w:pPr>
    </w:p>
    <w:sectPr w:rsidSect="007A55E5">
      <w:headerReference w:type="even" r:id="rId14"/>
      <w:headerReference w:type="default" r:id="rId15"/>
      <w:footerReference w:type="even" r:id="rId16"/>
      <w:footerReference w:type="default" r:id="rId17"/>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hyperlink" Target="https://d.book118.com/215100210030011100" TargetMode="External" /><Relationship Id="rId14" Type="http://schemas.openxmlformats.org/officeDocument/2006/relationships/header" Target="header3.xml" /><Relationship Id="rId15" Type="http://schemas.openxmlformats.org/officeDocument/2006/relationships/header" Target="header4.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