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0" w:line="510" w:lineRule="exact"/>
        <w:ind w:left="480" w:right="0" w:firstLine="0"/>
        <w:jc w:val="left"/>
        <w:rPr>
          <w:b/>
          <w:sz w:val="32"/>
        </w:rPr>
      </w:pPr>
      <w:r>
        <w:rPr>
          <w:rFonts w:ascii="Malgun Gothic" w:eastAsia="Malgun Gothic"/>
          <w:b/>
          <w:sz w:val="32"/>
        </w:rPr>
        <w:t>附</w:t>
      </w:r>
      <w:r>
        <w:rPr>
          <w:b/>
          <w:spacing w:val="-4"/>
          <w:sz w:val="32"/>
        </w:rPr>
        <w:t xml:space="preserve">件 </w:t>
      </w:r>
      <w:r>
        <w:rPr>
          <w:b/>
          <w:spacing w:val="-10"/>
          <w:sz w:val="32"/>
        </w:rPr>
        <w:t>4</w:t>
      </w:r>
    </w:p>
    <w:p>
      <w:pPr>
        <w:spacing w:before="12" w:line="240" w:lineRule="auto"/>
        <w:rPr>
          <w:b/>
          <w:sz w:val="38"/>
        </w:rPr>
      </w:pPr>
      <w:r>
        <w:br w:type="column"/>
      </w:r>
    </w:p>
    <w:p>
      <w:pPr>
        <w:spacing w:before="0"/>
        <w:ind w:left="467" w:right="2919" w:firstLine="0"/>
        <w:jc w:val="center"/>
        <w:rPr>
          <w:b/>
          <w:sz w:val="36"/>
        </w:rPr>
      </w:pPr>
      <w:r>
        <w:rPr>
          <w:b/>
          <w:spacing w:val="-2"/>
          <w:sz w:val="36"/>
        </w:rPr>
        <w:t>中国国电集团公司</w:t>
      </w:r>
    </w:p>
    <w:p>
      <w:pPr>
        <w:pStyle w:val="Title"/>
      </w:pPr>
      <w:r>
        <w:rPr>
          <w:spacing w:val="-1"/>
        </w:rPr>
        <w:t>风电场升压站设计原则</w:t>
      </w:r>
    </w:p>
    <w:p>
      <w:pPr>
        <w:spacing w:after="0"/>
        <w:sectPr>
          <w:type w:val="continuous"/>
          <w:pgSz w:w="11910" w:h="16840"/>
          <w:pgMar w:top="1460" w:right="820" w:bottom="280" w:left="1320" w:header="708" w:footer="708"/>
          <w:cols w:num="2" w:space="708" w:equalWidth="0">
            <w:col w:w="1419" w:space="534"/>
            <w:col w:w="7817" w:space="0"/>
          </w:cols>
        </w:sectPr>
      </w:pPr>
    </w:p>
    <w:p>
      <w:pPr>
        <w:pStyle w:val="BodyText"/>
        <w:spacing w:before="1"/>
        <w:ind w:left="0" w:firstLine="0"/>
        <w:rPr>
          <w:b/>
          <w:sz w:val="25"/>
        </w:rPr>
      </w:pPr>
    </w:p>
    <w:p>
      <w:pPr>
        <w:pStyle w:val="Heading1"/>
        <w:numPr>
          <w:ilvl w:val="0"/>
          <w:numId w:val="66"/>
        </w:numPr>
        <w:tabs>
          <w:tab w:val="left" w:pos="776"/>
        </w:tabs>
        <w:spacing w:before="36" w:after="0" w:line="240" w:lineRule="auto"/>
        <w:ind w:left="775" w:right="0" w:hanging="296"/>
        <w:jc w:val="both"/>
      </w:pPr>
      <w:r>
        <w:rPr>
          <w:spacing w:val="-5"/>
        </w:rPr>
        <w:t>目的</w:t>
      </w:r>
    </w:p>
    <w:p>
      <w:pPr>
        <w:pStyle w:val="BodyText"/>
        <w:spacing w:before="225" w:line="350" w:lineRule="auto"/>
        <w:ind w:right="978"/>
        <w:jc w:val="both"/>
      </w:pPr>
      <w:r>
        <w:rPr>
          <w:spacing w:val="-2"/>
        </w:rPr>
        <w:t>本设</w:t>
      </w:r>
      <w:r>
        <w:rPr>
          <w:rFonts w:ascii="宋体" w:eastAsia="宋体"/>
          <w:spacing w:val="-2"/>
        </w:rPr>
        <w:t>计</w:t>
      </w:r>
      <w:r>
        <w:rPr>
          <w:spacing w:val="-7"/>
        </w:rPr>
        <w:t>原则根据国家电力工程及电气专业的规范、原则与有关规</w:t>
      </w:r>
      <w:r>
        <w:rPr>
          <w:spacing w:val="-4"/>
        </w:rPr>
        <w:t>定，结合风电场工程的实际状况，提🎧中国国电集团公司风电场升压</w:t>
      </w:r>
      <w:r>
        <w:rPr>
          <w:spacing w:val="-4"/>
        </w:rPr>
        <w:t>站的设计原则，以加强集团公司风电场升压站工程的建设原则化，同</w:t>
      </w:r>
      <w:r>
        <w:rPr>
          <w:spacing w:val="-2"/>
        </w:rPr>
        <w:t>时确保设计深度及质量，在技术上做到可靠、合用和先进。</w:t>
      </w:r>
    </w:p>
    <w:p>
      <w:pPr>
        <w:pStyle w:val="Heading1"/>
        <w:numPr>
          <w:ilvl w:val="0"/>
          <w:numId w:val="66"/>
        </w:numPr>
        <w:tabs>
          <w:tab w:val="left" w:pos="776"/>
        </w:tabs>
        <w:spacing w:before="11" w:after="0" w:line="240" w:lineRule="auto"/>
        <w:ind w:left="775" w:right="0" w:hanging="296"/>
        <w:jc w:val="both"/>
      </w:pPr>
      <w:r>
        <w:rPr>
          <w:spacing w:val="-5"/>
        </w:rPr>
        <w:t>范畴</w:t>
      </w:r>
    </w:p>
    <w:p>
      <w:pPr>
        <w:pStyle w:val="BodyText"/>
        <w:spacing w:before="202" w:line="355" w:lineRule="auto"/>
        <w:ind w:right="978"/>
        <w:jc w:val="both"/>
      </w:pPr>
      <w:r>
        <w:t>本原则合用于中国国电集团公司全资或控股建设的电压为 35～ 220kV 新建风电场升压站的设计。</w:t>
      </w:r>
    </w:p>
    <w:p>
      <w:pPr>
        <w:pStyle w:val="Heading1"/>
        <w:numPr>
          <w:ilvl w:val="0"/>
          <w:numId w:val="66"/>
        </w:numPr>
        <w:tabs>
          <w:tab w:val="left" w:pos="776"/>
        </w:tabs>
        <w:spacing w:before="0" w:after="0" w:line="240" w:lineRule="auto"/>
        <w:ind w:left="775" w:right="0" w:hanging="296"/>
        <w:jc w:val="both"/>
      </w:pPr>
      <w:r>
        <w:rPr>
          <w:spacing w:val="-2"/>
        </w:rPr>
        <w:t>引用原则和文献</w:t>
      </w:r>
    </w:p>
    <w:p>
      <w:pPr>
        <w:pStyle w:val="ListParagraph"/>
        <w:numPr>
          <w:ilvl w:val="1"/>
          <w:numId w:val="66"/>
        </w:numPr>
        <w:tabs>
          <w:tab w:val="left" w:pos="1530"/>
        </w:tabs>
        <w:spacing w:before="202" w:after="0" w:line="240" w:lineRule="auto"/>
        <w:ind w:left="1530" w:right="0" w:hanging="490"/>
        <w:jc w:val="left"/>
        <w:rPr>
          <w:b/>
          <w:sz w:val="28"/>
        </w:rPr>
      </w:pPr>
      <w:r>
        <w:rPr>
          <w:b/>
          <w:spacing w:val="-2"/>
          <w:sz w:val="28"/>
        </w:rPr>
        <w:t>电气一次部分</w:t>
      </w:r>
    </w:p>
    <w:p>
      <w:pPr>
        <w:pStyle w:val="BodyText"/>
        <w:spacing w:before="203"/>
        <w:ind w:left="1040" w:firstLine="0"/>
      </w:pPr>
      <w:r>
        <w:t>《建筑设计防火规范》GB</w:t>
      </w:r>
      <w:r>
        <w:rPr>
          <w:spacing w:val="-1"/>
        </w:rPr>
        <w:t xml:space="preserve"> </w:t>
      </w:r>
      <w:r>
        <w:rPr>
          <w:spacing w:val="-2"/>
        </w:rPr>
        <w:t>50016-</w:t>
      </w:r>
    </w:p>
    <w:p>
      <w:pPr>
        <w:pStyle w:val="BodyText"/>
        <w:spacing w:before="202"/>
        <w:ind w:left="1040" w:firstLine="0"/>
      </w:pPr>
      <w:r>
        <w:t>《供配电系统设计规范》GB</w:t>
      </w:r>
      <w:r>
        <w:rPr>
          <w:spacing w:val="-1"/>
        </w:rPr>
        <w:t xml:space="preserve"> </w:t>
      </w:r>
      <w:r>
        <w:rPr>
          <w:spacing w:val="-2"/>
        </w:rPr>
        <w:t>50052-</w:t>
      </w:r>
    </w:p>
    <w:p>
      <w:pPr>
        <w:pStyle w:val="BodyText"/>
        <w:spacing w:before="202"/>
        <w:ind w:left="1040" w:firstLine="0"/>
      </w:pPr>
      <w:r>
        <w:t>《35～110kV</w:t>
      </w:r>
      <w:r>
        <w:rPr>
          <w:spacing w:val="-3"/>
        </w:rPr>
        <w:t xml:space="preserve"> 变电所设计规范》</w:t>
      </w:r>
      <w:r>
        <w:t>GB</w:t>
      </w:r>
      <w:r>
        <w:rPr>
          <w:spacing w:val="-2"/>
        </w:rPr>
        <w:t xml:space="preserve"> </w:t>
      </w:r>
      <w:r>
        <w:t>50059-</w:t>
      </w:r>
      <w:r>
        <w:rPr>
          <w:spacing w:val="-4"/>
        </w:rPr>
        <w:t>1992</w:t>
      </w:r>
    </w:p>
    <w:p>
      <w:pPr>
        <w:pStyle w:val="BodyText"/>
        <w:spacing w:before="203"/>
        <w:ind w:left="1040" w:firstLine="0"/>
      </w:pPr>
      <w:r>
        <w:t>《35～110kV</w:t>
      </w:r>
      <w:r>
        <w:rPr>
          <w:spacing w:val="-3"/>
        </w:rPr>
        <w:t xml:space="preserve"> 高压配电装置设计规范》</w:t>
      </w:r>
      <w:r>
        <w:t>GB</w:t>
      </w:r>
      <w:r>
        <w:rPr>
          <w:spacing w:val="-1"/>
        </w:rPr>
        <w:t xml:space="preserve"> </w:t>
      </w:r>
      <w:r>
        <w:rPr>
          <w:spacing w:val="-2"/>
        </w:rPr>
        <w:t>50060-</w:t>
      </w:r>
    </w:p>
    <w:p>
      <w:pPr>
        <w:pStyle w:val="BodyText"/>
        <w:spacing w:before="202"/>
        <w:ind w:left="1040" w:firstLine="0"/>
      </w:pPr>
      <w:r>
        <w:t>《原则电压》GB</w:t>
      </w:r>
      <w:r>
        <w:rPr>
          <w:spacing w:val="-1"/>
        </w:rPr>
        <w:t xml:space="preserve"> </w:t>
      </w:r>
      <w:r>
        <w:rPr>
          <w:spacing w:val="-4"/>
        </w:rPr>
        <w:t>156-</w:t>
      </w:r>
    </w:p>
    <w:p>
      <w:pPr>
        <w:pStyle w:val="BodyText"/>
        <w:spacing w:before="202"/>
        <w:ind w:left="1040" w:firstLine="0"/>
      </w:pPr>
      <w:r>
        <w:t>《电力工程电缆设计规范》GB</w:t>
      </w:r>
      <w:r>
        <w:rPr>
          <w:spacing w:val="-1"/>
        </w:rPr>
        <w:t xml:space="preserve"> </w:t>
      </w:r>
      <w:r>
        <w:rPr>
          <w:spacing w:val="-2"/>
        </w:rPr>
        <w:t>50217-</w:t>
      </w:r>
    </w:p>
    <w:p>
      <w:pPr>
        <w:pStyle w:val="BodyText"/>
        <w:spacing w:before="203"/>
        <w:ind w:left="1040" w:firstLine="0"/>
      </w:pPr>
      <w:r>
        <w:t>《火力发电厂与变电所设计防火规范》GB</w:t>
      </w:r>
      <w:r>
        <w:rPr>
          <w:spacing w:val="-1"/>
        </w:rPr>
        <w:t xml:space="preserve"> </w:t>
      </w:r>
      <w:r>
        <w:rPr>
          <w:spacing w:val="-2"/>
        </w:rPr>
        <w:t>50229-</w:t>
      </w:r>
    </w:p>
    <w:p>
      <w:pPr>
        <w:pStyle w:val="BodyText"/>
        <w:spacing w:before="202"/>
        <w:ind w:left="1040" w:firstLine="0"/>
      </w:pPr>
      <w:r>
        <w:t>《并联电容器装置设计规范》GB</w:t>
      </w:r>
      <w:r>
        <w:rPr>
          <w:spacing w:val="-1"/>
        </w:rPr>
        <w:t xml:space="preserve"> </w:t>
      </w:r>
      <w:r>
        <w:rPr>
          <w:spacing w:val="-2"/>
        </w:rPr>
        <w:t>50227-</w:t>
      </w:r>
    </w:p>
    <w:p>
      <w:pPr>
        <w:pStyle w:val="BodyText"/>
        <w:spacing w:before="202"/>
        <w:ind w:left="1040" w:firstLine="0"/>
      </w:pPr>
      <w:r>
        <w:t>《电力设施抗震设计规范》GB</w:t>
      </w:r>
      <w:r>
        <w:rPr>
          <w:spacing w:val="-1"/>
        </w:rPr>
        <w:t xml:space="preserve"> </w:t>
      </w:r>
      <w:r>
        <w:t>50260-</w:t>
      </w:r>
      <w:r>
        <w:rPr>
          <w:spacing w:val="-4"/>
        </w:rPr>
        <w:t>1996</w:t>
      </w:r>
    </w:p>
    <w:p>
      <w:pPr>
        <w:spacing w:after="0"/>
        <w:sectPr>
          <w:type w:val="continuous"/>
          <w:pgSz w:w="11910" w:h="16840"/>
          <w:pgMar w:top="1460" w:right="820" w:bottom="280" w:left="1320" w:header="708" w:footer="708"/>
          <w:pgNumType w:start="2"/>
          <w:cols w:space="708"/>
        </w:sectPr>
      </w:pPr>
    </w:p>
    <w:p>
      <w:pPr>
        <w:pStyle w:val="BodyText"/>
        <w:spacing w:before="10"/>
        <w:ind w:left="1040" w:firstLine="0"/>
      </w:pPr>
      <w:r>
        <w:t>《高压输变电设备的绝缘配合》GB</w:t>
      </w:r>
      <w:r>
        <w:rPr>
          <w:spacing w:val="-1"/>
        </w:rPr>
        <w:t xml:space="preserve"> </w:t>
      </w:r>
      <w:r>
        <w:t>311.1-</w:t>
      </w:r>
      <w:r>
        <w:rPr>
          <w:spacing w:val="-4"/>
        </w:rPr>
        <w:t>1997</w:t>
      </w:r>
    </w:p>
    <w:p>
      <w:pPr>
        <w:pStyle w:val="BodyText"/>
        <w:spacing w:before="202" w:line="355" w:lineRule="auto"/>
        <w:ind w:right="978"/>
      </w:pPr>
      <w:r>
        <w:rPr>
          <w:spacing w:val="-10"/>
        </w:rPr>
        <w:t>《高压架空线路和发电厂，变电所环境污辨别级及外绝缘选择原</w:t>
      </w:r>
      <w:r>
        <w:t>则》GB/T 16434</w:t>
      </w:r>
    </w:p>
    <w:p>
      <w:pPr>
        <w:pStyle w:val="BodyText"/>
        <w:ind w:left="1040" w:firstLine="0"/>
      </w:pPr>
      <w:r>
        <w:t>《风电场接入电力系统技术规定》GB</w:t>
      </w:r>
      <w:r>
        <w:rPr>
          <w:spacing w:val="-1"/>
        </w:rPr>
        <w:t xml:space="preserve"> </w:t>
      </w:r>
      <w:r>
        <w:t>19963--</w:t>
      </w:r>
      <w:r>
        <w:rPr>
          <w:spacing w:val="-10"/>
        </w:rPr>
        <w:t>Z</w:t>
      </w:r>
    </w:p>
    <w:p>
      <w:pPr>
        <w:pStyle w:val="BodyText"/>
        <w:spacing w:before="203"/>
        <w:ind w:left="1040" w:firstLine="0"/>
      </w:pPr>
      <w:r>
        <w:t>《风电场接入电网技术规定》Q/GDW</w:t>
      </w:r>
      <w:r>
        <w:rPr>
          <w:spacing w:val="-5"/>
        </w:rPr>
        <w:t xml:space="preserve"> </w:t>
      </w:r>
      <w:r>
        <w:rPr>
          <w:spacing w:val="-4"/>
        </w:rPr>
        <w:t>392-</w:t>
      </w:r>
    </w:p>
    <w:p>
      <w:pPr>
        <w:pStyle w:val="BodyText"/>
        <w:spacing w:before="202"/>
        <w:ind w:left="1040" w:firstLine="0"/>
      </w:pPr>
      <w:r>
        <w:t>《火力发电厂和变电所照明设计技术规定》DL/T</w:t>
      </w:r>
      <w:r>
        <w:rPr>
          <w:spacing w:val="-1"/>
        </w:rPr>
        <w:t xml:space="preserve"> </w:t>
      </w:r>
      <w:r>
        <w:rPr>
          <w:spacing w:val="-2"/>
        </w:rPr>
        <w:t>5390-</w:t>
      </w:r>
    </w:p>
    <w:p>
      <w:pPr>
        <w:pStyle w:val="BodyText"/>
        <w:spacing w:before="202"/>
        <w:ind w:left="1040" w:firstLine="0"/>
      </w:pPr>
      <w:r>
        <w:t>《220～500kV</w:t>
      </w:r>
      <w:r>
        <w:rPr>
          <w:spacing w:val="-3"/>
        </w:rPr>
        <w:t xml:space="preserve"> 变电所设计技术规程》</w:t>
      </w:r>
      <w:r>
        <w:t>DL/T</w:t>
      </w:r>
      <w:r>
        <w:rPr>
          <w:spacing w:val="-3"/>
        </w:rPr>
        <w:t xml:space="preserve"> </w:t>
      </w:r>
      <w:r>
        <w:rPr>
          <w:spacing w:val="-2"/>
        </w:rPr>
        <w:t>5218-</w:t>
      </w:r>
    </w:p>
    <w:p>
      <w:pPr>
        <w:pStyle w:val="BodyText"/>
        <w:spacing w:before="203"/>
        <w:ind w:left="1040" w:firstLine="0"/>
      </w:pPr>
      <w:r>
        <w:t>《220～500kV</w:t>
      </w:r>
      <w:r>
        <w:rPr>
          <w:spacing w:val="-3"/>
        </w:rPr>
        <w:t xml:space="preserve"> 变电所所用电设计技术规程》</w:t>
      </w:r>
      <w:r>
        <w:t>DL/T</w:t>
      </w:r>
      <w:r>
        <w:rPr>
          <w:spacing w:val="-3"/>
        </w:rPr>
        <w:t xml:space="preserve"> </w:t>
      </w:r>
      <w:r>
        <w:rPr>
          <w:spacing w:val="-2"/>
        </w:rPr>
        <w:t>5155-</w:t>
      </w:r>
    </w:p>
    <w:p>
      <w:pPr>
        <w:pStyle w:val="BodyText"/>
        <w:spacing w:before="202"/>
        <w:ind w:left="1040" w:firstLine="0"/>
      </w:pPr>
      <w:r>
        <w:t>《变电所总布置设计技术规程》DL/T</w:t>
      </w:r>
      <w:r>
        <w:rPr>
          <w:spacing w:val="-2"/>
        </w:rPr>
        <w:t xml:space="preserve"> 5056-</w:t>
      </w:r>
    </w:p>
    <w:p>
      <w:pPr>
        <w:pStyle w:val="BodyText"/>
        <w:spacing w:before="202"/>
        <w:ind w:left="1040" w:firstLine="0"/>
      </w:pPr>
      <w:r>
        <w:t>《电力设备典型消防规程》DL</w:t>
      </w:r>
      <w:r>
        <w:rPr>
          <w:spacing w:val="-4"/>
        </w:rPr>
        <w:t xml:space="preserve"> </w:t>
      </w:r>
      <w:r>
        <w:t>5027-</w:t>
      </w:r>
      <w:r>
        <w:rPr>
          <w:spacing w:val="-4"/>
        </w:rPr>
        <w:t>1993</w:t>
      </w:r>
    </w:p>
    <w:p>
      <w:pPr>
        <w:pStyle w:val="BodyText"/>
        <w:spacing w:before="203"/>
        <w:ind w:left="1040" w:firstLine="0"/>
      </w:pPr>
      <w:r>
        <w:t>《高压配电装置设计技术规程》DL/T</w:t>
      </w:r>
      <w:r>
        <w:rPr>
          <w:spacing w:val="-2"/>
        </w:rPr>
        <w:t xml:space="preserve"> 5352-</w:t>
      </w:r>
    </w:p>
    <w:p>
      <w:pPr>
        <w:pStyle w:val="BodyText"/>
        <w:spacing w:before="202"/>
        <w:ind w:left="1040" w:firstLine="0"/>
      </w:pPr>
      <w:r>
        <w:t>《导体和电器选择设计技术规定》DL</w:t>
      </w:r>
      <w:r>
        <w:rPr>
          <w:spacing w:val="-1"/>
        </w:rPr>
        <w:t xml:space="preserve"> </w:t>
      </w:r>
      <w:r>
        <w:rPr>
          <w:spacing w:val="-2"/>
        </w:rPr>
        <w:t>5222-</w:t>
      </w:r>
    </w:p>
    <w:p>
      <w:pPr>
        <w:pStyle w:val="BodyText"/>
        <w:spacing w:before="202"/>
        <w:ind w:left="1040" w:firstLine="0"/>
      </w:pPr>
      <w:r>
        <w:t>《交流电气装置的过电压保护和绝缘配合》DL/T</w:t>
      </w:r>
      <w:r>
        <w:rPr>
          <w:spacing w:val="-1"/>
        </w:rPr>
        <w:t xml:space="preserve"> </w:t>
      </w:r>
      <w:r>
        <w:t>620-</w:t>
      </w:r>
      <w:r>
        <w:rPr>
          <w:spacing w:val="-4"/>
        </w:rPr>
        <w:t>1997</w:t>
      </w:r>
    </w:p>
    <w:p>
      <w:pPr>
        <w:pStyle w:val="BodyText"/>
        <w:spacing w:before="203"/>
        <w:ind w:left="1040" w:firstLine="0"/>
      </w:pPr>
      <w:r>
        <w:t>《交流电气装置的接地》DL/T</w:t>
      </w:r>
      <w:r>
        <w:rPr>
          <w:spacing w:val="-2"/>
        </w:rPr>
        <w:t xml:space="preserve"> </w:t>
      </w:r>
      <w:r>
        <w:t>621-</w:t>
      </w:r>
      <w:r>
        <w:rPr>
          <w:spacing w:val="-4"/>
        </w:rPr>
        <w:t>1997</w:t>
      </w:r>
    </w:p>
    <w:p>
      <w:pPr>
        <w:pStyle w:val="BodyText"/>
        <w:spacing w:before="202"/>
        <w:ind w:left="1040" w:firstLine="0"/>
      </w:pPr>
      <w:r>
        <w:t>《风力发电厂设计技术规范》DL/T</w:t>
      </w:r>
      <w:r>
        <w:rPr>
          <w:spacing w:val="-4"/>
        </w:rPr>
        <w:t xml:space="preserve"> </w:t>
      </w:r>
      <w:r>
        <w:rPr>
          <w:spacing w:val="-2"/>
        </w:rPr>
        <w:t>5383-</w:t>
      </w:r>
    </w:p>
    <w:p>
      <w:pPr>
        <w:pStyle w:val="BodyText"/>
        <w:spacing w:before="203"/>
        <w:ind w:left="1040" w:firstLine="0"/>
      </w:pPr>
      <w:r>
        <w:rPr>
          <w:spacing w:val="-2"/>
        </w:rPr>
        <w:t>《电力系统设计技术规程》SDJ-</w:t>
      </w:r>
      <w:r>
        <w:rPr>
          <w:spacing w:val="-4"/>
        </w:rPr>
        <w:t>1985</w:t>
      </w:r>
    </w:p>
    <w:p>
      <w:pPr>
        <w:pStyle w:val="BodyText"/>
        <w:spacing w:before="202"/>
        <w:ind w:left="1040" w:firstLine="0"/>
      </w:pPr>
      <w:r>
        <w:rPr>
          <w:spacing w:val="-10"/>
        </w:rPr>
        <w:t>《风电场工程规划报告编制方法》</w:t>
      </w:r>
      <w:r>
        <w:t>（国家发改委</w:t>
      </w:r>
      <w:r>
        <w:rPr>
          <w:spacing w:val="-10"/>
        </w:rPr>
        <w:t>）</w:t>
      </w:r>
    </w:p>
    <w:p>
      <w:pPr>
        <w:pStyle w:val="BodyText"/>
        <w:spacing w:before="202"/>
        <w:ind w:left="1040" w:firstLine="0"/>
      </w:pPr>
      <w:r>
        <w:rPr>
          <w:spacing w:val="-1"/>
        </w:rPr>
        <w:t>《风电场工程可行性研究报告编制方法》</w:t>
      </w:r>
    </w:p>
    <w:p>
      <w:pPr>
        <w:pStyle w:val="Heading1"/>
        <w:numPr>
          <w:ilvl w:val="1"/>
          <w:numId w:val="66"/>
        </w:numPr>
        <w:tabs>
          <w:tab w:val="left" w:pos="1530"/>
        </w:tabs>
        <w:spacing w:before="203" w:after="0" w:line="240" w:lineRule="auto"/>
        <w:ind w:left="1530" w:right="0" w:hanging="490"/>
        <w:jc w:val="left"/>
      </w:pPr>
      <w:r>
        <w:rPr>
          <w:spacing w:val="-2"/>
        </w:rPr>
        <w:t>电气二次部分</w:t>
      </w:r>
    </w:p>
    <w:p>
      <w:pPr>
        <w:pStyle w:val="BodyText"/>
        <w:spacing w:before="202"/>
        <w:ind w:left="1040" w:firstLine="0"/>
      </w:pPr>
      <w:r>
        <w:rPr>
          <w:spacing w:val="-11"/>
        </w:rPr>
        <w:t>《工程建设原则强制性条文》</w:t>
      </w:r>
      <w:r>
        <w:t>（电力工程部分</w:t>
      </w:r>
      <w:r>
        <w:rPr>
          <w:spacing w:val="-10"/>
        </w:rPr>
        <w:t>）</w:t>
      </w:r>
    </w:p>
    <w:p>
      <w:pPr>
        <w:pStyle w:val="BodyText"/>
        <w:spacing w:before="202"/>
        <w:ind w:left="1040" w:firstLine="0"/>
      </w:pPr>
      <w:r>
        <w:rPr>
          <w:spacing w:val="-1"/>
        </w:rPr>
        <w:t>《电力系统继电保护和安全自动装置反事故方法要点》</w:t>
      </w:r>
    </w:p>
    <w:p>
      <w:pPr>
        <w:pStyle w:val="BodyText"/>
        <w:spacing w:before="203"/>
        <w:ind w:left="1040" w:firstLine="0"/>
      </w:pPr>
      <w:r>
        <w:t>《继电保护和安全自动装置设计技术规程》GB</w:t>
      </w:r>
      <w:r>
        <w:rPr>
          <w:spacing w:val="-1"/>
        </w:rPr>
        <w:t xml:space="preserve"> </w:t>
      </w:r>
      <w:r>
        <w:rPr>
          <w:spacing w:val="-2"/>
        </w:rPr>
        <w:t>14285-</w:t>
      </w:r>
    </w:p>
    <w:p>
      <w:pPr>
        <w:spacing w:after="0"/>
        <w:sectPr>
          <w:pgSz w:w="11910" w:h="16840"/>
          <w:pgMar w:top="1480" w:right="820" w:bottom="280" w:left="1320" w:header="708" w:footer="708"/>
          <w:pgNumType w:start="3"/>
          <w:cols w:space="708"/>
        </w:sectPr>
      </w:pPr>
    </w:p>
    <w:p>
      <w:pPr>
        <w:pStyle w:val="BodyText"/>
        <w:spacing w:before="10"/>
        <w:ind w:left="1040" w:firstLine="0"/>
      </w:pPr>
      <w:r>
        <w:t>《电力装置的电测量仪表装置设计规范》GBJ</w:t>
      </w:r>
      <w:r>
        <w:rPr>
          <w:spacing w:val="-2"/>
        </w:rPr>
        <w:t xml:space="preserve"> </w:t>
      </w:r>
      <w:r>
        <w:t>63-</w:t>
      </w:r>
      <w:r>
        <w:rPr>
          <w:spacing w:val="-4"/>
        </w:rPr>
        <w:t>1990</w:t>
      </w:r>
    </w:p>
    <w:p>
      <w:pPr>
        <w:pStyle w:val="BodyText"/>
        <w:spacing w:before="202"/>
        <w:ind w:left="1040" w:firstLine="0"/>
      </w:pPr>
      <w:r>
        <w:t>《火力发电厂、变电所二次接线设计技术规程》DL/T</w:t>
      </w:r>
      <w:r>
        <w:rPr>
          <w:spacing w:val="-1"/>
        </w:rPr>
        <w:t xml:space="preserve"> </w:t>
      </w:r>
      <w:r>
        <w:rPr>
          <w:spacing w:val="-4"/>
        </w:rPr>
        <w:t>5136</w:t>
      </w:r>
    </w:p>
    <w:p>
      <w:pPr>
        <w:pStyle w:val="BodyText"/>
        <w:spacing w:before="203" w:line="355" w:lineRule="auto"/>
        <w:ind w:right="978"/>
      </w:pPr>
      <w:r>
        <w:rPr>
          <w:spacing w:val="31"/>
        </w:rPr>
        <w:t>《</w:t>
      </w:r>
      <w:r>
        <w:t>220～</w:t>
      </w:r>
      <w:r>
        <w:rPr>
          <w:spacing w:val="-46"/>
        </w:rPr>
        <w:t xml:space="preserve"> </w:t>
      </w:r>
      <w:r>
        <w:t>500kV</w:t>
      </w:r>
      <w:r>
        <w:rPr>
          <w:spacing w:val="23"/>
        </w:rPr>
        <w:t xml:space="preserve"> 变电所计算机监控系统设计技术规程》</w:t>
      </w:r>
      <w:r>
        <w:t xml:space="preserve">DL/T </w:t>
      </w:r>
      <w:r>
        <w:rPr>
          <w:spacing w:val="-4"/>
        </w:rPr>
        <w:t>5149</w:t>
      </w:r>
    </w:p>
    <w:p>
      <w:pPr>
        <w:pStyle w:val="BodyText"/>
        <w:ind w:left="1040" w:firstLine="0"/>
      </w:pPr>
      <w:r>
        <w:t>《电测量及电能计量装置设计技术规程》DL/T</w:t>
      </w:r>
      <w:r>
        <w:rPr>
          <w:spacing w:val="-1"/>
        </w:rPr>
        <w:t xml:space="preserve"> </w:t>
      </w:r>
      <w:r>
        <w:rPr>
          <w:spacing w:val="-2"/>
        </w:rPr>
        <w:t>5137-</w:t>
      </w:r>
    </w:p>
    <w:p>
      <w:pPr>
        <w:pStyle w:val="BodyText"/>
        <w:spacing w:before="202"/>
        <w:ind w:left="1040" w:firstLine="0"/>
      </w:pPr>
      <w:r>
        <w:t>《电能量计量系统设计技术规程》DL/T</w:t>
      </w:r>
      <w:r>
        <w:rPr>
          <w:spacing w:val="-4"/>
        </w:rPr>
        <w:t xml:space="preserve"> 5202</w:t>
      </w:r>
    </w:p>
    <w:p>
      <w:pPr>
        <w:pStyle w:val="BodyText"/>
        <w:spacing w:before="202"/>
        <w:ind w:left="1040" w:firstLine="0"/>
      </w:pPr>
      <w:r>
        <w:t>《电力工程直流系统设计技术规定》DL/T</w:t>
      </w:r>
      <w:r>
        <w:rPr>
          <w:spacing w:val="-2"/>
        </w:rPr>
        <w:t xml:space="preserve"> 5044-</w:t>
      </w:r>
    </w:p>
    <w:p>
      <w:pPr>
        <w:pStyle w:val="BodyText"/>
        <w:spacing w:before="203"/>
        <w:ind w:left="1040" w:firstLine="0"/>
      </w:pPr>
      <w:r>
        <w:t>《火灾自动报警系统设计规范》GB</w:t>
      </w:r>
      <w:r>
        <w:rPr>
          <w:spacing w:val="-1"/>
        </w:rPr>
        <w:t xml:space="preserve"> </w:t>
      </w:r>
      <w:r>
        <w:rPr>
          <w:spacing w:val="-2"/>
        </w:rPr>
        <w:t>50116-</w:t>
      </w:r>
    </w:p>
    <w:p>
      <w:pPr>
        <w:pStyle w:val="Heading1"/>
        <w:numPr>
          <w:ilvl w:val="1"/>
          <w:numId w:val="66"/>
        </w:numPr>
        <w:tabs>
          <w:tab w:val="left" w:pos="1559"/>
        </w:tabs>
        <w:spacing w:before="202" w:after="0" w:line="240" w:lineRule="auto"/>
        <w:ind w:left="1558" w:right="0" w:hanging="519"/>
        <w:jc w:val="left"/>
      </w:pPr>
      <w:r>
        <w:rPr>
          <w:spacing w:val="-3"/>
        </w:rPr>
        <w:t>土建部分</w:t>
      </w:r>
    </w:p>
    <w:p>
      <w:pPr>
        <w:pStyle w:val="BodyText"/>
        <w:spacing w:before="202"/>
        <w:ind w:left="1040" w:firstLine="0"/>
      </w:pPr>
      <w:r>
        <w:t>《变电站总布置设计技术规程》DL/T</w:t>
      </w:r>
      <w:r>
        <w:rPr>
          <w:spacing w:val="-2"/>
        </w:rPr>
        <w:t xml:space="preserve"> 5056-</w:t>
      </w:r>
    </w:p>
    <w:p>
      <w:pPr>
        <w:pStyle w:val="BodyText"/>
        <w:spacing w:before="203"/>
        <w:ind w:left="1040" w:firstLine="0"/>
      </w:pPr>
      <w:r>
        <w:t>《220kV～500kV</w:t>
      </w:r>
      <w:r>
        <w:rPr>
          <w:spacing w:val="-3"/>
        </w:rPr>
        <w:t xml:space="preserve"> 变电所设计技术规程》</w:t>
      </w:r>
      <w:r>
        <w:t xml:space="preserve">DL/T </w:t>
      </w:r>
      <w:r>
        <w:rPr>
          <w:spacing w:val="-2"/>
        </w:rPr>
        <w:t>5218-</w:t>
      </w:r>
    </w:p>
    <w:p>
      <w:pPr>
        <w:pStyle w:val="BodyText"/>
        <w:spacing w:before="202"/>
        <w:ind w:left="1040" w:firstLine="0"/>
      </w:pPr>
      <w:r>
        <w:t>《建筑抗震设计规范》GB</w:t>
      </w:r>
      <w:r>
        <w:rPr>
          <w:spacing w:val="-1"/>
        </w:rPr>
        <w:t xml:space="preserve"> </w:t>
      </w:r>
      <w:r>
        <w:rPr>
          <w:spacing w:val="-2"/>
        </w:rPr>
        <w:t>50011-</w:t>
      </w:r>
    </w:p>
    <w:p>
      <w:pPr>
        <w:pStyle w:val="BodyText"/>
        <w:spacing w:before="202"/>
        <w:ind w:left="1040" w:firstLine="0"/>
      </w:pPr>
      <w:r>
        <w:t>《变电所给水排水设计规程》DL/T</w:t>
      </w:r>
      <w:r>
        <w:rPr>
          <w:spacing w:val="-4"/>
        </w:rPr>
        <w:t xml:space="preserve"> </w:t>
      </w:r>
      <w:r>
        <w:rPr>
          <w:spacing w:val="-2"/>
        </w:rPr>
        <w:t>5143-</w:t>
      </w:r>
    </w:p>
    <w:p>
      <w:pPr>
        <w:pStyle w:val="BodyText"/>
        <w:spacing w:before="203"/>
        <w:ind w:left="1040" w:firstLine="0"/>
      </w:pPr>
      <w:r>
        <w:t>《建筑地基基础设计规范》GB</w:t>
      </w:r>
      <w:r>
        <w:rPr>
          <w:spacing w:val="-1"/>
        </w:rPr>
        <w:t xml:space="preserve"> </w:t>
      </w:r>
      <w:r>
        <w:rPr>
          <w:spacing w:val="-2"/>
        </w:rPr>
        <w:t>50007-</w:t>
      </w:r>
    </w:p>
    <w:p>
      <w:pPr>
        <w:pStyle w:val="BodyText"/>
        <w:spacing w:before="202"/>
        <w:ind w:left="1040" w:firstLine="0"/>
      </w:pPr>
      <w:r>
        <w:t>《混凝土构造设计规范》GB</w:t>
      </w:r>
      <w:r>
        <w:rPr>
          <w:spacing w:val="-1"/>
        </w:rPr>
        <w:t xml:space="preserve"> </w:t>
      </w:r>
      <w:r>
        <w:rPr>
          <w:spacing w:val="-2"/>
        </w:rPr>
        <w:t>5010-</w:t>
      </w:r>
    </w:p>
    <w:p>
      <w:pPr>
        <w:pStyle w:val="BodyText"/>
        <w:spacing w:before="203"/>
        <w:ind w:left="1040" w:firstLine="0"/>
      </w:pPr>
      <w:r>
        <w:t>《砌体构造设计规范》GB</w:t>
      </w:r>
      <w:r>
        <w:rPr>
          <w:spacing w:val="-1"/>
        </w:rPr>
        <w:t xml:space="preserve"> </w:t>
      </w:r>
      <w:r>
        <w:rPr>
          <w:spacing w:val="-2"/>
        </w:rPr>
        <w:t>50003-</w:t>
      </w:r>
    </w:p>
    <w:p>
      <w:pPr>
        <w:pStyle w:val="BodyText"/>
        <w:spacing w:before="202"/>
        <w:ind w:left="1040" w:firstLine="0"/>
      </w:pPr>
      <w:r>
        <w:t>《建筑物防雷设计规范》</w:t>
      </w:r>
      <w:r>
        <w:rPr>
          <w:spacing w:val="-2"/>
        </w:rPr>
        <w:t>GB50057-</w:t>
      </w:r>
    </w:p>
    <w:p>
      <w:pPr>
        <w:pStyle w:val="BodyText"/>
        <w:spacing w:before="202"/>
        <w:ind w:left="1040" w:firstLine="0"/>
      </w:pPr>
      <w:r>
        <w:t>《采暖通风与空气调节设计规范》GB</w:t>
      </w:r>
      <w:r>
        <w:rPr>
          <w:spacing w:val="-1"/>
        </w:rPr>
        <w:t xml:space="preserve"> </w:t>
      </w:r>
      <w:r>
        <w:rPr>
          <w:spacing w:val="-2"/>
        </w:rPr>
        <w:t>50019-</w:t>
      </w:r>
    </w:p>
    <w:p>
      <w:pPr>
        <w:pStyle w:val="BodyText"/>
        <w:spacing w:before="203"/>
        <w:ind w:left="1040" w:firstLine="0"/>
      </w:pPr>
      <w:r>
        <w:t>《厂矿道路设计规范》GBJ</w:t>
      </w:r>
      <w:r>
        <w:rPr>
          <w:spacing w:val="-4"/>
        </w:rPr>
        <w:t xml:space="preserve"> </w:t>
      </w:r>
      <w:r>
        <w:t>22-</w:t>
      </w:r>
      <w:r>
        <w:rPr>
          <w:spacing w:val="-5"/>
        </w:rPr>
        <w:t>87</w:t>
      </w:r>
    </w:p>
    <w:p>
      <w:pPr>
        <w:pStyle w:val="BodyText"/>
        <w:spacing w:before="202"/>
        <w:ind w:left="1040" w:firstLine="0"/>
      </w:pPr>
      <w:r>
        <w:t>《公共建筑节能设计原则》GB</w:t>
      </w:r>
      <w:r>
        <w:rPr>
          <w:spacing w:val="-1"/>
        </w:rPr>
        <w:t xml:space="preserve"> </w:t>
      </w:r>
      <w:r>
        <w:rPr>
          <w:spacing w:val="-2"/>
        </w:rPr>
        <w:t>50189-</w:t>
      </w:r>
    </w:p>
    <w:p>
      <w:pPr>
        <w:pStyle w:val="BodyText"/>
        <w:spacing w:before="202"/>
        <w:ind w:left="1040" w:firstLine="0"/>
      </w:pPr>
      <w:r>
        <w:t>《火力发电厂与变电站设计防火规范》GB</w:t>
      </w:r>
      <w:r>
        <w:rPr>
          <w:spacing w:val="-1"/>
        </w:rPr>
        <w:t xml:space="preserve"> </w:t>
      </w:r>
      <w:r>
        <w:rPr>
          <w:spacing w:val="-2"/>
        </w:rPr>
        <w:t>50229-</w:t>
      </w:r>
    </w:p>
    <w:p>
      <w:pPr>
        <w:pStyle w:val="BodyText"/>
        <w:spacing w:before="203"/>
        <w:ind w:left="1040" w:firstLine="0"/>
      </w:pPr>
      <w:r>
        <w:t>《工业建筑防腐蚀设计规范》GB</w:t>
      </w:r>
      <w:r>
        <w:rPr>
          <w:spacing w:val="-1"/>
        </w:rPr>
        <w:t xml:space="preserve"> </w:t>
      </w:r>
      <w:r>
        <w:rPr>
          <w:spacing w:val="-2"/>
        </w:rPr>
        <w:t>50046-</w:t>
      </w:r>
    </w:p>
    <w:p>
      <w:pPr>
        <w:spacing w:after="0"/>
        <w:sectPr>
          <w:pgSz w:w="11910" w:h="16840"/>
          <w:pgMar w:top="1480" w:right="820" w:bottom="280" w:left="1320" w:header="708" w:footer="708"/>
          <w:pgNumType w:start="4"/>
          <w:cols w:space="708"/>
        </w:sectPr>
      </w:pPr>
    </w:p>
    <w:p>
      <w:pPr>
        <w:pStyle w:val="BodyText"/>
        <w:spacing w:before="10"/>
        <w:ind w:left="1040" w:firstLine="0"/>
      </w:pPr>
      <w:r>
        <w:t>《建筑构造荷载规范》GB</w:t>
      </w:r>
      <w:r>
        <w:rPr>
          <w:spacing w:val="-1"/>
        </w:rPr>
        <w:t xml:space="preserve"> </w:t>
      </w:r>
      <w:r>
        <w:rPr>
          <w:spacing w:val="-2"/>
        </w:rPr>
        <w:t>50009-</w:t>
      </w:r>
    </w:p>
    <w:p>
      <w:pPr>
        <w:pStyle w:val="BodyText"/>
        <w:spacing w:before="202"/>
        <w:ind w:left="1040" w:firstLine="0"/>
      </w:pPr>
      <w:r>
        <w:t>《建筑设计防火规范》GB</w:t>
      </w:r>
      <w:r>
        <w:rPr>
          <w:spacing w:val="-1"/>
        </w:rPr>
        <w:t xml:space="preserve"> </w:t>
      </w:r>
      <w:r>
        <w:rPr>
          <w:spacing w:val="-2"/>
        </w:rPr>
        <w:t>50016-</w:t>
      </w:r>
    </w:p>
    <w:p>
      <w:pPr>
        <w:pStyle w:val="BodyText"/>
        <w:spacing w:before="203"/>
        <w:ind w:left="1040" w:firstLine="0"/>
      </w:pPr>
      <w:r>
        <w:t>《建筑地基解决技术规范》JGJ</w:t>
      </w:r>
      <w:r>
        <w:rPr>
          <w:spacing w:val="-3"/>
        </w:rPr>
        <w:t xml:space="preserve"> </w:t>
      </w:r>
      <w:r>
        <w:rPr>
          <w:spacing w:val="-5"/>
        </w:rPr>
        <w:t>79-</w:t>
      </w:r>
    </w:p>
    <w:p>
      <w:pPr>
        <w:pStyle w:val="Heading1"/>
        <w:numPr>
          <w:ilvl w:val="1"/>
          <w:numId w:val="66"/>
        </w:numPr>
        <w:tabs>
          <w:tab w:val="left" w:pos="1530"/>
        </w:tabs>
        <w:spacing w:before="202" w:after="0" w:line="240" w:lineRule="auto"/>
        <w:ind w:left="1530" w:right="0" w:hanging="490"/>
        <w:jc w:val="left"/>
      </w:pPr>
      <w:r>
        <w:rPr>
          <w:spacing w:val="-3"/>
        </w:rPr>
        <w:t>概算部分</w:t>
      </w:r>
    </w:p>
    <w:p>
      <w:pPr>
        <w:pStyle w:val="BodyText"/>
        <w:spacing w:before="202"/>
        <w:ind w:left="1040" w:firstLine="0"/>
      </w:pPr>
      <w:r>
        <w:rPr>
          <w:spacing w:val="-9"/>
        </w:rPr>
        <w:t>《电网工程建设预算编制与计算原则》</w:t>
      </w:r>
      <w:r>
        <w:rPr>
          <w:spacing w:val="-5"/>
        </w:rPr>
        <w:t>（）</w:t>
      </w:r>
    </w:p>
    <w:p>
      <w:pPr>
        <w:pStyle w:val="BodyText"/>
        <w:spacing w:before="203"/>
        <w:ind w:left="1040" w:firstLine="0"/>
      </w:pPr>
      <w:r>
        <w:t>《电力建设工程概算定额》第一册 建筑工程</w:t>
      </w:r>
      <w:r>
        <w:rPr>
          <w:spacing w:val="-5"/>
        </w:rPr>
        <w:t>（）</w:t>
      </w:r>
    </w:p>
    <w:p>
      <w:pPr>
        <w:pStyle w:val="BodyText"/>
        <w:spacing w:before="202"/>
        <w:ind w:left="1040" w:firstLine="0"/>
      </w:pPr>
      <w:r>
        <w:t>《电力建设工程概算定额》第三册 电气设备安装工程</w:t>
      </w:r>
      <w:r>
        <w:rPr>
          <w:spacing w:val="-5"/>
        </w:rPr>
        <w:t>（）</w:t>
      </w:r>
    </w:p>
    <w:p>
      <w:pPr>
        <w:pStyle w:val="BodyText"/>
        <w:spacing w:before="202"/>
        <w:ind w:left="1040" w:firstLine="0"/>
      </w:pPr>
      <w:r>
        <w:t>《电力建设工程预算定额》第一册 建筑工程 上下册</w:t>
      </w:r>
      <w:r>
        <w:rPr>
          <w:spacing w:val="-5"/>
        </w:rPr>
        <w:t>（）</w:t>
      </w:r>
    </w:p>
    <w:p>
      <w:pPr>
        <w:pStyle w:val="BodyText"/>
        <w:spacing w:before="203"/>
        <w:ind w:left="1040" w:firstLine="0"/>
      </w:pPr>
      <w:r>
        <w:t>《电力建设工程预算定额》第三册 电气设备安装工程</w:t>
      </w:r>
      <w:r>
        <w:rPr>
          <w:spacing w:val="-5"/>
        </w:rPr>
        <w:t>（）</w:t>
      </w:r>
    </w:p>
    <w:p>
      <w:pPr>
        <w:pStyle w:val="BodyText"/>
        <w:spacing w:before="202"/>
        <w:ind w:left="1040" w:firstLine="0"/>
      </w:pPr>
      <w:r>
        <w:t>《电力建设工程预算定额》第五册 加工配制工程</w:t>
      </w:r>
      <w:r>
        <w:rPr>
          <w:spacing w:val="-5"/>
        </w:rPr>
        <w:t>（）</w:t>
      </w:r>
    </w:p>
    <w:p>
      <w:pPr>
        <w:pStyle w:val="BodyText"/>
        <w:spacing w:before="203"/>
        <w:ind w:left="1040" w:firstLine="0"/>
      </w:pPr>
      <w:r>
        <w:t>《电力建设工程预算定额》第六册 调试工程</w:t>
      </w:r>
      <w:r>
        <w:rPr>
          <w:spacing w:val="-5"/>
        </w:rPr>
        <w:t>（）</w:t>
      </w:r>
    </w:p>
    <w:p>
      <w:pPr>
        <w:pStyle w:val="BodyText"/>
        <w:spacing w:before="202"/>
        <w:ind w:left="1040" w:firstLine="0"/>
      </w:pPr>
      <w:r>
        <w:rPr>
          <w:spacing w:val="-12"/>
        </w:rPr>
        <w:t>《电力建设工程工期定额》</w:t>
      </w:r>
      <w:r>
        <w:rPr>
          <w:spacing w:val="-5"/>
        </w:rPr>
        <w:t>（）</w:t>
      </w:r>
    </w:p>
    <w:p>
      <w:pPr>
        <w:pStyle w:val="BodyText"/>
        <w:spacing w:before="202"/>
        <w:ind w:left="1040" w:firstLine="0"/>
      </w:pPr>
      <w:r>
        <w:rPr>
          <w:spacing w:val="-8"/>
        </w:rPr>
        <w:t>《电力建设工程施工机械台班费用定额》</w:t>
      </w:r>
      <w:r>
        <w:rPr>
          <w:spacing w:val="-5"/>
        </w:rPr>
        <w:t>（）</w:t>
      </w:r>
    </w:p>
    <w:p>
      <w:pPr>
        <w:pStyle w:val="BodyText"/>
        <w:spacing w:before="203"/>
        <w:ind w:left="1040" w:firstLine="0"/>
      </w:pPr>
      <w:r>
        <w:t>《电力建设工程装置性材料预算价格》上下册</w:t>
      </w:r>
      <w:r>
        <w:rPr>
          <w:spacing w:val="-5"/>
        </w:rPr>
        <w:t>（）</w:t>
      </w:r>
    </w:p>
    <w:p>
      <w:pPr>
        <w:pStyle w:val="BodyText"/>
        <w:spacing w:before="202"/>
        <w:ind w:left="1040" w:firstLine="0"/>
      </w:pPr>
      <w:r>
        <w:t>《电力建设工程装置性材料综合预算价格》变电工程</w:t>
      </w:r>
      <w:r>
        <w:rPr>
          <w:spacing w:val="-5"/>
        </w:rPr>
        <w:t>（）</w:t>
      </w:r>
    </w:p>
    <w:p>
      <w:pPr>
        <w:pStyle w:val="BodyText"/>
        <w:spacing w:before="202" w:line="355" w:lineRule="auto"/>
        <w:ind w:right="1048"/>
      </w:pPr>
      <w:r>
        <w:rPr>
          <w:spacing w:val="-9"/>
        </w:rPr>
        <w:t>《电力建设工程概预算定额价格水平调节方法》</w:t>
      </w:r>
      <w:r>
        <w:rPr>
          <w:spacing w:val="-2"/>
        </w:rPr>
        <w:t>（电定总造[]14</w:t>
      </w:r>
      <w:r>
        <w:rPr>
          <w:spacing w:val="-6"/>
        </w:rPr>
        <w:t>号）</w:t>
      </w:r>
    </w:p>
    <w:p>
      <w:pPr>
        <w:pStyle w:val="BodyText"/>
        <w:spacing w:line="355" w:lineRule="auto"/>
        <w:ind w:right="978"/>
      </w:pPr>
      <w:r>
        <w:rPr>
          <w:spacing w:val="-2"/>
        </w:rPr>
        <w:t>《电网建设工程概预算定额价格水平调节系数以及各地区工资</w:t>
      </w:r>
      <w:r>
        <w:rPr>
          <w:spacing w:val="-4"/>
        </w:rPr>
        <w:t>性补贴》</w:t>
      </w:r>
    </w:p>
    <w:p>
      <w:pPr>
        <w:pStyle w:val="BodyText"/>
        <w:ind w:left="1040" w:firstLine="0"/>
      </w:pPr>
      <w:r>
        <w:rPr>
          <w:spacing w:val="-1"/>
        </w:rPr>
        <w:t>《工程勘察设计收费管理规定》</w:t>
      </w:r>
    </w:p>
    <w:p>
      <w:pPr>
        <w:pStyle w:val="Heading1"/>
        <w:numPr>
          <w:ilvl w:val="0"/>
          <w:numId w:val="66"/>
        </w:numPr>
        <w:tabs>
          <w:tab w:val="left" w:pos="776"/>
        </w:tabs>
        <w:spacing w:before="203" w:after="0" w:line="240" w:lineRule="auto"/>
        <w:ind w:left="775" w:right="0" w:hanging="296"/>
        <w:jc w:val="left"/>
      </w:pPr>
      <w:r>
        <w:rPr>
          <w:spacing w:val="-2"/>
        </w:rPr>
        <w:t>术语和定义</w:t>
      </w:r>
    </w:p>
    <w:p>
      <w:pPr>
        <w:pStyle w:val="BodyText"/>
        <w:spacing w:before="202"/>
        <w:ind w:left="1040" w:firstLine="0"/>
      </w:pPr>
      <w:r>
        <w:rPr>
          <w:spacing w:val="-1"/>
        </w:rPr>
        <w:t>本原则中的术语定义与下列原则中的规定相似：</w:t>
      </w:r>
    </w:p>
    <w:p>
      <w:pPr>
        <w:spacing w:after="0"/>
        <w:sectPr>
          <w:pgSz w:w="11910" w:h="16840"/>
          <w:pgMar w:top="1480" w:right="820" w:bottom="280" w:left="1320" w:header="708" w:footer="708"/>
          <w:pgNumType w:start="5"/>
          <w:cols w:space="708"/>
        </w:sectPr>
      </w:pPr>
    </w:p>
    <w:p>
      <w:pPr>
        <w:pStyle w:val="BodyText"/>
        <w:spacing w:before="10"/>
        <w:ind w:left="1040" w:firstLine="0"/>
      </w:pPr>
      <w:r>
        <w:rPr>
          <w:spacing w:val="3"/>
        </w:rPr>
        <w:t>《电工术语 基本术语》</w:t>
      </w:r>
      <w:r>
        <w:t>GB/T 2900.1-</w:t>
      </w:r>
      <w:r>
        <w:rPr>
          <w:spacing w:val="-4"/>
        </w:rPr>
        <w:t>1992</w:t>
      </w:r>
    </w:p>
    <w:p>
      <w:pPr>
        <w:pStyle w:val="BodyText"/>
        <w:spacing w:before="202"/>
        <w:ind w:left="1040" w:firstLine="0"/>
      </w:pPr>
      <w:r>
        <w:t>《电工术语 变压器互感器调压器电抗器》GB/T 2900.15-</w:t>
      </w:r>
      <w:r>
        <w:rPr>
          <w:spacing w:val="-4"/>
        </w:rPr>
        <w:t>1997</w:t>
      </w:r>
    </w:p>
    <w:p>
      <w:pPr>
        <w:pStyle w:val="BodyText"/>
        <w:spacing w:before="203"/>
        <w:ind w:left="1040" w:firstLine="0"/>
      </w:pPr>
      <w:r>
        <w:t>《电工术语 高压实验技术和绝缘配合》GB/T 2900.19-</w:t>
      </w:r>
      <w:r>
        <w:rPr>
          <w:spacing w:val="-4"/>
        </w:rPr>
        <w:t>1994</w:t>
      </w:r>
    </w:p>
    <w:p>
      <w:pPr>
        <w:pStyle w:val="BodyText"/>
        <w:spacing w:before="202"/>
        <w:ind w:left="1040" w:firstLine="0"/>
      </w:pPr>
      <w:r>
        <w:rPr>
          <w:spacing w:val="2"/>
        </w:rPr>
        <w:t>《电工术语 高压开关设备》</w:t>
      </w:r>
      <w:r>
        <w:t>GB/T 2900.20-</w:t>
      </w:r>
      <w:r>
        <w:rPr>
          <w:spacing w:val="-4"/>
        </w:rPr>
        <w:t>1994</w:t>
      </w:r>
    </w:p>
    <w:p>
      <w:pPr>
        <w:pStyle w:val="Heading1"/>
        <w:numPr>
          <w:ilvl w:val="0"/>
          <w:numId w:val="66"/>
        </w:numPr>
        <w:tabs>
          <w:tab w:val="left" w:pos="776"/>
        </w:tabs>
        <w:spacing w:before="202" w:after="0" w:line="240" w:lineRule="auto"/>
        <w:ind w:left="775" w:right="0" w:hanging="296"/>
        <w:jc w:val="left"/>
      </w:pPr>
      <w:r>
        <w:rPr>
          <w:spacing w:val="-3"/>
        </w:rPr>
        <w:t>普通规定</w:t>
      </w:r>
    </w:p>
    <w:p>
      <w:pPr>
        <w:pStyle w:val="ListParagraph"/>
        <w:numPr>
          <w:ilvl w:val="1"/>
          <w:numId w:val="66"/>
        </w:numPr>
        <w:tabs>
          <w:tab w:val="left" w:pos="1467"/>
        </w:tabs>
        <w:spacing w:before="203" w:after="0" w:line="355" w:lineRule="auto"/>
        <w:ind w:left="480" w:right="977" w:firstLine="560"/>
        <w:jc w:val="both"/>
        <w:rPr>
          <w:sz w:val="28"/>
        </w:rPr>
      </w:pPr>
      <w:r>
        <w:rPr>
          <w:spacing w:val="-2"/>
          <w:sz w:val="28"/>
        </w:rPr>
        <w:t>风电场升压站的设计，须从全局🎧发，统筹兼顾，按照负荷</w:t>
      </w:r>
      <w:r>
        <w:rPr>
          <w:spacing w:val="-4"/>
          <w:sz w:val="28"/>
        </w:rPr>
        <w:t>性质、用电容量、工程特点和地区供电、输🎧条件，合理地拟定设计</w:t>
      </w:r>
      <w:r>
        <w:rPr>
          <w:spacing w:val="-4"/>
          <w:sz w:val="28"/>
        </w:rPr>
        <w:t>方案。</w:t>
      </w:r>
    </w:p>
    <w:p>
      <w:pPr>
        <w:pStyle w:val="ListParagraph"/>
        <w:numPr>
          <w:ilvl w:val="1"/>
          <w:numId w:val="66"/>
        </w:numPr>
        <w:tabs>
          <w:tab w:val="left" w:pos="1467"/>
        </w:tabs>
        <w:spacing w:before="0" w:after="0" w:line="355" w:lineRule="auto"/>
        <w:ind w:left="480" w:right="977" w:firstLine="560"/>
        <w:jc w:val="both"/>
        <w:rPr>
          <w:sz w:val="28"/>
        </w:rPr>
      </w:pPr>
      <w:r>
        <w:rPr>
          <w:spacing w:val="-2"/>
          <w:sz w:val="28"/>
        </w:rPr>
        <w:t>风电场升压站设计应做到规划统一、布局简洁、造型协调、</w:t>
      </w:r>
      <w:r>
        <w:rPr>
          <w:spacing w:val="-2"/>
          <w:sz w:val="28"/>
        </w:rPr>
        <w:t>整体性好、生产及生活方便。</w:t>
      </w:r>
    </w:p>
    <w:p>
      <w:pPr>
        <w:pStyle w:val="ListParagraph"/>
        <w:numPr>
          <w:ilvl w:val="1"/>
          <w:numId w:val="66"/>
        </w:numPr>
        <w:tabs>
          <w:tab w:val="left" w:pos="1467"/>
        </w:tabs>
        <w:spacing w:before="0" w:after="0" w:line="355" w:lineRule="auto"/>
        <w:ind w:left="480" w:right="977" w:firstLine="560"/>
        <w:jc w:val="both"/>
        <w:rPr>
          <w:sz w:val="28"/>
        </w:rPr>
      </w:pPr>
      <w:r>
        <w:rPr>
          <w:spacing w:val="-2"/>
          <w:sz w:val="28"/>
        </w:rPr>
        <w:t>电气设备应尽量选用惯用类型及型号、建筑构造的类型及材</w:t>
      </w:r>
      <w:r>
        <w:rPr>
          <w:spacing w:val="-2"/>
          <w:sz w:val="28"/>
        </w:rPr>
        <w:t>料品种应合理并简化，以利采购、备料、加工、施工和运行。</w:t>
      </w:r>
    </w:p>
    <w:p>
      <w:pPr>
        <w:pStyle w:val="Heading1"/>
        <w:numPr>
          <w:ilvl w:val="0"/>
          <w:numId w:val="66"/>
        </w:numPr>
        <w:tabs>
          <w:tab w:val="left" w:pos="776"/>
        </w:tabs>
        <w:spacing w:before="0" w:after="0" w:line="240" w:lineRule="auto"/>
        <w:ind w:left="775" w:right="0" w:hanging="296"/>
        <w:jc w:val="both"/>
      </w:pPr>
      <w:r>
        <w:rPr>
          <w:spacing w:val="-1"/>
        </w:rPr>
        <w:t>风电场升压站设计的重要内容</w:t>
      </w:r>
    </w:p>
    <w:p>
      <w:pPr>
        <w:pStyle w:val="ListParagraph"/>
        <w:numPr>
          <w:ilvl w:val="0"/>
          <w:numId w:val="65"/>
        </w:numPr>
        <w:tabs>
          <w:tab w:val="left" w:pos="1749"/>
        </w:tabs>
        <w:spacing w:before="202" w:after="0" w:line="240" w:lineRule="auto"/>
        <w:ind w:left="1748" w:right="0" w:hanging="709"/>
        <w:jc w:val="left"/>
        <w:rPr>
          <w:sz w:val="28"/>
        </w:rPr>
      </w:pPr>
      <w:r>
        <w:rPr>
          <w:spacing w:val="-1"/>
          <w:sz w:val="28"/>
        </w:rPr>
        <w:t>风电场接入系统的方式；</w:t>
      </w:r>
    </w:p>
    <w:p>
      <w:pPr>
        <w:pStyle w:val="ListParagraph"/>
        <w:numPr>
          <w:ilvl w:val="0"/>
          <w:numId w:val="65"/>
        </w:numPr>
        <w:tabs>
          <w:tab w:val="left" w:pos="1749"/>
        </w:tabs>
        <w:spacing w:before="202" w:after="0" w:line="240" w:lineRule="auto"/>
        <w:ind w:left="1748" w:right="0" w:hanging="709"/>
        <w:jc w:val="left"/>
        <w:rPr>
          <w:sz w:val="28"/>
        </w:rPr>
      </w:pPr>
      <w:r>
        <w:rPr>
          <w:spacing w:val="-2"/>
          <w:sz w:val="28"/>
        </w:rPr>
        <w:t>风电场电气主接线；</w:t>
      </w:r>
    </w:p>
    <w:p>
      <w:pPr>
        <w:pStyle w:val="ListParagraph"/>
        <w:numPr>
          <w:ilvl w:val="0"/>
          <w:numId w:val="65"/>
        </w:numPr>
        <w:tabs>
          <w:tab w:val="left" w:pos="1749"/>
        </w:tabs>
        <w:spacing w:before="203" w:after="0" w:line="240" w:lineRule="auto"/>
        <w:ind w:left="1748" w:right="0" w:hanging="709"/>
        <w:jc w:val="left"/>
        <w:rPr>
          <w:sz w:val="28"/>
        </w:rPr>
      </w:pPr>
      <w:r>
        <w:rPr>
          <w:sz w:val="28"/>
        </w:rPr>
        <w:t>提🎧</w:t>
      </w:r>
      <w:r>
        <w:rPr>
          <w:spacing w:val="-1"/>
          <w:sz w:val="28"/>
        </w:rPr>
        <w:t>风电场短路电路计算成果和重要电气设备选择；</w:t>
      </w:r>
    </w:p>
    <w:p>
      <w:pPr>
        <w:pStyle w:val="ListParagraph"/>
        <w:numPr>
          <w:ilvl w:val="0"/>
          <w:numId w:val="65"/>
        </w:numPr>
        <w:tabs>
          <w:tab w:val="left" w:pos="1749"/>
        </w:tabs>
        <w:spacing w:before="202" w:after="0" w:line="240" w:lineRule="auto"/>
        <w:ind w:left="1748" w:right="0" w:hanging="709"/>
        <w:jc w:val="left"/>
        <w:rPr>
          <w:sz w:val="28"/>
        </w:rPr>
      </w:pPr>
      <w:r>
        <w:rPr>
          <w:spacing w:val="-1"/>
          <w:sz w:val="28"/>
        </w:rPr>
        <w:t>风电场和升压站过电压保护和接地；</w:t>
      </w:r>
    </w:p>
    <w:p>
      <w:pPr>
        <w:pStyle w:val="ListParagraph"/>
        <w:numPr>
          <w:ilvl w:val="0"/>
          <w:numId w:val="65"/>
        </w:numPr>
        <w:tabs>
          <w:tab w:val="left" w:pos="1749"/>
        </w:tabs>
        <w:spacing w:before="202" w:after="0" w:line="240" w:lineRule="auto"/>
        <w:ind w:left="1748" w:right="0" w:hanging="709"/>
        <w:jc w:val="left"/>
        <w:rPr>
          <w:sz w:val="28"/>
        </w:rPr>
      </w:pPr>
      <w:r>
        <w:rPr>
          <w:spacing w:val="-1"/>
          <w:sz w:val="28"/>
        </w:rPr>
        <w:t>电气设备布置及照明；</w:t>
      </w:r>
    </w:p>
    <w:p>
      <w:pPr>
        <w:pStyle w:val="ListParagraph"/>
        <w:numPr>
          <w:ilvl w:val="0"/>
          <w:numId w:val="65"/>
        </w:numPr>
        <w:tabs>
          <w:tab w:val="left" w:pos="1749"/>
        </w:tabs>
        <w:spacing w:before="203" w:after="0" w:line="240" w:lineRule="auto"/>
        <w:ind w:left="1748" w:right="0" w:hanging="709"/>
        <w:jc w:val="left"/>
        <w:rPr>
          <w:sz w:val="28"/>
        </w:rPr>
      </w:pPr>
      <w:r>
        <w:rPr>
          <w:spacing w:val="-1"/>
          <w:sz w:val="28"/>
        </w:rPr>
        <w:t>风电场接入系统的继电保护、系统远动、系统通信设计；</w:t>
      </w:r>
    </w:p>
    <w:p>
      <w:pPr>
        <w:pStyle w:val="ListParagraph"/>
        <w:numPr>
          <w:ilvl w:val="0"/>
          <w:numId w:val="65"/>
        </w:numPr>
        <w:tabs>
          <w:tab w:val="left" w:pos="1749"/>
        </w:tabs>
        <w:spacing w:before="202" w:after="0" w:line="240" w:lineRule="auto"/>
        <w:ind w:left="1748" w:right="0" w:hanging="709"/>
        <w:jc w:val="left"/>
        <w:rPr>
          <w:sz w:val="28"/>
        </w:rPr>
      </w:pPr>
      <w:r>
        <w:rPr>
          <w:spacing w:val="-1"/>
          <w:sz w:val="28"/>
        </w:rPr>
        <w:t>风电场控制、保护、测量和信号；</w:t>
      </w:r>
    </w:p>
    <w:p>
      <w:pPr>
        <w:pStyle w:val="ListParagraph"/>
        <w:numPr>
          <w:ilvl w:val="0"/>
          <w:numId w:val="65"/>
        </w:numPr>
        <w:tabs>
          <w:tab w:val="left" w:pos="1749"/>
        </w:tabs>
        <w:spacing w:before="202" w:after="0" w:line="240" w:lineRule="auto"/>
        <w:ind w:left="1748" w:right="0" w:hanging="709"/>
        <w:jc w:val="left"/>
        <w:rPr>
          <w:sz w:val="28"/>
        </w:rPr>
      </w:pPr>
      <w:r>
        <w:rPr>
          <w:spacing w:val="-1"/>
          <w:sz w:val="28"/>
        </w:rPr>
        <w:t>升压站控制、保护、测量和信号；</w:t>
      </w:r>
    </w:p>
    <w:p>
      <w:pPr>
        <w:pStyle w:val="ListParagraph"/>
        <w:numPr>
          <w:ilvl w:val="0"/>
          <w:numId w:val="65"/>
        </w:numPr>
        <w:tabs>
          <w:tab w:val="left" w:pos="1749"/>
        </w:tabs>
        <w:spacing w:before="203" w:after="0" w:line="240" w:lineRule="auto"/>
        <w:ind w:left="1748" w:right="0" w:hanging="709"/>
        <w:jc w:val="left"/>
        <w:rPr>
          <w:sz w:val="28"/>
        </w:rPr>
      </w:pPr>
      <w:r>
        <w:rPr>
          <w:spacing w:val="-1"/>
          <w:sz w:val="28"/>
        </w:rPr>
        <w:t>交直流控制电源系统；</w:t>
      </w:r>
    </w:p>
    <w:p>
      <w:pPr>
        <w:spacing w:after="0" w:line="240" w:lineRule="auto"/>
        <w:jc w:val="left"/>
        <w:rPr>
          <w:sz w:val="28"/>
        </w:rPr>
        <w:sectPr>
          <w:pgSz w:w="11910" w:h="16840"/>
          <w:pgMar w:top="1480" w:right="820" w:bottom="280" w:left="1320" w:header="708" w:footer="708"/>
          <w:pgNumType w:start="6"/>
          <w:cols w:space="708"/>
        </w:sectPr>
      </w:pPr>
    </w:p>
    <w:p>
      <w:pPr>
        <w:pStyle w:val="ListParagraph"/>
        <w:numPr>
          <w:ilvl w:val="0"/>
          <w:numId w:val="65"/>
        </w:numPr>
        <w:tabs>
          <w:tab w:val="left" w:pos="1897"/>
        </w:tabs>
        <w:spacing w:before="10" w:after="0" w:line="240" w:lineRule="auto"/>
        <w:ind w:left="1896" w:right="0" w:hanging="857"/>
        <w:jc w:val="left"/>
        <w:rPr>
          <w:sz w:val="28"/>
        </w:rPr>
      </w:pPr>
      <w:r>
        <w:rPr>
          <w:spacing w:val="-2"/>
          <w:sz w:val="28"/>
        </w:rPr>
        <w:t>升压站通信系统；</w:t>
      </w:r>
    </w:p>
    <w:p>
      <w:pPr>
        <w:pStyle w:val="ListParagraph"/>
        <w:numPr>
          <w:ilvl w:val="0"/>
          <w:numId w:val="65"/>
        </w:numPr>
        <w:tabs>
          <w:tab w:val="left" w:pos="1897"/>
        </w:tabs>
        <w:spacing w:before="202" w:after="0" w:line="240" w:lineRule="auto"/>
        <w:ind w:left="1896" w:right="0" w:hanging="857"/>
        <w:jc w:val="left"/>
        <w:rPr>
          <w:sz w:val="28"/>
        </w:rPr>
      </w:pPr>
      <w:r>
        <w:rPr>
          <w:spacing w:val="-2"/>
          <w:sz w:val="28"/>
        </w:rPr>
        <w:t>升压站站址选择；</w:t>
      </w:r>
    </w:p>
    <w:p>
      <w:pPr>
        <w:pStyle w:val="ListParagraph"/>
        <w:numPr>
          <w:ilvl w:val="0"/>
          <w:numId w:val="65"/>
        </w:numPr>
        <w:tabs>
          <w:tab w:val="left" w:pos="1897"/>
        </w:tabs>
        <w:spacing w:before="203" w:after="0" w:line="240" w:lineRule="auto"/>
        <w:ind w:left="1896" w:right="0" w:hanging="857"/>
        <w:jc w:val="left"/>
        <w:rPr>
          <w:sz w:val="28"/>
        </w:rPr>
      </w:pPr>
      <w:r>
        <w:rPr>
          <w:spacing w:val="-1"/>
          <w:sz w:val="28"/>
        </w:rPr>
        <w:t>站区规划及总平面布置；</w:t>
      </w:r>
    </w:p>
    <w:p>
      <w:pPr>
        <w:pStyle w:val="ListParagraph"/>
        <w:numPr>
          <w:ilvl w:val="0"/>
          <w:numId w:val="65"/>
        </w:numPr>
        <w:tabs>
          <w:tab w:val="left" w:pos="1897"/>
        </w:tabs>
        <w:spacing w:before="202" w:after="0" w:line="240" w:lineRule="auto"/>
        <w:ind w:left="1896" w:right="0" w:hanging="857"/>
        <w:jc w:val="left"/>
        <w:rPr>
          <w:sz w:val="28"/>
        </w:rPr>
      </w:pPr>
      <w:r>
        <w:rPr>
          <w:spacing w:val="-2"/>
          <w:sz w:val="28"/>
        </w:rPr>
        <w:t>建构筑物;</w:t>
      </w:r>
    </w:p>
    <w:p>
      <w:pPr>
        <w:pStyle w:val="ListParagraph"/>
        <w:numPr>
          <w:ilvl w:val="0"/>
          <w:numId w:val="65"/>
        </w:numPr>
        <w:tabs>
          <w:tab w:val="left" w:pos="1897"/>
        </w:tabs>
        <w:spacing w:before="202" w:after="0" w:line="240" w:lineRule="auto"/>
        <w:ind w:left="1896" w:right="0" w:hanging="857"/>
        <w:jc w:val="left"/>
        <w:rPr>
          <w:sz w:val="28"/>
        </w:rPr>
      </w:pPr>
      <w:r>
        <w:rPr>
          <w:spacing w:val="-2"/>
          <w:sz w:val="28"/>
        </w:rPr>
        <w:t>升压站消防；</w:t>
      </w:r>
    </w:p>
    <w:p>
      <w:pPr>
        <w:pStyle w:val="ListParagraph"/>
        <w:numPr>
          <w:ilvl w:val="0"/>
          <w:numId w:val="65"/>
        </w:numPr>
        <w:tabs>
          <w:tab w:val="left" w:pos="1897"/>
        </w:tabs>
        <w:spacing w:before="203" w:after="0" w:line="240" w:lineRule="auto"/>
        <w:ind w:left="1896" w:right="0" w:hanging="857"/>
        <w:jc w:val="left"/>
        <w:rPr>
          <w:sz w:val="28"/>
        </w:rPr>
      </w:pPr>
      <w:r>
        <w:rPr>
          <w:spacing w:val="-2"/>
          <w:sz w:val="28"/>
        </w:rPr>
        <w:t>概预算编制。</w:t>
      </w:r>
    </w:p>
    <w:p>
      <w:pPr>
        <w:pStyle w:val="Heading1"/>
        <w:numPr>
          <w:ilvl w:val="0"/>
          <w:numId w:val="66"/>
        </w:numPr>
        <w:tabs>
          <w:tab w:val="left" w:pos="915"/>
          <w:tab w:val="left" w:pos="916"/>
        </w:tabs>
        <w:spacing w:before="202" w:after="0" w:line="240" w:lineRule="auto"/>
        <w:ind w:left="915" w:right="0" w:hanging="436"/>
        <w:jc w:val="left"/>
      </w:pPr>
      <w:r>
        <w:rPr>
          <w:spacing w:val="-2"/>
        </w:rPr>
        <w:t>接入系统设计</w:t>
      </w:r>
    </w:p>
    <w:p>
      <w:pPr>
        <w:pStyle w:val="BodyText"/>
        <w:spacing w:before="202" w:line="355" w:lineRule="auto"/>
        <w:ind w:right="885"/>
      </w:pPr>
      <w:r>
        <w:rPr>
          <w:spacing w:val="6"/>
        </w:rPr>
        <w:t>风电场的接入系统设计是由电力部门的规划及计划专业进行设</w:t>
      </w:r>
      <w:r>
        <w:rPr>
          <w:spacing w:val="5"/>
        </w:rPr>
        <w:t>计的，应根据接入系统设计及审批的有关文献，进行下列各项工作。</w:t>
      </w:r>
    </w:p>
    <w:p>
      <w:pPr>
        <w:pStyle w:val="Heading1"/>
        <w:numPr>
          <w:ilvl w:val="1"/>
          <w:numId w:val="66"/>
        </w:numPr>
        <w:tabs>
          <w:tab w:val="left" w:pos="1559"/>
        </w:tabs>
        <w:spacing w:before="0" w:after="0" w:line="240" w:lineRule="auto"/>
        <w:ind w:left="1558" w:right="0" w:hanging="519"/>
        <w:jc w:val="left"/>
      </w:pPr>
      <w:r>
        <w:rPr>
          <w:spacing w:val="-2"/>
        </w:rPr>
        <w:t>掌握电网规划</w:t>
      </w:r>
    </w:p>
    <w:p>
      <w:pPr>
        <w:pStyle w:val="BodyText"/>
        <w:spacing w:before="203" w:line="355" w:lineRule="auto"/>
        <w:ind w:right="978"/>
      </w:pPr>
      <w:r>
        <w:rPr>
          <w:spacing w:val="-7"/>
        </w:rPr>
        <w:t>掌握地区电网规划和对风电场周边电网状况的分析，特别是电网</w:t>
      </w:r>
      <w:r>
        <w:rPr>
          <w:spacing w:val="-2"/>
        </w:rPr>
        <w:t>负荷发展的预测成果。</w:t>
      </w:r>
    </w:p>
    <w:p>
      <w:pPr>
        <w:pStyle w:val="ListParagraph"/>
        <w:numPr>
          <w:ilvl w:val="0"/>
          <w:numId w:val="64"/>
        </w:numPr>
        <w:tabs>
          <w:tab w:val="left" w:pos="1751"/>
        </w:tabs>
        <w:spacing w:before="0" w:after="0" w:line="355" w:lineRule="auto"/>
        <w:ind w:left="480" w:right="978" w:firstLine="560"/>
        <w:jc w:val="left"/>
        <w:rPr>
          <w:sz w:val="28"/>
        </w:rPr>
      </w:pPr>
      <w:r>
        <w:rPr>
          <w:spacing w:val="-2"/>
          <w:sz w:val="28"/>
        </w:rPr>
        <w:t>理解风电场合在地区电力系统的用电规定，负荷特性、网</w:t>
      </w:r>
      <w:r>
        <w:rPr>
          <w:spacing w:val="-2"/>
          <w:sz w:val="28"/>
        </w:rPr>
        <w:t>络构造、电源构成、供电经济指标等；</w:t>
      </w:r>
    </w:p>
    <w:p>
      <w:pPr>
        <w:pStyle w:val="ListParagraph"/>
        <w:numPr>
          <w:ilvl w:val="0"/>
          <w:numId w:val="64"/>
        </w:numPr>
        <w:tabs>
          <w:tab w:val="left" w:pos="1751"/>
        </w:tabs>
        <w:spacing w:before="0" w:after="0" w:line="355" w:lineRule="auto"/>
        <w:ind w:left="480" w:right="978" w:firstLine="560"/>
        <w:jc w:val="left"/>
        <w:rPr>
          <w:sz w:val="28"/>
        </w:rPr>
      </w:pPr>
      <w:r>
        <w:rPr>
          <w:spacing w:val="-2"/>
          <w:sz w:val="28"/>
        </w:rPr>
        <w:t>理解该地区经济发展规划及电力发展规划，从电力系统负</w:t>
      </w:r>
      <w:r>
        <w:rPr>
          <w:spacing w:val="-2"/>
          <w:sz w:val="28"/>
        </w:rPr>
        <w:t>荷预测、电源建设推论🎧风电场建设的迫切性；</w:t>
      </w:r>
    </w:p>
    <w:p>
      <w:pPr>
        <w:pStyle w:val="ListParagraph"/>
        <w:numPr>
          <w:ilvl w:val="0"/>
          <w:numId w:val="64"/>
        </w:numPr>
        <w:tabs>
          <w:tab w:val="left" w:pos="1751"/>
        </w:tabs>
        <w:spacing w:before="0" w:after="0" w:line="355" w:lineRule="auto"/>
        <w:ind w:left="480" w:right="978" w:firstLine="560"/>
        <w:jc w:val="both"/>
        <w:rPr>
          <w:sz w:val="28"/>
        </w:rPr>
      </w:pPr>
      <w:r>
        <w:rPr>
          <w:spacing w:val="-2"/>
          <w:sz w:val="28"/>
        </w:rPr>
        <w:t>确认报告结论中的接入系统方式，从送🎧线路、输电电压</w:t>
      </w:r>
      <w:r>
        <w:rPr>
          <w:spacing w:val="-4"/>
          <w:sz w:val="28"/>
        </w:rPr>
        <w:t>等级、线路落点，及风电场开发次序，细化升压站的电气主接线，掌</w:t>
      </w:r>
      <w:r>
        <w:rPr>
          <w:spacing w:val="-2"/>
          <w:sz w:val="28"/>
        </w:rPr>
        <w:t>握风电场接入系统的地理位置接线图。</w:t>
      </w:r>
    </w:p>
    <w:p>
      <w:pPr>
        <w:pStyle w:val="Heading1"/>
        <w:numPr>
          <w:ilvl w:val="1"/>
          <w:numId w:val="66"/>
        </w:numPr>
        <w:tabs>
          <w:tab w:val="left" w:pos="1559"/>
        </w:tabs>
        <w:spacing w:before="0" w:after="0" w:line="240" w:lineRule="auto"/>
        <w:ind w:left="1558" w:right="0" w:hanging="519"/>
        <w:jc w:val="both"/>
      </w:pPr>
      <w:r>
        <w:rPr>
          <w:spacing w:val="-2"/>
        </w:rPr>
        <w:t>确认接入系统方案</w:t>
      </w:r>
    </w:p>
    <w:p>
      <w:pPr>
        <w:pStyle w:val="BodyText"/>
        <w:spacing w:before="202" w:line="355" w:lineRule="auto"/>
        <w:ind w:right="885"/>
      </w:pPr>
      <w:r>
        <w:rPr>
          <w:spacing w:val="-2"/>
        </w:rPr>
        <w:t>在明确了风电场接入系统方案（送🎧电力的回路、落点、潮流、</w:t>
      </w:r>
      <w:r>
        <w:rPr>
          <w:spacing w:val="-2"/>
        </w:rPr>
        <w:t>保护及通信等）的基础上，应进行下列工作：</w:t>
      </w:r>
    </w:p>
    <w:p>
      <w:pPr>
        <w:spacing w:after="0" w:line="355" w:lineRule="auto"/>
        <w:sectPr>
          <w:pgSz w:w="11910" w:h="16840"/>
          <w:pgMar w:top="1480" w:right="820" w:bottom="280" w:left="1320" w:header="708" w:footer="708"/>
          <w:pgNumType w:start="7"/>
          <w:cols w:space="708"/>
        </w:sectPr>
      </w:pPr>
    </w:p>
    <w:p>
      <w:pPr>
        <w:pStyle w:val="ListParagraph"/>
        <w:numPr>
          <w:ilvl w:val="0"/>
          <w:numId w:val="63"/>
        </w:numPr>
        <w:tabs>
          <w:tab w:val="left" w:pos="1751"/>
        </w:tabs>
        <w:spacing w:before="10" w:after="0" w:line="355" w:lineRule="auto"/>
        <w:ind w:left="480" w:right="978" w:firstLine="560"/>
        <w:jc w:val="both"/>
        <w:rPr>
          <w:sz w:val="28"/>
        </w:rPr>
      </w:pPr>
      <w:r>
        <w:rPr>
          <w:spacing w:val="-2"/>
          <w:sz w:val="28"/>
        </w:rPr>
        <w:t>根据功率潮流及电压水平计算，特别是风电场大风月运行</w:t>
      </w:r>
      <w:r>
        <w:rPr>
          <w:spacing w:val="-4"/>
          <w:sz w:val="28"/>
        </w:rPr>
        <w:t>方式时，风电场升压站高压母线电压水平的计算状况，这组数值宜作</w:t>
      </w:r>
      <w:r>
        <w:rPr>
          <w:spacing w:val="-2"/>
          <w:sz w:val="28"/>
        </w:rPr>
        <w:t>为主变主抽头的选择根据；</w:t>
      </w:r>
    </w:p>
    <w:p>
      <w:pPr>
        <w:pStyle w:val="ListParagraph"/>
        <w:numPr>
          <w:ilvl w:val="0"/>
          <w:numId w:val="63"/>
        </w:numPr>
        <w:tabs>
          <w:tab w:val="left" w:pos="1751"/>
        </w:tabs>
        <w:spacing w:before="0" w:after="0" w:line="355" w:lineRule="auto"/>
        <w:ind w:left="480" w:right="978" w:firstLine="560"/>
        <w:jc w:val="both"/>
        <w:rPr>
          <w:sz w:val="28"/>
        </w:rPr>
      </w:pPr>
      <w:r>
        <w:rPr>
          <w:spacing w:val="-2"/>
          <w:sz w:val="28"/>
        </w:rPr>
        <w:t>分析调压调相计算成果，复核升压站无功赔偿方案，计算</w:t>
      </w:r>
      <w:r>
        <w:rPr>
          <w:spacing w:val="-4"/>
          <w:sz w:val="28"/>
        </w:rPr>
        <w:t>风电场投产年电网的短路电流水平，并复核无功赔偿分组容量，推荐</w:t>
      </w:r>
      <w:r>
        <w:rPr>
          <w:spacing w:val="-2"/>
          <w:sz w:val="28"/>
        </w:rPr>
        <w:t>无功控制更为灵活的赔偿装置；</w:t>
      </w:r>
    </w:p>
    <w:p>
      <w:pPr>
        <w:pStyle w:val="ListParagraph"/>
        <w:numPr>
          <w:ilvl w:val="0"/>
          <w:numId w:val="63"/>
        </w:numPr>
        <w:tabs>
          <w:tab w:val="left" w:pos="1751"/>
        </w:tabs>
        <w:spacing w:before="0" w:after="0" w:line="355" w:lineRule="auto"/>
        <w:ind w:left="480" w:right="978" w:firstLine="560"/>
        <w:jc w:val="left"/>
        <w:rPr>
          <w:sz w:val="28"/>
        </w:rPr>
      </w:pPr>
      <w:r>
        <w:rPr>
          <w:spacing w:val="-2"/>
          <w:sz w:val="28"/>
        </w:rPr>
        <w:t>理解报告中稳定计算的内容，确认系统有关升压站的安稳</w:t>
      </w:r>
      <w:r>
        <w:rPr>
          <w:spacing w:val="-2"/>
          <w:sz w:val="28"/>
        </w:rPr>
        <w:t>方法设计；</w:t>
      </w:r>
    </w:p>
    <w:p>
      <w:pPr>
        <w:pStyle w:val="ListParagraph"/>
        <w:numPr>
          <w:ilvl w:val="0"/>
          <w:numId w:val="63"/>
        </w:numPr>
        <w:tabs>
          <w:tab w:val="left" w:pos="1751"/>
        </w:tabs>
        <w:spacing w:before="0" w:after="0" w:line="355" w:lineRule="auto"/>
        <w:ind w:left="480" w:right="978" w:firstLine="560"/>
        <w:jc w:val="left"/>
        <w:rPr>
          <w:sz w:val="28"/>
        </w:rPr>
      </w:pPr>
      <w:r>
        <w:rPr>
          <w:spacing w:val="-2"/>
          <w:sz w:val="28"/>
        </w:rPr>
        <w:t>确认报告中提🎧的风电场投产后有关电网左右的短路电流</w:t>
      </w:r>
      <w:r>
        <w:rPr>
          <w:spacing w:val="-2"/>
          <w:sz w:val="28"/>
        </w:rPr>
        <w:t>水平，复核升压站各级电气设备的性能参数；</w:t>
      </w:r>
    </w:p>
    <w:p>
      <w:pPr>
        <w:pStyle w:val="ListParagraph"/>
        <w:numPr>
          <w:ilvl w:val="0"/>
          <w:numId w:val="63"/>
        </w:numPr>
        <w:tabs>
          <w:tab w:val="left" w:pos="1749"/>
        </w:tabs>
        <w:spacing w:before="0" w:after="0" w:line="355" w:lineRule="auto"/>
        <w:ind w:left="480" w:right="977" w:firstLine="560"/>
        <w:jc w:val="left"/>
        <w:rPr>
          <w:sz w:val="28"/>
        </w:rPr>
      </w:pPr>
      <w:r>
        <w:rPr>
          <w:sz w:val="28"/>
        </w:rPr>
        <w:t>理解报告中的工频过电压计算内容（</w:t>
      </w:r>
      <w:r>
        <w:rPr>
          <w:spacing w:val="-5"/>
          <w:sz w:val="28"/>
        </w:rPr>
        <w:t xml:space="preserve">普通在 </w:t>
      </w:r>
      <w:r>
        <w:rPr>
          <w:sz w:val="28"/>
        </w:rPr>
        <w:t>330kV</w:t>
      </w:r>
      <w:r>
        <w:rPr>
          <w:spacing w:val="-6"/>
          <w:sz w:val="28"/>
        </w:rPr>
        <w:t xml:space="preserve"> 及以上</w:t>
      </w:r>
      <w:r>
        <w:rPr>
          <w:spacing w:val="-2"/>
          <w:sz w:val="28"/>
        </w:rPr>
        <w:t>电压系统进行专项研究</w:t>
      </w:r>
      <w:r>
        <w:rPr>
          <w:spacing w:val="-140"/>
          <w:sz w:val="28"/>
        </w:rPr>
        <w:t>）</w:t>
      </w:r>
      <w:r>
        <w:rPr>
          <w:spacing w:val="-2"/>
          <w:sz w:val="28"/>
        </w:rPr>
        <w:t>。</w:t>
      </w:r>
    </w:p>
    <w:p>
      <w:pPr>
        <w:pStyle w:val="Heading1"/>
        <w:numPr>
          <w:ilvl w:val="1"/>
          <w:numId w:val="66"/>
        </w:numPr>
        <w:tabs>
          <w:tab w:val="left" w:pos="1559"/>
        </w:tabs>
        <w:spacing w:before="0" w:after="0" w:line="240" w:lineRule="auto"/>
        <w:ind w:left="1558" w:right="0" w:hanging="519"/>
        <w:jc w:val="left"/>
      </w:pPr>
      <w:r>
        <w:rPr>
          <w:spacing w:val="-1"/>
        </w:rPr>
        <w:t>确认系统对风电场的有关规定</w:t>
      </w:r>
    </w:p>
    <w:p>
      <w:pPr>
        <w:pStyle w:val="ListParagraph"/>
        <w:numPr>
          <w:ilvl w:val="0"/>
          <w:numId w:val="62"/>
        </w:numPr>
        <w:tabs>
          <w:tab w:val="left" w:pos="1751"/>
        </w:tabs>
        <w:spacing w:before="202" w:after="0" w:line="355" w:lineRule="auto"/>
        <w:ind w:left="480" w:right="978" w:firstLine="560"/>
        <w:jc w:val="both"/>
        <w:rPr>
          <w:sz w:val="28"/>
        </w:rPr>
      </w:pPr>
      <w:r>
        <w:rPr>
          <w:spacing w:val="-2"/>
          <w:sz w:val="28"/>
        </w:rPr>
        <w:t>根据风电场规划容量、分期建设状况等约束条件，理解报</w:t>
      </w:r>
      <w:r>
        <w:rPr>
          <w:spacing w:val="-10"/>
          <w:sz w:val="28"/>
        </w:rPr>
        <w:t>告中的技术经济分析比较，消化并掌握对风电场升压站电气主接线的</w:t>
      </w:r>
      <w:r>
        <w:rPr>
          <w:spacing w:val="-4"/>
          <w:sz w:val="28"/>
        </w:rPr>
        <w:t>规定。</w:t>
      </w:r>
    </w:p>
    <w:p>
      <w:pPr>
        <w:pStyle w:val="ListParagraph"/>
        <w:numPr>
          <w:ilvl w:val="0"/>
          <w:numId w:val="62"/>
        </w:numPr>
        <w:tabs>
          <w:tab w:val="left" w:pos="1751"/>
        </w:tabs>
        <w:spacing w:before="0" w:after="0" w:line="355" w:lineRule="auto"/>
        <w:ind w:left="480" w:right="978" w:firstLine="560"/>
        <w:jc w:val="both"/>
        <w:rPr>
          <w:sz w:val="28"/>
        </w:rPr>
      </w:pPr>
      <w:r>
        <w:rPr>
          <w:spacing w:val="-2"/>
          <w:sz w:val="28"/>
        </w:rPr>
        <w:t>全方面理解报告提🎧的对升压站重要电气设备参数和风电</w:t>
      </w:r>
      <w:r>
        <w:rPr>
          <w:spacing w:val="-4"/>
          <w:sz w:val="28"/>
        </w:rPr>
        <w:t>机组电气性能规定，核算并修改风电场初设文献的有关内容（涉及后</w:t>
      </w:r>
      <w:r>
        <w:rPr>
          <w:spacing w:val="-2"/>
          <w:sz w:val="28"/>
        </w:rPr>
        <w:t>续的标书设计有关内容</w:t>
      </w:r>
      <w:r>
        <w:rPr>
          <w:spacing w:val="-140"/>
          <w:sz w:val="28"/>
        </w:rPr>
        <w:t>）</w:t>
      </w:r>
      <w:r>
        <w:rPr>
          <w:spacing w:val="-2"/>
          <w:sz w:val="28"/>
        </w:rPr>
        <w:t>。</w:t>
      </w:r>
    </w:p>
    <w:p>
      <w:pPr>
        <w:pStyle w:val="Heading1"/>
        <w:numPr>
          <w:ilvl w:val="1"/>
          <w:numId w:val="66"/>
        </w:numPr>
        <w:tabs>
          <w:tab w:val="left" w:pos="1559"/>
        </w:tabs>
        <w:spacing w:before="0" w:after="0" w:line="240" w:lineRule="auto"/>
        <w:ind w:left="1558" w:right="0" w:hanging="519"/>
        <w:jc w:val="both"/>
      </w:pPr>
      <w:r>
        <w:rPr>
          <w:spacing w:val="-1"/>
        </w:rPr>
        <w:t>确认电力系统安全稳定运行的基本规定</w:t>
      </w:r>
    </w:p>
    <w:p>
      <w:pPr>
        <w:pStyle w:val="ListParagraph"/>
        <w:numPr>
          <w:ilvl w:val="0"/>
          <w:numId w:val="61"/>
        </w:numPr>
        <w:tabs>
          <w:tab w:val="left" w:pos="1751"/>
        </w:tabs>
        <w:spacing w:before="202" w:after="0" w:line="355" w:lineRule="auto"/>
        <w:ind w:left="480" w:right="978" w:firstLine="560"/>
        <w:jc w:val="left"/>
        <w:rPr>
          <w:sz w:val="28"/>
        </w:rPr>
      </w:pPr>
      <w:r>
        <w:rPr>
          <w:spacing w:val="-2"/>
          <w:sz w:val="28"/>
        </w:rPr>
        <w:t>理解系统风电稳控系统控制方略，配合做好与稳控有关的</w:t>
      </w:r>
      <w:r>
        <w:rPr>
          <w:spacing w:val="-2"/>
          <w:sz w:val="28"/>
        </w:rPr>
        <w:t>保护及通讯的规定。</w:t>
      </w:r>
    </w:p>
    <w:p>
      <w:pPr>
        <w:spacing w:after="0" w:line="355" w:lineRule="auto"/>
        <w:jc w:val="left"/>
        <w:rPr>
          <w:sz w:val="28"/>
        </w:rPr>
        <w:sectPr>
          <w:pgSz w:w="11910" w:h="16840"/>
          <w:pgMar w:top="1480" w:right="820" w:bottom="280" w:left="1320" w:header="708" w:footer="708"/>
          <w:pgNumType w:start="8"/>
          <w:cols w:space="708"/>
        </w:sectPr>
      </w:pPr>
    </w:p>
    <w:p>
      <w:pPr>
        <w:pStyle w:val="ListParagraph"/>
        <w:numPr>
          <w:ilvl w:val="0"/>
          <w:numId w:val="61"/>
        </w:numPr>
        <w:tabs>
          <w:tab w:val="left" w:pos="1751"/>
        </w:tabs>
        <w:spacing w:before="10" w:after="0" w:line="355" w:lineRule="auto"/>
        <w:ind w:left="480" w:right="978" w:firstLine="560"/>
        <w:jc w:val="both"/>
        <w:rPr>
          <w:sz w:val="28"/>
        </w:rPr>
      </w:pPr>
      <w:r>
        <w:rPr>
          <w:spacing w:val="-2"/>
          <w:sz w:val="28"/>
        </w:rPr>
        <w:t>对百万千瓦风电基地中的风电场子项工程，应理解稳定计算内容和专项研究（必要的稳定计算摇晃曲线</w:t>
      </w:r>
      <w:r>
        <w:rPr>
          <w:spacing w:val="-139"/>
          <w:sz w:val="28"/>
        </w:rPr>
        <w:t>）</w:t>
      </w:r>
      <w:r>
        <w:rPr>
          <w:spacing w:val="-2"/>
          <w:sz w:val="28"/>
        </w:rPr>
        <w:t>，确认风电场与否装</w:t>
      </w:r>
      <w:r>
        <w:rPr>
          <w:spacing w:val="-4"/>
          <w:sz w:val="28"/>
        </w:rPr>
        <w:t>设功率控制系统或切机装置，当风电场规模较大时，与否装设一套工</w:t>
      </w:r>
      <w:r>
        <w:rPr>
          <w:spacing w:val="-2"/>
          <w:sz w:val="28"/>
        </w:rPr>
        <w:t>角测量装置以观察动态特性。</w:t>
      </w:r>
    </w:p>
    <w:p>
      <w:pPr>
        <w:pStyle w:val="Heading1"/>
        <w:numPr>
          <w:ilvl w:val="1"/>
          <w:numId w:val="66"/>
        </w:numPr>
        <w:tabs>
          <w:tab w:val="left" w:pos="1559"/>
        </w:tabs>
        <w:spacing w:before="0" w:after="0" w:line="240" w:lineRule="auto"/>
        <w:ind w:left="1558" w:right="0" w:hanging="519"/>
        <w:jc w:val="both"/>
      </w:pPr>
      <w:r>
        <w:rPr>
          <w:spacing w:val="-1"/>
        </w:rPr>
        <w:t>复核无功赔偿型式选择及容量配备</w:t>
      </w:r>
    </w:p>
    <w:p>
      <w:pPr>
        <w:pStyle w:val="BodyText"/>
        <w:spacing w:before="202"/>
        <w:ind w:left="1040" w:firstLine="0"/>
      </w:pPr>
      <w:r>
        <w:rPr>
          <w:spacing w:val="-1"/>
        </w:rPr>
        <w:t>复核风电场无功赔偿方案及主变的调压方式，具体内容是：</w:t>
      </w:r>
    </w:p>
    <w:p>
      <w:pPr>
        <w:pStyle w:val="ListParagraph"/>
        <w:numPr>
          <w:ilvl w:val="0"/>
          <w:numId w:val="60"/>
        </w:numPr>
        <w:tabs>
          <w:tab w:val="left" w:pos="1757"/>
        </w:tabs>
        <w:spacing w:before="203" w:after="0" w:line="355" w:lineRule="auto"/>
        <w:ind w:left="480" w:right="978" w:firstLine="560"/>
        <w:jc w:val="both"/>
        <w:rPr>
          <w:sz w:val="28"/>
        </w:rPr>
      </w:pPr>
      <w:r>
        <w:rPr>
          <w:spacing w:val="-2"/>
          <w:sz w:val="28"/>
        </w:rPr>
        <w:t>风电场大风方式潮流计算，其正常方式和系统多个（N－ 1）方式下，风电场升压站母线的电压波动，与否包罗在主变压器主</w:t>
      </w:r>
      <w:r>
        <w:rPr>
          <w:spacing w:val="-2"/>
          <w:sz w:val="28"/>
        </w:rPr>
        <w:t>抽头各档调压范畴内</w:t>
      </w:r>
      <w:r>
        <w:rPr>
          <w:spacing w:val="9"/>
          <w:sz w:val="28"/>
        </w:rPr>
        <w:t>（</w:t>
      </w:r>
      <w:r>
        <w:rPr>
          <w:spacing w:val="8"/>
          <w:sz w:val="28"/>
        </w:rPr>
        <w:t>U</w:t>
      </w:r>
      <w:r>
        <w:rPr>
          <w:spacing w:val="9"/>
          <w:sz w:val="28"/>
        </w:rPr>
        <w:t>o±8×</w:t>
      </w:r>
      <w:r>
        <w:rPr>
          <w:spacing w:val="8"/>
          <w:sz w:val="28"/>
        </w:rPr>
        <w:t>1</w:t>
      </w:r>
      <w:r>
        <w:rPr>
          <w:spacing w:val="9"/>
          <w:sz w:val="28"/>
        </w:rPr>
        <w:t>.2</w:t>
      </w:r>
      <w:r>
        <w:rPr>
          <w:spacing w:val="8"/>
          <w:sz w:val="28"/>
        </w:rPr>
        <w:t>5</w:t>
      </w:r>
      <w:r>
        <w:rPr>
          <w:spacing w:val="9"/>
          <w:sz w:val="28"/>
        </w:rPr>
        <w:t>%</w:t>
      </w:r>
      <w:r>
        <w:rPr>
          <w:spacing w:val="-131"/>
          <w:sz w:val="28"/>
        </w:rPr>
        <w:t>）</w:t>
      </w:r>
      <w:r>
        <w:rPr>
          <w:spacing w:val="-2"/>
          <w:sz w:val="28"/>
        </w:rPr>
        <w:t>，并满足潮流计算规定。</w:t>
      </w:r>
    </w:p>
    <w:p>
      <w:pPr>
        <w:pStyle w:val="ListParagraph"/>
        <w:numPr>
          <w:ilvl w:val="0"/>
          <w:numId w:val="60"/>
        </w:numPr>
        <w:tabs>
          <w:tab w:val="left" w:pos="1749"/>
        </w:tabs>
        <w:spacing w:before="0" w:after="0" w:line="355" w:lineRule="auto"/>
        <w:ind w:left="1040" w:right="2976" w:firstLine="0"/>
        <w:jc w:val="left"/>
        <w:rPr>
          <w:sz w:val="28"/>
        </w:rPr>
      </w:pPr>
      <w:r>
        <w:rPr>
          <w:spacing w:val="-2"/>
          <w:sz w:val="28"/>
        </w:rPr>
        <w:t>风电场无功赔偿容量及分组容量的计算。</w:t>
      </w:r>
      <w:r>
        <w:rPr>
          <w:spacing w:val="-2"/>
          <w:sz w:val="28"/>
        </w:rPr>
        <w:t>无功控制系统的具体规定及类型选择。</w:t>
      </w:r>
    </w:p>
    <w:p>
      <w:pPr>
        <w:pStyle w:val="Heading1"/>
        <w:numPr>
          <w:ilvl w:val="1"/>
          <w:numId w:val="66"/>
        </w:numPr>
        <w:tabs>
          <w:tab w:val="left" w:pos="1698"/>
          <w:tab w:val="left" w:pos="1699"/>
        </w:tabs>
        <w:spacing w:before="0" w:after="0" w:line="240" w:lineRule="auto"/>
        <w:ind w:left="1698" w:right="0" w:hanging="659"/>
        <w:jc w:val="left"/>
      </w:pPr>
      <w:r>
        <w:t>风电场电气设计（技施阶段）</w:t>
      </w:r>
      <w:r>
        <w:rPr>
          <w:spacing w:val="-1"/>
        </w:rPr>
        <w:t>输入接口的根据和边界条件</w:t>
      </w:r>
    </w:p>
    <w:p>
      <w:pPr>
        <w:pStyle w:val="BodyText"/>
        <w:spacing w:before="202" w:line="355" w:lineRule="auto"/>
        <w:ind w:right="978"/>
      </w:pPr>
      <w:r>
        <w:rPr>
          <w:spacing w:val="-2"/>
        </w:rPr>
        <w:t>技施阶段电气设计是全方面贯彻接入系统设计各条结论意见的</w:t>
      </w:r>
      <w:r>
        <w:rPr>
          <w:spacing w:val="-2"/>
        </w:rPr>
        <w:t>过程，应做到：</w:t>
      </w:r>
    </w:p>
    <w:p>
      <w:pPr>
        <w:pStyle w:val="ListParagraph"/>
        <w:numPr>
          <w:ilvl w:val="0"/>
          <w:numId w:val="59"/>
        </w:numPr>
        <w:tabs>
          <w:tab w:val="left" w:pos="1751"/>
        </w:tabs>
        <w:spacing w:before="0" w:after="0" w:line="240" w:lineRule="auto"/>
        <w:ind w:left="1750" w:right="0" w:hanging="711"/>
        <w:jc w:val="left"/>
        <w:rPr>
          <w:sz w:val="28"/>
        </w:rPr>
      </w:pPr>
      <w:r>
        <w:rPr>
          <w:sz w:val="28"/>
        </w:rPr>
        <w:t>技施设计总阐明应明确升压站🎧</w:t>
      </w:r>
      <w:r>
        <w:rPr>
          <w:spacing w:val="-1"/>
          <w:sz w:val="28"/>
        </w:rPr>
        <w:t>线的电压等级、回路数、</w:t>
      </w:r>
    </w:p>
    <w:p>
      <w:pPr>
        <w:pStyle w:val="BodyText"/>
        <w:spacing w:before="202"/>
        <w:ind w:firstLine="0"/>
      </w:pPr>
      <w:r>
        <w:t>🎧</w:t>
      </w:r>
      <w:r>
        <w:rPr>
          <w:spacing w:val="-1"/>
        </w:rPr>
        <w:t>线方向、每回路输送容量、导线截面等；</w:t>
      </w:r>
    </w:p>
    <w:p>
      <w:pPr>
        <w:pStyle w:val="ListParagraph"/>
        <w:numPr>
          <w:ilvl w:val="0"/>
          <w:numId w:val="59"/>
        </w:numPr>
        <w:tabs>
          <w:tab w:val="left" w:pos="1749"/>
        </w:tabs>
        <w:spacing w:before="202" w:after="0" w:line="240" w:lineRule="auto"/>
        <w:ind w:left="1748" w:right="0" w:hanging="709"/>
        <w:jc w:val="left"/>
        <w:rPr>
          <w:sz w:val="28"/>
        </w:rPr>
      </w:pPr>
      <w:r>
        <w:rPr>
          <w:spacing w:val="-1"/>
          <w:sz w:val="28"/>
        </w:rPr>
        <w:t>电气主接线图中应明确本期工程和最后规模的界限；</w:t>
      </w:r>
    </w:p>
    <w:p>
      <w:pPr>
        <w:pStyle w:val="ListParagraph"/>
        <w:numPr>
          <w:ilvl w:val="0"/>
          <w:numId w:val="59"/>
        </w:numPr>
        <w:tabs>
          <w:tab w:val="left" w:pos="1751"/>
        </w:tabs>
        <w:spacing w:before="203" w:after="0" w:line="355" w:lineRule="auto"/>
        <w:ind w:left="480" w:right="978" w:firstLine="560"/>
        <w:jc w:val="left"/>
        <w:rPr>
          <w:sz w:val="28"/>
        </w:rPr>
      </w:pPr>
      <w:r>
        <w:rPr>
          <w:spacing w:val="-2"/>
          <w:sz w:val="28"/>
        </w:rPr>
        <w:t>电气技施图各卷册的阐明应符合初步设计审批文献或有关</w:t>
      </w:r>
      <w:r>
        <w:rPr>
          <w:spacing w:val="-2"/>
          <w:sz w:val="28"/>
        </w:rPr>
        <w:t>接入系统的规定和有关原则规范。</w:t>
      </w:r>
    </w:p>
    <w:p>
      <w:pPr>
        <w:pStyle w:val="Heading1"/>
        <w:numPr>
          <w:ilvl w:val="1"/>
          <w:numId w:val="66"/>
        </w:numPr>
        <w:tabs>
          <w:tab w:val="left" w:pos="1559"/>
        </w:tabs>
        <w:spacing w:before="0" w:after="0" w:line="240" w:lineRule="auto"/>
        <w:ind w:left="1558" w:right="0" w:hanging="519"/>
        <w:jc w:val="left"/>
      </w:pPr>
      <w:r>
        <w:rPr>
          <w:spacing w:val="-1"/>
        </w:rPr>
        <w:t>接入系统设计对电气主接线提供的资料和规定</w:t>
      </w:r>
    </w:p>
    <w:p>
      <w:pPr>
        <w:pStyle w:val="ListParagraph"/>
        <w:numPr>
          <w:ilvl w:val="0"/>
          <w:numId w:val="58"/>
        </w:numPr>
        <w:tabs>
          <w:tab w:val="left" w:pos="1751"/>
        </w:tabs>
        <w:spacing w:before="202" w:after="0" w:line="355" w:lineRule="auto"/>
        <w:ind w:left="480" w:right="978" w:firstLine="560"/>
        <w:jc w:val="left"/>
        <w:rPr>
          <w:sz w:val="28"/>
        </w:rPr>
      </w:pPr>
      <w:r>
        <w:rPr>
          <w:spacing w:val="-2"/>
          <w:sz w:val="28"/>
        </w:rPr>
        <w:t>接入系统设计应提供升压站🎧线的电压等级、回路数、🎧线方向、每回路输送容量和导线截面,并明确升压站接入系统的关口</w:t>
      </w:r>
    </w:p>
    <w:p>
      <w:pPr>
        <w:spacing w:after="0" w:line="355" w:lineRule="auto"/>
        <w:jc w:val="left"/>
        <w:rPr>
          <w:sz w:val="28"/>
        </w:rPr>
        <w:sectPr>
          <w:pgSz w:w="11910" w:h="16840"/>
          <w:pgMar w:top="1480" w:right="820" w:bottom="280" w:left="1320" w:header="708" w:footer="708"/>
          <w:pgNumType w:start="9"/>
          <w:cols w:space="708"/>
        </w:sectPr>
      </w:pPr>
    </w:p>
    <w:p>
      <w:pPr>
        <w:pStyle w:val="BodyText"/>
        <w:spacing w:before="10"/>
        <w:ind w:firstLine="0"/>
      </w:pPr>
      <w:r>
        <w:rPr>
          <w:spacing w:val="-2"/>
        </w:rPr>
        <w:t>计量点位置;</w:t>
      </w:r>
    </w:p>
    <w:p>
      <w:pPr>
        <w:pStyle w:val="ListParagraph"/>
        <w:numPr>
          <w:ilvl w:val="0"/>
          <w:numId w:val="67"/>
        </w:numPr>
        <w:tabs>
          <w:tab w:val="left" w:pos="1751"/>
        </w:tabs>
        <w:spacing w:before="202" w:after="0" w:line="355" w:lineRule="auto"/>
        <w:ind w:left="480" w:right="916" w:firstLine="560"/>
        <w:jc w:val="both"/>
        <w:rPr>
          <w:sz w:val="28"/>
        </w:rPr>
      </w:pPr>
      <w:r>
        <w:rPr>
          <w:spacing w:val="-2"/>
          <w:sz w:val="28"/>
        </w:rPr>
        <w:t>接入系统设计应确认升压站升高电压侧电气主接线的形式,主变压器的台数、容量和型式,变压器各侧的额定电压、阻抗、调压</w:t>
      </w:r>
      <w:r>
        <w:rPr>
          <w:spacing w:val="-7"/>
          <w:sz w:val="28"/>
        </w:rPr>
        <w:t>范畴及多个运行方式下通过变压器的功率潮流，各级电压母线的电压</w:t>
      </w:r>
      <w:r>
        <w:rPr>
          <w:spacing w:val="-2"/>
          <w:sz w:val="28"/>
        </w:rPr>
        <w:t>波动值和谐波含量值；</w:t>
      </w:r>
    </w:p>
    <w:p>
      <w:pPr>
        <w:pStyle w:val="ListParagraph"/>
        <w:numPr>
          <w:ilvl w:val="0"/>
          <w:numId w:val="67"/>
        </w:numPr>
        <w:tabs>
          <w:tab w:val="left" w:pos="1749"/>
        </w:tabs>
        <w:spacing w:before="0" w:after="0" w:line="240" w:lineRule="auto"/>
        <w:ind w:left="1748" w:right="0" w:hanging="709"/>
        <w:jc w:val="left"/>
        <w:rPr>
          <w:sz w:val="28"/>
        </w:rPr>
      </w:pPr>
      <w:r>
        <w:rPr>
          <w:spacing w:val="-1"/>
          <w:sz w:val="28"/>
        </w:rPr>
        <w:t>系统对风电场有功功率的规定：</w:t>
      </w:r>
    </w:p>
    <w:p>
      <w:pPr>
        <w:pStyle w:val="BodyText"/>
        <w:spacing w:before="203" w:line="355" w:lineRule="auto"/>
        <w:ind w:right="978"/>
      </w:pPr>
      <w:r>
        <w:t>① 电网故障或特殊运行方式下规定减少风电场有功功率，直至</w:t>
      </w:r>
      <w:r>
        <w:rPr>
          <w:spacing w:val="-2"/>
        </w:rPr>
        <w:t>将风电场解列，确保电力系统安全；</w:t>
      </w:r>
    </w:p>
    <w:p>
      <w:pPr>
        <w:pStyle w:val="BodyText"/>
        <w:spacing w:line="355" w:lineRule="auto"/>
        <w:ind w:right="978"/>
      </w:pPr>
      <w:r>
        <w:t>② 当电网频率过高时，如果常规调频电厂容量局限性，可减少</w:t>
      </w:r>
      <w:r>
        <w:rPr>
          <w:spacing w:val="-2"/>
        </w:rPr>
        <w:t>风电厂有功功率，直至将风电场解列；</w:t>
      </w:r>
    </w:p>
    <w:p>
      <w:pPr>
        <w:pStyle w:val="BodyText"/>
        <w:ind w:left="1040" w:firstLine="0"/>
      </w:pPr>
      <w:r>
        <w:rPr>
          <w:spacing w:val="7"/>
        </w:rPr>
        <w:t>③ 风电场的瞬时</w:t>
      </w:r>
      <w:r>
        <w:t>🎧力不得高于额定🎧</w:t>
      </w:r>
      <w:r>
        <w:rPr>
          <w:spacing w:val="-5"/>
        </w:rPr>
        <w:t>力；</w:t>
      </w:r>
    </w:p>
    <w:p>
      <w:pPr>
        <w:pStyle w:val="BodyText"/>
        <w:spacing w:before="202"/>
        <w:ind w:left="1040" w:firstLine="0"/>
      </w:pPr>
      <w:r>
        <w:rPr>
          <w:spacing w:val="-1"/>
        </w:rPr>
        <w:t>➃ 风电场最大功率变化率满足下表之规定；</w:t>
      </w:r>
    </w:p>
    <w:p>
      <w:pPr>
        <w:pStyle w:val="BodyText"/>
        <w:spacing w:before="13"/>
        <w:ind w:left="0" w:firstLine="0"/>
        <w:rPr>
          <w:sz w:val="8"/>
        </w:rPr>
      </w:pPr>
    </w:p>
    <w:tbl>
      <w:tblPr>
        <w:tblStyle w:val="TableNormal0"/>
        <w:tblW w:w="0" w:type="auto"/>
        <w:jc w:val="left"/>
        <w:tblInd w:w="387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840"/>
        <w:gridCol w:w="2841"/>
        <w:gridCol w:w="2841"/>
      </w:tblGrid>
      <w:tr>
        <w:tblPrEx>
          <w:tblW w:w="0" w:type="auto"/>
          <w:jc w:val="left"/>
          <w:tblInd w:w="387" w:type="dxa"/>
          <w:tblBorders>
            <w:top w:val="single" w:sz="12" w:space="0" w:color="000000"/>
            <w:left w:val="single" w:sz="12" w:space="0" w:color="000000"/>
            <w:bottom w:val="single" w:sz="12" w:space="0" w:color="000000"/>
            <w:right w:val="single" w:sz="12" w:space="0" w:color="000000"/>
            <w:insideH w:val="single" w:sz="12" w:space="0" w:color="000000"/>
            <w:insideV w:val="single" w:sz="12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4"/>
          <w:jc w:val="left"/>
        </w:trPr>
        <w:tc>
          <w:tcPr>
            <w:tcW w:w="2840" w:type="dxa"/>
            <w:tcBorders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before="103"/>
              <w:ind w:left="116" w:right="87"/>
              <w:jc w:val="center"/>
              <w:rPr>
                <w:sz w:val="24"/>
              </w:rPr>
            </w:pPr>
            <w:r>
              <w:rPr>
                <w:sz w:val="24"/>
              </w:rPr>
              <w:t>风电厂装机容量</w:t>
            </w:r>
            <w:r>
              <w:rPr>
                <w:spacing w:val="-4"/>
                <w:sz w:val="24"/>
              </w:rPr>
              <w:t>（MW）</w:t>
            </w:r>
          </w:p>
        </w:tc>
        <w:tc>
          <w:tcPr>
            <w:tcW w:w="2841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before="103"/>
              <w:ind w:left="126" w:right="96"/>
              <w:jc w:val="center"/>
              <w:rPr>
                <w:sz w:val="24"/>
              </w:rPr>
            </w:pPr>
            <w:r>
              <w:rPr>
                <w:sz w:val="24"/>
              </w:rPr>
              <w:t>10min</w:t>
            </w:r>
            <w:r>
              <w:rPr>
                <w:spacing w:val="5"/>
                <w:sz w:val="24"/>
              </w:rPr>
              <w:t xml:space="preserve"> 最大变化量 </w:t>
            </w:r>
            <w:r>
              <w:rPr>
                <w:spacing w:val="-4"/>
                <w:sz w:val="24"/>
              </w:rPr>
              <w:t>(MW)</w:t>
            </w:r>
          </w:p>
        </w:tc>
        <w:tc>
          <w:tcPr>
            <w:tcW w:w="2841" w:type="dxa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spacing w:before="103"/>
              <w:ind w:left="243" w:right="213"/>
              <w:jc w:val="center"/>
              <w:rPr>
                <w:sz w:val="24"/>
              </w:rPr>
            </w:pPr>
            <w:r>
              <w:rPr>
                <w:sz w:val="24"/>
              </w:rPr>
              <w:t>1min</w:t>
            </w:r>
            <w:r>
              <w:rPr>
                <w:spacing w:val="-2"/>
                <w:sz w:val="24"/>
              </w:rPr>
              <w:t xml:space="preserve"> 最大变化量</w:t>
            </w:r>
            <w:r>
              <w:rPr>
                <w:spacing w:val="-4"/>
                <w:sz w:val="24"/>
              </w:rPr>
              <w:t>(MW)</w:t>
            </w:r>
          </w:p>
        </w:tc>
      </w:tr>
      <w:tr>
        <w:tblPrEx>
          <w:tblW w:w="0" w:type="auto"/>
          <w:jc w:val="left"/>
          <w:tblInd w:w="38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4"/>
          <w:jc w:val="left"/>
        </w:trPr>
        <w:tc>
          <w:tcPr>
            <w:tcW w:w="2840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before="103"/>
              <w:ind w:left="116" w:right="86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＜30</w:t>
            </w:r>
          </w:p>
        </w:tc>
        <w:tc>
          <w:tcPr>
            <w:tcW w:w="28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before="103"/>
              <w:ind w:left="126" w:right="96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10</w:t>
            </w:r>
          </w:p>
        </w:tc>
        <w:tc>
          <w:tcPr>
            <w:tcW w:w="28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spacing w:before="103"/>
              <w:ind w:left="30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</w:tr>
      <w:tr>
        <w:tblPrEx>
          <w:tblW w:w="0" w:type="auto"/>
          <w:jc w:val="left"/>
          <w:tblInd w:w="38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4"/>
          <w:jc w:val="left"/>
        </w:trPr>
        <w:tc>
          <w:tcPr>
            <w:tcW w:w="2840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before="103"/>
              <w:ind w:left="116" w:right="8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30－150</w:t>
            </w:r>
          </w:p>
        </w:tc>
        <w:tc>
          <w:tcPr>
            <w:tcW w:w="28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before="103"/>
              <w:ind w:left="126" w:right="96"/>
              <w:jc w:val="center"/>
              <w:rPr>
                <w:sz w:val="24"/>
              </w:rPr>
            </w:pPr>
            <w:r>
              <w:rPr>
                <w:sz w:val="24"/>
              </w:rPr>
              <w:t>装机容量</w:t>
            </w:r>
            <w:r>
              <w:rPr>
                <w:spacing w:val="-5"/>
                <w:sz w:val="24"/>
              </w:rPr>
              <w:t>/3</w:t>
            </w:r>
          </w:p>
        </w:tc>
        <w:tc>
          <w:tcPr>
            <w:tcW w:w="28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spacing w:before="103"/>
              <w:ind w:left="243" w:right="213"/>
              <w:jc w:val="center"/>
              <w:rPr>
                <w:sz w:val="24"/>
              </w:rPr>
            </w:pPr>
            <w:r>
              <w:rPr>
                <w:sz w:val="24"/>
              </w:rPr>
              <w:t>装机容量</w:t>
            </w:r>
            <w:r>
              <w:rPr>
                <w:spacing w:val="-5"/>
                <w:sz w:val="24"/>
              </w:rPr>
              <w:t>/10</w:t>
            </w:r>
          </w:p>
        </w:tc>
      </w:tr>
      <w:tr>
        <w:tblPrEx>
          <w:tblW w:w="0" w:type="auto"/>
          <w:jc w:val="left"/>
          <w:tblInd w:w="38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3"/>
          <w:jc w:val="left"/>
        </w:trPr>
        <w:tc>
          <w:tcPr>
            <w:tcW w:w="2840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before="103"/>
              <w:ind w:left="116" w:right="86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＞150</w:t>
            </w:r>
          </w:p>
        </w:tc>
        <w:tc>
          <w:tcPr>
            <w:tcW w:w="28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before="103"/>
              <w:ind w:left="126" w:right="96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50</w:t>
            </w:r>
          </w:p>
        </w:tc>
        <w:tc>
          <w:tcPr>
            <w:tcW w:w="28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spacing w:before="103"/>
              <w:ind w:left="243" w:right="21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15</w:t>
            </w:r>
          </w:p>
        </w:tc>
      </w:tr>
      <w:tr>
        <w:tblPrEx>
          <w:tblW w:w="0" w:type="auto"/>
          <w:jc w:val="left"/>
          <w:tblInd w:w="38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248"/>
          <w:jc w:val="left"/>
        </w:trPr>
        <w:tc>
          <w:tcPr>
            <w:tcW w:w="8522" w:type="dxa"/>
            <w:gridSpan w:val="3"/>
            <w:tcBorders>
              <w:top w:val="single" w:sz="8" w:space="0" w:color="000000"/>
            </w:tcBorders>
          </w:tcPr>
          <w:p>
            <w:pPr>
              <w:pStyle w:val="TableParagraph"/>
              <w:spacing w:before="103"/>
              <w:ind w:left="108"/>
              <w:rPr>
                <w:sz w:val="24"/>
              </w:rPr>
            </w:pPr>
            <w:r>
              <w:rPr>
                <w:spacing w:val="-4"/>
                <w:sz w:val="24"/>
              </w:rPr>
              <w:t>注：该规定合用于风电场的正常停机。因风速减少（或者超🎧最大风速）</w:t>
            </w:r>
            <w:r>
              <w:rPr>
                <w:spacing w:val="-7"/>
                <w:sz w:val="24"/>
              </w:rPr>
              <w:t>而发生</w:t>
            </w:r>
          </w:p>
          <w:p>
            <w:pPr>
              <w:pStyle w:val="TableParagraph"/>
              <w:spacing w:before="6"/>
              <w:rPr>
                <w:sz w:val="17"/>
              </w:rPr>
            </w:pPr>
          </w:p>
          <w:p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的停机能够超🎧</w:t>
            </w:r>
            <w:r>
              <w:rPr>
                <w:spacing w:val="-2"/>
                <w:sz w:val="24"/>
              </w:rPr>
              <w:t>最大变化率。</w:t>
            </w:r>
          </w:p>
        </w:tc>
      </w:tr>
    </w:tbl>
    <w:p>
      <w:pPr>
        <w:pStyle w:val="BodyText"/>
        <w:spacing w:before="69" w:line="355" w:lineRule="auto"/>
        <w:ind w:right="978"/>
      </w:pPr>
      <w:r>
        <w:rPr>
          <w:spacing w:val="8"/>
        </w:rPr>
        <w:t>⑤ 风电场含有</w:t>
      </w:r>
      <w:r>
        <w:t>🎧力预测能力和必要的技术手段，并按照电力调</w:t>
      </w:r>
      <w:r>
        <w:rPr>
          <w:spacing w:val="-2"/>
        </w:rPr>
        <w:t>度部门规定提供🎧力预测；</w:t>
      </w:r>
    </w:p>
    <w:p>
      <w:pPr>
        <w:pStyle w:val="BodyText"/>
        <w:spacing w:line="355" w:lineRule="auto"/>
        <w:ind w:right="978"/>
      </w:pPr>
      <w:r>
        <w:t>⑥ 风电场含有有功功率控制能力，以适应运行中电力调度部门</w:t>
      </w:r>
      <w:r>
        <w:rPr>
          <w:spacing w:val="-2"/>
        </w:rPr>
        <w:t>对风电场输🎧功率以及功率变化率的规定。</w:t>
      </w:r>
    </w:p>
    <w:p>
      <w:pPr>
        <w:spacing w:after="0" w:line="355" w:lineRule="auto"/>
        <w:sectPr>
          <w:pgSz w:w="11910" w:h="16840"/>
          <w:pgMar w:top="1480" w:right="820" w:bottom="280" w:left="1320" w:header="708" w:footer="708"/>
          <w:pgNumType w:start="10"/>
          <w:cols w:space="708"/>
        </w:sectPr>
      </w:pPr>
    </w:p>
    <w:p>
      <w:pPr>
        <w:pStyle w:val="ListParagraph"/>
        <w:numPr>
          <w:ilvl w:val="0"/>
          <w:numId w:val="58"/>
        </w:numPr>
        <w:tabs>
          <w:tab w:val="left" w:pos="1751"/>
        </w:tabs>
        <w:spacing w:before="10" w:after="0" w:line="355" w:lineRule="auto"/>
        <w:ind w:left="480" w:right="978" w:firstLine="560"/>
        <w:jc w:val="left"/>
        <w:rPr>
          <w:sz w:val="28"/>
        </w:rPr>
      </w:pPr>
      <w:r>
        <w:rPr>
          <w:spacing w:val="-2"/>
          <w:sz w:val="28"/>
        </w:rPr>
        <w:t>系统对无功赔偿装置的形式、数量、容量和运行方式的规</w:t>
      </w:r>
      <w:r>
        <w:rPr>
          <w:spacing w:val="-6"/>
          <w:sz w:val="28"/>
        </w:rPr>
        <w:t>定：</w:t>
      </w:r>
    </w:p>
    <w:p>
      <w:pPr>
        <w:pStyle w:val="BodyText"/>
        <w:spacing w:line="355" w:lineRule="auto"/>
        <w:ind w:right="978"/>
      </w:pPr>
      <w:r>
        <w:t>① 风电场应配备无功电压控制系统，根据电网调度部门指令控</w:t>
      </w:r>
      <w:r>
        <w:rPr>
          <w:spacing w:val="-2"/>
        </w:rPr>
        <w:t>制并网点电压；</w:t>
      </w:r>
    </w:p>
    <w:p>
      <w:pPr>
        <w:pStyle w:val="BodyText"/>
        <w:spacing w:line="355" w:lineRule="auto"/>
        <w:ind w:right="978"/>
      </w:pPr>
      <w:r>
        <w:rPr>
          <w:spacing w:val="6"/>
        </w:rPr>
        <w:t>② 风电场应能在其</w:t>
      </w:r>
      <w:r>
        <w:t>🎧力容量范畴内，控制风电场并网点电压在额定电压的 97%～＋107%范畴内；</w:t>
      </w:r>
    </w:p>
    <w:p>
      <w:pPr>
        <w:pStyle w:val="BodyText"/>
        <w:spacing w:line="355" w:lineRule="auto"/>
        <w:ind w:right="978"/>
      </w:pPr>
      <w:r>
        <w:t>③ 风电场升压站主变压器应采用有载调压变压器，分接头切换</w:t>
      </w:r>
      <w:r>
        <w:rPr>
          <w:spacing w:val="-2"/>
        </w:rPr>
        <w:t>可手动控制或自动控制，根据电网调度部门的指令进行调节。</w:t>
      </w:r>
    </w:p>
    <w:p>
      <w:pPr>
        <w:pStyle w:val="ListParagraph"/>
        <w:numPr>
          <w:ilvl w:val="0"/>
          <w:numId w:val="58"/>
        </w:numPr>
        <w:tabs>
          <w:tab w:val="left" w:pos="1751"/>
        </w:tabs>
        <w:spacing w:before="0" w:after="0" w:line="355" w:lineRule="auto"/>
        <w:ind w:left="480" w:right="978" w:firstLine="560"/>
        <w:jc w:val="left"/>
        <w:rPr>
          <w:sz w:val="28"/>
        </w:rPr>
      </w:pPr>
      <w:r>
        <w:rPr>
          <w:spacing w:val="-2"/>
          <w:sz w:val="28"/>
        </w:rPr>
        <w:t>短路电流计算或系统的归算电抗值。注明最大、最小运行</w:t>
      </w:r>
      <w:r>
        <w:rPr>
          <w:spacing w:val="-2"/>
          <w:sz w:val="28"/>
        </w:rPr>
        <w:t>方式的正、负、零序电抗值等；</w:t>
      </w:r>
    </w:p>
    <w:p>
      <w:pPr>
        <w:pStyle w:val="ListParagraph"/>
        <w:numPr>
          <w:ilvl w:val="0"/>
          <w:numId w:val="58"/>
        </w:numPr>
        <w:tabs>
          <w:tab w:val="left" w:pos="1751"/>
        </w:tabs>
        <w:spacing w:before="0" w:after="0" w:line="355" w:lineRule="auto"/>
        <w:ind w:left="480" w:right="978" w:firstLine="560"/>
        <w:jc w:val="both"/>
        <w:rPr>
          <w:sz w:val="28"/>
        </w:rPr>
      </w:pPr>
      <w:r>
        <w:rPr>
          <w:spacing w:val="-2"/>
          <w:sz w:val="28"/>
        </w:rPr>
        <w:t>变压器中性点的接地方式及接地点的选择（涉及集电系统侧，是选在母线段还是主变低压侧</w:t>
      </w:r>
      <w:r>
        <w:rPr>
          <w:spacing w:val="-139"/>
          <w:sz w:val="28"/>
        </w:rPr>
        <w:t>）</w:t>
      </w:r>
      <w:r>
        <w:rPr>
          <w:spacing w:val="-2"/>
          <w:sz w:val="28"/>
        </w:rPr>
        <w:t>；系统内过电压数值及限制内过</w:t>
      </w:r>
      <w:r>
        <w:rPr>
          <w:sz w:val="28"/>
        </w:rPr>
        <w:t>电压方法（指 330 及 500kV 系统</w:t>
      </w:r>
      <w:r>
        <w:rPr>
          <w:spacing w:val="-140"/>
          <w:sz w:val="28"/>
        </w:rPr>
        <w:t>）</w:t>
      </w:r>
      <w:r>
        <w:rPr>
          <w:sz w:val="28"/>
        </w:rPr>
        <w:t>；</w:t>
      </w:r>
    </w:p>
    <w:p>
      <w:pPr>
        <w:pStyle w:val="ListParagraph"/>
        <w:numPr>
          <w:ilvl w:val="0"/>
          <w:numId w:val="58"/>
        </w:numPr>
        <w:tabs>
          <w:tab w:val="left" w:pos="1751"/>
        </w:tabs>
        <w:spacing w:before="0" w:after="0" w:line="355" w:lineRule="auto"/>
        <w:ind w:left="480" w:right="978" w:firstLine="560"/>
        <w:jc w:val="left"/>
        <w:rPr>
          <w:sz w:val="28"/>
        </w:rPr>
      </w:pPr>
      <w:r>
        <w:rPr>
          <w:spacing w:val="-2"/>
          <w:sz w:val="28"/>
        </w:rPr>
        <w:t>为确保大系统的稳定性，提🎧对机组的特殊规定。如低电</w:t>
      </w:r>
      <w:r>
        <w:rPr>
          <w:spacing w:val="-2"/>
          <w:sz w:val="28"/>
        </w:rPr>
        <w:t>压穿越能力：</w:t>
      </w:r>
    </w:p>
    <w:p>
      <w:pPr>
        <w:pStyle w:val="BodyText"/>
        <w:spacing w:line="355" w:lineRule="auto"/>
        <w:ind w:right="978"/>
      </w:pPr>
      <w:r>
        <w:t>① 风电场内的风电机组含有在并网点电压跌落至 20%额定电压时能够保持并网运行 625ms 的低电压穿越能力；</w:t>
      </w:r>
    </w:p>
    <w:p>
      <w:pPr>
        <w:pStyle w:val="BodyText"/>
        <w:spacing w:line="355" w:lineRule="auto"/>
        <w:ind w:right="978"/>
      </w:pPr>
      <w:r>
        <w:t>② 风电场并网点电压在发生跌落后 2s 内能够恢复到额定电压的 90%时，风电场内的风电机组能够确保不脱网持续运行；</w:t>
      </w:r>
    </w:p>
    <w:p>
      <w:pPr>
        <w:pStyle w:val="BodyText"/>
        <w:spacing w:line="355" w:lineRule="auto"/>
        <w:ind w:right="978"/>
      </w:pPr>
      <w:r>
        <w:rPr>
          <w:spacing w:val="-1"/>
        </w:rPr>
        <w:t xml:space="preserve">③ 含有度过故障期后，有功功率能够以最少 </w:t>
      </w:r>
      <w:r>
        <w:t>10%额定功率/秒的</w:t>
      </w:r>
      <w:r>
        <w:rPr>
          <w:spacing w:val="-2"/>
        </w:rPr>
        <w:t>功率变化率恢复至故障前🎧力的能力；</w:t>
      </w:r>
    </w:p>
    <w:p>
      <w:pPr>
        <w:pStyle w:val="BodyText"/>
        <w:ind w:left="1040" w:firstLine="0"/>
      </w:pPr>
      <w:r>
        <w:rPr>
          <w:spacing w:val="-2"/>
        </w:rPr>
        <w:t xml:space="preserve">➃ 风电场运行频率，规定在低于 </w:t>
      </w:r>
      <w:r>
        <w:t>49.5Hz</w:t>
      </w:r>
      <w:r>
        <w:rPr>
          <w:spacing w:val="-7"/>
        </w:rPr>
        <w:t xml:space="preserve"> 时能够运行 </w:t>
      </w:r>
      <w:r>
        <w:t>30min</w:t>
      </w:r>
      <w:r>
        <w:rPr>
          <w:spacing w:val="-5"/>
        </w:rPr>
        <w:t>，高</w:t>
      </w:r>
    </w:p>
    <w:p>
      <w:pPr>
        <w:spacing w:after="0"/>
        <w:sectPr>
          <w:pgSz w:w="11910" w:h="16840"/>
          <w:pgMar w:top="1480" w:right="820" w:bottom="280" w:left="1320" w:header="708" w:footer="708"/>
          <w:pgNumType w:start="11"/>
          <w:cols w:space="708"/>
        </w:sectPr>
      </w:pPr>
    </w:p>
    <w:p>
      <w:pPr>
        <w:pStyle w:val="BodyText"/>
        <w:spacing w:before="10"/>
        <w:ind w:firstLine="0"/>
      </w:pPr>
      <w:r>
        <w:rPr>
          <w:spacing w:val="-4"/>
        </w:rPr>
        <w:t xml:space="preserve">于 </w:t>
      </w:r>
      <w:r>
        <w:t>50.2Hz</w:t>
      </w:r>
      <w:r>
        <w:rPr>
          <w:spacing w:val="-4"/>
        </w:rPr>
        <w:t xml:space="preserve"> 能够运行 </w:t>
      </w:r>
      <w:r>
        <w:t>2min</w:t>
      </w:r>
      <w:r>
        <w:rPr>
          <w:spacing w:val="-10"/>
        </w:rPr>
        <w:t>。</w:t>
      </w:r>
    </w:p>
    <w:p>
      <w:pPr>
        <w:pStyle w:val="Heading1"/>
        <w:numPr>
          <w:ilvl w:val="0"/>
          <w:numId w:val="66"/>
        </w:numPr>
        <w:tabs>
          <w:tab w:val="left" w:pos="915"/>
          <w:tab w:val="left" w:pos="916"/>
        </w:tabs>
        <w:spacing w:before="202" w:after="0" w:line="240" w:lineRule="auto"/>
        <w:ind w:left="915" w:right="0" w:hanging="436"/>
        <w:jc w:val="left"/>
      </w:pPr>
      <w:r>
        <w:rPr>
          <w:spacing w:val="-2"/>
        </w:rPr>
        <w:t>电气一次设计</w:t>
      </w:r>
    </w:p>
    <w:p>
      <w:pPr>
        <w:pStyle w:val="ListParagraph"/>
        <w:numPr>
          <w:ilvl w:val="1"/>
          <w:numId w:val="66"/>
        </w:numPr>
        <w:tabs>
          <w:tab w:val="left" w:pos="1559"/>
        </w:tabs>
        <w:spacing w:before="203" w:after="0" w:line="240" w:lineRule="auto"/>
        <w:ind w:left="1558" w:right="0" w:hanging="519"/>
        <w:jc w:val="left"/>
        <w:rPr>
          <w:b/>
          <w:sz w:val="28"/>
        </w:rPr>
      </w:pPr>
      <w:r>
        <w:rPr>
          <w:b/>
          <w:spacing w:val="-1"/>
          <w:sz w:val="28"/>
        </w:rPr>
        <w:t>风电场及升压站的分期和最后建设规模</w:t>
      </w:r>
    </w:p>
    <w:p>
      <w:pPr>
        <w:pStyle w:val="BodyText"/>
        <w:spacing w:before="202" w:line="355" w:lineRule="auto"/>
        <w:ind w:right="745"/>
      </w:pPr>
      <w:r>
        <w:rPr>
          <w:spacing w:val="-8"/>
        </w:rPr>
        <w:t>根据前期设计报告的结论、上级主管部门的批复意见以及与有关</w:t>
      </w:r>
      <w:r>
        <w:rPr>
          <w:spacing w:val="-16"/>
        </w:rPr>
        <w:t>政府部门达成的合同，确认本期建设规模和最后可能达成的装机容量。</w:t>
      </w:r>
    </w:p>
    <w:p>
      <w:pPr>
        <w:pStyle w:val="BodyText"/>
        <w:spacing w:line="355" w:lineRule="auto"/>
        <w:ind w:right="978"/>
        <w:jc w:val="both"/>
      </w:pPr>
      <w:r>
        <w:rPr>
          <w:spacing w:val="-2"/>
        </w:rPr>
        <w:t xml:space="preserve">普通规划的单一风电场在 </w:t>
      </w:r>
      <w:r>
        <w:t>200MW</w:t>
      </w:r>
      <w:r>
        <w:rPr>
          <w:spacing w:val="-9"/>
        </w:rPr>
        <w:t xml:space="preserve"> 左右，考虑到省级发改委的同</w:t>
      </w:r>
      <w:r>
        <w:t>意权限，宜按 50MW 装机容量来递增，更大规模的风电场视其审批</w:t>
      </w:r>
      <w:r>
        <w:rPr>
          <w:spacing w:val="-2"/>
        </w:rPr>
        <w:t>程序及项目公司建设资金的投入方式而定。</w:t>
      </w:r>
    </w:p>
    <w:p>
      <w:pPr>
        <w:pStyle w:val="BodyText"/>
        <w:ind w:left="1040" w:firstLine="0"/>
      </w:pPr>
      <w:r>
        <w:rPr>
          <w:spacing w:val="-1"/>
        </w:rPr>
        <w:t>在技施设计阶段，具体做法上，有下列几个：</w:t>
      </w:r>
    </w:p>
    <w:p>
      <w:pPr>
        <w:pStyle w:val="ListParagraph"/>
        <w:numPr>
          <w:ilvl w:val="0"/>
          <w:numId w:val="57"/>
        </w:numPr>
        <w:tabs>
          <w:tab w:val="left" w:pos="1751"/>
        </w:tabs>
        <w:spacing w:before="202" w:after="0" w:line="355" w:lineRule="auto"/>
        <w:ind w:left="480" w:right="978" w:firstLine="560"/>
        <w:jc w:val="both"/>
        <w:rPr>
          <w:sz w:val="28"/>
        </w:rPr>
      </w:pPr>
      <w:r>
        <w:rPr>
          <w:spacing w:val="-2"/>
          <w:sz w:val="28"/>
        </w:rPr>
        <w:t>工程上分为两期，但设计上，仅将全场升压站的共用部分</w:t>
      </w:r>
      <w:r>
        <w:rPr>
          <w:spacing w:val="-4"/>
          <w:sz w:val="28"/>
        </w:rPr>
        <w:t>和本期工程搞完，非共用范畴按投资和施工分阶段，这种情形合用于</w:t>
      </w:r>
      <w:r>
        <w:rPr>
          <w:spacing w:val="-2"/>
          <w:sz w:val="28"/>
        </w:rPr>
        <w:t>不持续投资的项目;</w:t>
      </w:r>
    </w:p>
    <w:p>
      <w:pPr>
        <w:pStyle w:val="ListParagraph"/>
        <w:numPr>
          <w:ilvl w:val="0"/>
          <w:numId w:val="57"/>
        </w:numPr>
        <w:tabs>
          <w:tab w:val="left" w:pos="1751"/>
        </w:tabs>
        <w:spacing w:before="0" w:after="0" w:line="355" w:lineRule="auto"/>
        <w:ind w:left="480" w:right="885" w:firstLine="560"/>
        <w:jc w:val="both"/>
        <w:rPr>
          <w:sz w:val="28"/>
        </w:rPr>
      </w:pPr>
      <w:r>
        <w:rPr>
          <w:spacing w:val="-2"/>
          <w:sz w:val="28"/>
        </w:rPr>
        <w:t>工程上分为两期，但土建上，一次施工全部搞完（涉及升压站及风电场的接地网及设备基础</w:t>
      </w:r>
      <w:r>
        <w:rPr>
          <w:spacing w:val="-139"/>
          <w:sz w:val="28"/>
        </w:rPr>
        <w:t>）</w:t>
      </w:r>
      <w:r>
        <w:rPr>
          <w:spacing w:val="-2"/>
          <w:sz w:val="28"/>
        </w:rPr>
        <w:t>，甚至连重要电气设备也同时订</w:t>
      </w:r>
      <w:r>
        <w:rPr>
          <w:sz w:val="28"/>
        </w:rPr>
        <w:t>货，如主变压器、GIS 气体绝缘金属封闭开关设备等，这种情形合用</w:t>
      </w:r>
      <w:r>
        <w:rPr>
          <w:spacing w:val="-2"/>
          <w:sz w:val="28"/>
        </w:rPr>
        <w:t>于持续投资的项目。事实上这是工程进程在受多个边界因素制约，如</w:t>
      </w:r>
      <w:r>
        <w:rPr>
          <w:spacing w:val="-2"/>
          <w:sz w:val="28"/>
        </w:rPr>
        <w:t>地方电网的接受能力、各级发改委的规划统筹及地方行政的支持等；</w:t>
      </w:r>
    </w:p>
    <w:p>
      <w:pPr>
        <w:pStyle w:val="ListParagraph"/>
        <w:numPr>
          <w:ilvl w:val="0"/>
          <w:numId w:val="57"/>
        </w:numPr>
        <w:tabs>
          <w:tab w:val="left" w:pos="1749"/>
        </w:tabs>
        <w:spacing w:before="0" w:after="0" w:line="355" w:lineRule="auto"/>
        <w:ind w:left="480" w:right="977" w:firstLine="560"/>
        <w:jc w:val="both"/>
        <w:rPr>
          <w:sz w:val="28"/>
        </w:rPr>
      </w:pPr>
      <w:r>
        <w:rPr>
          <w:spacing w:val="-2"/>
          <w:sz w:val="28"/>
        </w:rPr>
        <w:t>工程上分为多期（三期或更多期</w:t>
      </w:r>
      <w:r>
        <w:rPr>
          <w:spacing w:val="-140"/>
          <w:sz w:val="28"/>
        </w:rPr>
        <w:t>）</w:t>
      </w:r>
      <w:r>
        <w:rPr>
          <w:spacing w:val="-8"/>
          <w:sz w:val="28"/>
        </w:rPr>
        <w:t>，此种状况从升压站场</w:t>
      </w:r>
      <w:r>
        <w:rPr>
          <w:spacing w:val="-4"/>
          <w:sz w:val="28"/>
        </w:rPr>
        <w:t>地上宜完毕平整（挖、填方）任务，近期按上述（1）或（2）的做法</w:t>
      </w:r>
      <w:r>
        <w:rPr>
          <w:spacing w:val="-2"/>
          <w:sz w:val="28"/>
        </w:rPr>
        <w:t>执行，重要视资金投入状况。</w:t>
      </w:r>
    </w:p>
    <w:p>
      <w:pPr>
        <w:pStyle w:val="Heading1"/>
        <w:numPr>
          <w:ilvl w:val="1"/>
          <w:numId w:val="66"/>
        </w:numPr>
        <w:tabs>
          <w:tab w:val="left" w:pos="1559"/>
        </w:tabs>
        <w:spacing w:before="0" w:after="0" w:line="240" w:lineRule="auto"/>
        <w:ind w:left="1558" w:right="0" w:hanging="519"/>
        <w:jc w:val="both"/>
      </w:pPr>
      <w:r>
        <w:rPr>
          <w:spacing w:val="-1"/>
        </w:rPr>
        <w:t>电气主接线的设计原则</w:t>
      </w:r>
    </w:p>
    <w:p>
      <w:pPr>
        <w:pStyle w:val="BodyText"/>
        <w:spacing w:before="202"/>
        <w:ind w:left="1040" w:firstLine="0"/>
      </w:pPr>
      <w:r>
        <w:rPr>
          <w:spacing w:val="-6"/>
        </w:rPr>
        <w:t>电力系统是一种巨大的组织严密的统一体，多个类型的发电厂和</w:t>
      </w:r>
    </w:p>
    <w:p>
      <w:pPr>
        <w:spacing w:after="0"/>
        <w:sectPr>
          <w:pgSz w:w="11910" w:h="16840"/>
          <w:pgMar w:top="1480" w:right="820" w:bottom="280" w:left="1320" w:header="708" w:footer="708"/>
          <w:pgNumType w:start="12"/>
          <w:cols w:space="708"/>
        </w:sectPr>
      </w:pPr>
    </w:p>
    <w:p>
      <w:pPr>
        <w:pStyle w:val="BodyText"/>
        <w:spacing w:before="10" w:line="355" w:lineRule="auto"/>
        <w:ind w:right="978" w:firstLine="0"/>
        <w:jc w:val="both"/>
      </w:pPr>
      <w:r>
        <w:rPr>
          <w:spacing w:val="-6"/>
        </w:rPr>
        <w:t>变电所按照他们各自在电力系统中的不同地位和作用，分工完毕整个</w:t>
      </w:r>
      <w:r>
        <w:rPr>
          <w:spacing w:val="-4"/>
        </w:rPr>
        <w:t>系统的发电、变电和输配电的任务。设计风电场的主接线时，应当考</w:t>
      </w:r>
      <w:r>
        <w:rPr>
          <w:spacing w:val="-4"/>
        </w:rPr>
        <w:t>虑到它是电力系统总体的一部分，对主接线的可靠性、灵活性和经济</w:t>
      </w:r>
      <w:r>
        <w:rPr>
          <w:spacing w:val="-2"/>
        </w:rPr>
        <w:t>性三项基本规定阐明以下：</w:t>
      </w:r>
    </w:p>
    <w:p>
      <w:pPr>
        <w:pStyle w:val="ListParagraph"/>
        <w:numPr>
          <w:ilvl w:val="2"/>
          <w:numId w:val="68"/>
        </w:numPr>
        <w:tabs>
          <w:tab w:val="left" w:pos="1676"/>
        </w:tabs>
        <w:spacing w:before="0" w:after="0" w:line="240" w:lineRule="auto"/>
        <w:ind w:left="1675" w:right="0" w:hanging="636"/>
        <w:jc w:val="left"/>
        <w:rPr>
          <w:sz w:val="28"/>
        </w:rPr>
      </w:pPr>
      <w:r>
        <w:rPr>
          <w:spacing w:val="-4"/>
          <w:sz w:val="28"/>
        </w:rPr>
        <w:t>可靠性</w:t>
      </w:r>
    </w:p>
    <w:p>
      <w:pPr>
        <w:pStyle w:val="BodyText"/>
        <w:spacing w:before="202" w:line="355" w:lineRule="auto"/>
        <w:ind w:right="838"/>
      </w:pPr>
      <w:r>
        <w:rPr>
          <w:spacing w:val="-6"/>
        </w:rPr>
        <w:t>首先根据风场本身的特性以及在系统中的地位和作用，风电场电</w:t>
      </w:r>
      <w:r>
        <w:rPr>
          <w:spacing w:val="-18"/>
        </w:rPr>
        <w:t>气主接线力求简朴、灵活，便于风机频繁并网或脱网，即或发生故障，</w:t>
      </w:r>
      <w:r>
        <w:rPr>
          <w:spacing w:val="-2"/>
        </w:rPr>
        <w:t>也把它限制在风场范畴内，不致扩大到并网点以外的系统。这是确保</w:t>
      </w:r>
      <w:r>
        <w:rPr>
          <w:spacing w:val="-12"/>
        </w:rPr>
        <w:t>了系统运行的可靠性，但风电场本身电气主接线的可靠性规定是不高</w:t>
      </w:r>
      <w:r>
        <w:rPr>
          <w:spacing w:val="-6"/>
        </w:rPr>
        <w:t>的。</w:t>
      </w:r>
    </w:p>
    <w:p>
      <w:pPr>
        <w:pStyle w:val="BodyText"/>
        <w:ind w:left="1040" w:firstLine="0"/>
      </w:pPr>
      <w:r>
        <w:rPr>
          <w:spacing w:val="-1"/>
        </w:rPr>
        <w:t>衡量风电场主接线可靠性的标志是：</w:t>
      </w:r>
    </w:p>
    <w:p>
      <w:pPr>
        <w:pStyle w:val="ListParagraph"/>
        <w:numPr>
          <w:ilvl w:val="0"/>
          <w:numId w:val="56"/>
        </w:numPr>
        <w:tabs>
          <w:tab w:val="left" w:pos="1749"/>
        </w:tabs>
        <w:spacing w:before="202" w:after="0" w:line="240" w:lineRule="auto"/>
        <w:ind w:left="1748" w:right="0" w:hanging="709"/>
        <w:jc w:val="left"/>
        <w:rPr>
          <w:sz w:val="28"/>
        </w:rPr>
      </w:pPr>
      <w:r>
        <w:rPr>
          <w:spacing w:val="-1"/>
          <w:sz w:val="28"/>
        </w:rPr>
        <w:t>断路器检修时能否不影响供电</w:t>
      </w:r>
    </w:p>
    <w:p>
      <w:pPr>
        <w:pStyle w:val="BodyText"/>
        <w:spacing w:before="203" w:line="355" w:lineRule="auto"/>
        <w:ind w:right="978"/>
        <w:jc w:val="both"/>
      </w:pPr>
      <w:r>
        <w:rPr>
          <w:spacing w:val="-2"/>
        </w:rPr>
        <w:t>由于一年中冬季或春季是风场的大风月，夏季是小风期,完全有</w:t>
      </w:r>
      <w:r>
        <w:rPr>
          <w:spacing w:val="-3"/>
        </w:rPr>
        <w:t xml:space="preserve">时间进行电气设备的正常检修，现在各级配电装置中的断路器为 </w:t>
      </w:r>
      <w:r>
        <w:rPr>
          <w:spacing w:val="-2"/>
        </w:rPr>
        <w:t>SF6</w:t>
      </w:r>
      <w:r>
        <w:rPr>
          <w:spacing w:val="-4"/>
        </w:rPr>
        <w:t>或真空断路器，断路器的性能和质量有了很大进步，设备本身的可靠</w:t>
      </w:r>
      <w:r>
        <w:rPr>
          <w:spacing w:val="-7"/>
        </w:rPr>
        <w:t>性有了很大提高，其故障率是很低的，并且检修时间都是很短的，。</w:t>
      </w:r>
      <w:r>
        <w:rPr>
          <w:spacing w:val="-2"/>
        </w:rPr>
        <w:t>因此基本能做到正常检修不影响供电，除非是事故检修。</w:t>
      </w:r>
    </w:p>
    <w:p>
      <w:pPr>
        <w:pStyle w:val="ListParagraph"/>
        <w:numPr>
          <w:ilvl w:val="0"/>
          <w:numId w:val="56"/>
        </w:numPr>
        <w:tabs>
          <w:tab w:val="left" w:pos="1749"/>
        </w:tabs>
        <w:spacing w:before="0" w:after="0" w:line="240" w:lineRule="auto"/>
        <w:ind w:left="1748" w:right="0" w:hanging="709"/>
        <w:jc w:val="left"/>
        <w:rPr>
          <w:sz w:val="28"/>
        </w:rPr>
      </w:pPr>
      <w:r>
        <w:rPr>
          <w:spacing w:val="-1"/>
          <w:sz w:val="28"/>
        </w:rPr>
        <w:t>风电场全部停运的可能性</w:t>
      </w:r>
    </w:p>
    <w:p>
      <w:pPr>
        <w:pStyle w:val="BodyText"/>
        <w:spacing w:before="202"/>
        <w:ind w:left="1040" w:firstLine="0"/>
      </w:pPr>
      <w:r>
        <w:rPr>
          <w:spacing w:val="-1"/>
        </w:rPr>
        <w:t>风场全部机组停运的可能性会有的，受两方面影响：</w:t>
      </w:r>
    </w:p>
    <w:p>
      <w:pPr>
        <w:pStyle w:val="BodyText"/>
        <w:spacing w:before="202"/>
        <w:ind w:left="1040" w:firstLine="0"/>
      </w:pPr>
      <w:r>
        <w:rPr>
          <w:spacing w:val="-1"/>
        </w:rPr>
        <w:t>①受风速的限制，风速过大或小均会停机。</w:t>
      </w:r>
    </w:p>
    <w:p>
      <w:pPr>
        <w:pStyle w:val="BodyText"/>
        <w:spacing w:before="203" w:line="355" w:lineRule="auto"/>
        <w:ind w:right="838"/>
      </w:pPr>
      <w:r>
        <w:rPr>
          <w:spacing w:val="7"/>
        </w:rPr>
        <w:t>②系统安全自动化方面对风场机组如低电压穿越能力都提🎧</w:t>
      </w:r>
      <w:r>
        <w:t>明</w:t>
      </w:r>
      <w:r>
        <w:rPr>
          <w:spacing w:val="-12"/>
        </w:rPr>
        <w:t xml:space="preserve">确规定，同时明确在系统发生 </w:t>
      </w:r>
      <w:r>
        <w:rPr>
          <w:spacing w:val="-1"/>
        </w:rPr>
        <w:t>N</w:t>
      </w:r>
      <w:r>
        <w:t>－1</w:t>
      </w:r>
      <w:r>
        <w:rPr>
          <w:spacing w:val="-32"/>
        </w:rPr>
        <w:t xml:space="preserve"> 运行时</w:t>
      </w:r>
      <w:r>
        <w:t>（系统主干线路过负荷时</w:t>
      </w:r>
      <w:r>
        <w:rPr>
          <w:spacing w:val="-218"/>
        </w:rPr>
        <w:t>）</w:t>
      </w:r>
      <w:r>
        <w:rPr>
          <w:spacing w:val="-8"/>
        </w:rPr>
        <w:t>，</w:t>
      </w:r>
    </w:p>
    <w:p>
      <w:pPr>
        <w:spacing w:after="0" w:line="355" w:lineRule="auto"/>
        <w:sectPr>
          <w:pgSz w:w="11910" w:h="16840"/>
          <w:pgMar w:top="1480" w:right="820" w:bottom="280" w:left="1320" w:header="708" w:footer="708"/>
          <w:pgNumType w:start="13"/>
          <w:cols w:space="708"/>
        </w:sectPr>
      </w:pPr>
    </w:p>
    <w:p>
      <w:pPr>
        <w:pStyle w:val="BodyText"/>
        <w:spacing w:before="10" w:line="355" w:lineRule="auto"/>
        <w:ind w:right="978" w:firstLine="0"/>
        <w:jc w:val="both"/>
      </w:pPr>
      <w:r>
        <w:rPr>
          <w:spacing w:val="-5"/>
        </w:rPr>
        <w:t xml:space="preserve">需要切除部分风电场时，采用跳主变高压侧断路器；在系统发生 </w:t>
      </w:r>
      <w:r>
        <w:rPr>
          <w:spacing w:val="-4"/>
        </w:rPr>
        <w:t xml:space="preserve">N－ </w:t>
      </w:r>
      <w:r>
        <w:t>2 运行时（主网要失稳的状况</w:t>
      </w:r>
      <w:r>
        <w:rPr>
          <w:spacing w:val="-137"/>
        </w:rPr>
        <w:t>）</w:t>
      </w:r>
      <w:r>
        <w:t>，需要切除大部分风电场时，采用跳</w:t>
      </w:r>
      <w:r>
        <w:rPr>
          <w:spacing w:val="-2"/>
        </w:rPr>
        <w:t>风场送🎧线路侧断路器。</w:t>
      </w:r>
    </w:p>
    <w:p>
      <w:pPr>
        <w:pStyle w:val="ListParagraph"/>
        <w:numPr>
          <w:ilvl w:val="0"/>
          <w:numId w:val="69"/>
        </w:numPr>
        <w:tabs>
          <w:tab w:val="left" w:pos="1751"/>
        </w:tabs>
        <w:spacing w:before="0" w:after="0" w:line="355" w:lineRule="auto"/>
        <w:ind w:left="480" w:right="978" w:firstLine="560"/>
        <w:jc w:val="both"/>
        <w:rPr>
          <w:sz w:val="28"/>
        </w:rPr>
      </w:pPr>
      <w:r>
        <w:rPr>
          <w:spacing w:val="-2"/>
          <w:sz w:val="28"/>
        </w:rPr>
        <w:t>主接线中各构成元件，一次设备（母线、断路器、隔离开</w:t>
      </w:r>
      <w:r>
        <w:rPr>
          <w:spacing w:val="-4"/>
          <w:sz w:val="28"/>
        </w:rPr>
        <w:t>关等）的故障率和继电保护二次设备的故障率的综和，才是可靠性的</w:t>
      </w:r>
      <w:r>
        <w:rPr>
          <w:spacing w:val="-4"/>
          <w:sz w:val="28"/>
        </w:rPr>
        <w:t>确保。现在我国风电场合采用的电气设备（一次、二次及通信等）均</w:t>
      </w:r>
      <w:r>
        <w:rPr>
          <w:spacing w:val="-12"/>
          <w:sz w:val="28"/>
        </w:rPr>
        <w:t>靠近国际市场的水平，这种技术进步为风电场主接线的可靠性提供了</w:t>
      </w:r>
      <w:r>
        <w:rPr>
          <w:spacing w:val="-2"/>
          <w:sz w:val="28"/>
        </w:rPr>
        <w:t>较好的确保。</w:t>
      </w:r>
    </w:p>
    <w:p>
      <w:pPr>
        <w:pStyle w:val="ListParagraph"/>
        <w:numPr>
          <w:ilvl w:val="2"/>
          <w:numId w:val="66"/>
        </w:numPr>
        <w:tabs>
          <w:tab w:val="left" w:pos="1676"/>
        </w:tabs>
        <w:spacing w:before="0" w:after="0" w:line="240" w:lineRule="auto"/>
        <w:ind w:left="1675" w:right="0" w:hanging="636"/>
        <w:jc w:val="left"/>
        <w:rPr>
          <w:sz w:val="28"/>
        </w:rPr>
      </w:pPr>
      <w:r>
        <w:rPr>
          <w:spacing w:val="-4"/>
          <w:sz w:val="28"/>
        </w:rPr>
        <w:t>灵活性</w:t>
      </w:r>
    </w:p>
    <w:p>
      <w:pPr>
        <w:pStyle w:val="BodyText"/>
        <w:spacing w:before="202" w:line="355" w:lineRule="auto"/>
        <w:ind w:right="978"/>
      </w:pPr>
      <w:r>
        <w:rPr>
          <w:spacing w:val="-6"/>
        </w:rPr>
        <w:t>灵活性指风电场适应不同时期多个不同运行工况规定的能力，主</w:t>
      </w:r>
      <w:r>
        <w:rPr>
          <w:spacing w:val="-2"/>
        </w:rPr>
        <w:t>接线应满足调度灵活性、检修灵活性和扩建灵活性。</w:t>
      </w:r>
    </w:p>
    <w:p>
      <w:pPr>
        <w:pStyle w:val="ListParagraph"/>
        <w:numPr>
          <w:ilvl w:val="0"/>
          <w:numId w:val="55"/>
        </w:numPr>
        <w:tabs>
          <w:tab w:val="left" w:pos="1751"/>
        </w:tabs>
        <w:spacing w:before="0" w:after="0" w:line="355" w:lineRule="auto"/>
        <w:ind w:left="480" w:right="978" w:firstLine="560"/>
        <w:jc w:val="left"/>
        <w:rPr>
          <w:sz w:val="28"/>
        </w:rPr>
      </w:pPr>
      <w:r>
        <w:rPr>
          <w:spacing w:val="-2"/>
          <w:sz w:val="28"/>
        </w:rPr>
        <w:t>为了调度的目的，能够灵活的操作，投入或切除线路、变</w:t>
      </w:r>
      <w:r>
        <w:rPr>
          <w:spacing w:val="-2"/>
          <w:sz w:val="28"/>
        </w:rPr>
        <w:t>压器、或机组，满足系统在多个运行方式下的调度规定；</w:t>
      </w:r>
    </w:p>
    <w:p>
      <w:pPr>
        <w:pStyle w:val="ListParagraph"/>
        <w:numPr>
          <w:ilvl w:val="0"/>
          <w:numId w:val="55"/>
        </w:numPr>
        <w:tabs>
          <w:tab w:val="left" w:pos="1751"/>
        </w:tabs>
        <w:spacing w:before="0" w:after="0" w:line="355" w:lineRule="auto"/>
        <w:ind w:left="480" w:right="978" w:firstLine="560"/>
        <w:jc w:val="left"/>
        <w:rPr>
          <w:sz w:val="28"/>
        </w:rPr>
      </w:pPr>
      <w:r>
        <w:rPr>
          <w:spacing w:val="-2"/>
          <w:sz w:val="28"/>
        </w:rPr>
        <w:t>为了检修的目的，能够方便的停运断路器、母线及其继电</w:t>
      </w:r>
      <w:r>
        <w:rPr>
          <w:spacing w:val="-2"/>
          <w:sz w:val="28"/>
        </w:rPr>
        <w:t>保护设备进行安全检修；</w:t>
      </w:r>
    </w:p>
    <w:p>
      <w:pPr>
        <w:pStyle w:val="ListParagraph"/>
        <w:numPr>
          <w:ilvl w:val="0"/>
          <w:numId w:val="55"/>
        </w:numPr>
        <w:tabs>
          <w:tab w:val="left" w:pos="1751"/>
        </w:tabs>
        <w:spacing w:before="0" w:after="0" w:line="355" w:lineRule="auto"/>
        <w:ind w:left="480" w:right="745" w:firstLine="560"/>
        <w:jc w:val="left"/>
        <w:rPr>
          <w:sz w:val="28"/>
        </w:rPr>
      </w:pPr>
      <w:r>
        <w:rPr>
          <w:sz w:val="28"/>
        </w:rPr>
        <w:t>为了扩建的目的，能够容易地从早期过渡到最后接线，实</w:t>
      </w:r>
      <w:r>
        <w:rPr>
          <w:spacing w:val="-13"/>
          <w:sz w:val="28"/>
        </w:rPr>
        <w:t>现在扩建过渡时，无论在一次和二次装置等所需的改造工程量为最小。</w:t>
      </w:r>
    </w:p>
    <w:p>
      <w:pPr>
        <w:pStyle w:val="ListParagraph"/>
        <w:numPr>
          <w:ilvl w:val="2"/>
          <w:numId w:val="66"/>
        </w:numPr>
        <w:tabs>
          <w:tab w:val="left" w:pos="1676"/>
        </w:tabs>
        <w:spacing w:before="0" w:after="0" w:line="240" w:lineRule="auto"/>
        <w:ind w:left="1675" w:right="0" w:hanging="636"/>
        <w:jc w:val="left"/>
        <w:rPr>
          <w:sz w:val="28"/>
        </w:rPr>
      </w:pPr>
      <w:r>
        <w:rPr>
          <w:spacing w:val="-4"/>
          <w:sz w:val="28"/>
        </w:rPr>
        <w:t>经济性</w:t>
      </w:r>
    </w:p>
    <w:p>
      <w:pPr>
        <w:pStyle w:val="BodyText"/>
        <w:spacing w:before="202" w:line="355" w:lineRule="auto"/>
        <w:ind w:right="978"/>
      </w:pPr>
      <w:r>
        <w:rPr>
          <w:spacing w:val="-9"/>
        </w:rPr>
        <w:t>风电场的主接线在满足可靠性、灵活性规定的前提下做到经济合</w:t>
      </w:r>
      <w:r>
        <w:rPr>
          <w:spacing w:val="-6"/>
        </w:rPr>
        <w:t>理。</w:t>
      </w:r>
    </w:p>
    <w:p>
      <w:pPr>
        <w:pStyle w:val="ListParagraph"/>
        <w:numPr>
          <w:ilvl w:val="0"/>
          <w:numId w:val="54"/>
        </w:numPr>
        <w:tabs>
          <w:tab w:val="left" w:pos="1751"/>
        </w:tabs>
        <w:spacing w:before="0" w:after="0" w:line="355" w:lineRule="auto"/>
        <w:ind w:left="480" w:right="978" w:firstLine="560"/>
        <w:jc w:val="left"/>
        <w:rPr>
          <w:sz w:val="28"/>
        </w:rPr>
      </w:pPr>
      <w:r>
        <w:rPr>
          <w:spacing w:val="-2"/>
          <w:sz w:val="28"/>
        </w:rPr>
        <w:t>投资省：主接线应力求简朴，以节省断路器、隔离开关、</w:t>
      </w:r>
      <w:r>
        <w:rPr>
          <w:spacing w:val="-2"/>
          <w:sz w:val="28"/>
        </w:rPr>
        <w:t>电流和电压互感器以及有关的二次设备和控制电缆；</w:t>
      </w:r>
    </w:p>
    <w:p>
      <w:pPr>
        <w:spacing w:after="0" w:line="355" w:lineRule="auto"/>
        <w:jc w:val="left"/>
        <w:rPr>
          <w:sz w:val="28"/>
        </w:rPr>
        <w:sectPr>
          <w:pgSz w:w="11910" w:h="16840"/>
          <w:pgMar w:top="1480" w:right="820" w:bottom="280" w:left="1320" w:header="708" w:footer="708"/>
          <w:pgNumType w:start="14"/>
          <w:cols w:space="708"/>
        </w:sectPr>
      </w:pPr>
    </w:p>
    <w:p>
      <w:pPr>
        <w:pStyle w:val="ListParagraph"/>
        <w:numPr>
          <w:ilvl w:val="0"/>
          <w:numId w:val="54"/>
        </w:numPr>
        <w:tabs>
          <w:tab w:val="left" w:pos="1751"/>
        </w:tabs>
        <w:spacing w:before="10" w:after="0" w:line="355" w:lineRule="auto"/>
        <w:ind w:left="480" w:right="978" w:firstLine="560"/>
        <w:jc w:val="left"/>
        <w:rPr>
          <w:sz w:val="28"/>
        </w:rPr>
      </w:pPr>
      <w:r>
        <w:rPr>
          <w:spacing w:val="-2"/>
          <w:sz w:val="28"/>
        </w:rPr>
        <w:t>占地面积少：主接线的设计要为尽量减少配电装置布置占</w:t>
      </w:r>
      <w:r>
        <w:rPr>
          <w:spacing w:val="-2"/>
          <w:sz w:val="28"/>
        </w:rPr>
        <w:t>地面积发明条件；</w:t>
      </w:r>
    </w:p>
    <w:p>
      <w:pPr>
        <w:pStyle w:val="ListParagraph"/>
        <w:numPr>
          <w:ilvl w:val="0"/>
          <w:numId w:val="54"/>
        </w:numPr>
        <w:tabs>
          <w:tab w:val="left" w:pos="1751"/>
        </w:tabs>
        <w:spacing w:before="0" w:after="0" w:line="355" w:lineRule="auto"/>
        <w:ind w:left="480" w:right="978" w:firstLine="560"/>
        <w:jc w:val="left"/>
        <w:rPr>
          <w:sz w:val="28"/>
        </w:rPr>
      </w:pPr>
      <w:r>
        <w:rPr>
          <w:spacing w:val="-2"/>
          <w:sz w:val="28"/>
        </w:rPr>
        <w:t>电能损失少：经济合理的选择主变压器的型式（双绕组或</w:t>
      </w:r>
      <w:r>
        <w:rPr>
          <w:spacing w:val="-2"/>
          <w:sz w:val="28"/>
        </w:rPr>
        <w:t>三绕组</w:t>
      </w:r>
      <w:r>
        <w:rPr>
          <w:spacing w:val="-140"/>
          <w:sz w:val="28"/>
        </w:rPr>
        <w:t>）</w:t>
      </w:r>
      <w:r>
        <w:rPr>
          <w:spacing w:val="-2"/>
          <w:sz w:val="28"/>
        </w:rPr>
        <w:t>、容量、台数，要避免因重复变压而增加电能损失。</w:t>
      </w:r>
    </w:p>
    <w:p>
      <w:pPr>
        <w:pStyle w:val="Heading1"/>
        <w:numPr>
          <w:ilvl w:val="1"/>
          <w:numId w:val="66"/>
        </w:numPr>
        <w:tabs>
          <w:tab w:val="left" w:pos="1559"/>
        </w:tabs>
        <w:spacing w:before="0" w:after="0" w:line="240" w:lineRule="auto"/>
        <w:ind w:left="1558" w:right="0" w:hanging="519"/>
        <w:jc w:val="left"/>
      </w:pPr>
      <w:r>
        <w:rPr>
          <w:spacing w:val="-1"/>
        </w:rPr>
        <w:t>各级电压配电装置的基本接线设计</w:t>
      </w:r>
    </w:p>
    <w:p>
      <w:pPr>
        <w:pStyle w:val="ListParagraph"/>
        <w:numPr>
          <w:ilvl w:val="0"/>
          <w:numId w:val="53"/>
        </w:numPr>
        <w:tabs>
          <w:tab w:val="left" w:pos="1775"/>
        </w:tabs>
        <w:spacing w:before="202" w:after="0" w:line="240" w:lineRule="auto"/>
        <w:ind w:left="1775" w:right="0" w:hanging="735"/>
        <w:jc w:val="left"/>
        <w:rPr>
          <w:sz w:val="28"/>
        </w:rPr>
      </w:pPr>
      <w:r>
        <w:rPr>
          <w:spacing w:val="-2"/>
          <w:sz w:val="28"/>
        </w:rPr>
        <w:t>风电场集电线路侧</w:t>
      </w:r>
    </w:p>
    <w:p>
      <w:pPr>
        <w:pStyle w:val="BodyText"/>
        <w:spacing w:before="203"/>
        <w:ind w:left="1040" w:firstLine="0"/>
      </w:pPr>
      <w:r>
        <w:rPr>
          <w:spacing w:val="4"/>
        </w:rPr>
        <w:t>① 集电线路侧的接线</w:t>
      </w:r>
    </w:p>
    <w:p>
      <w:pPr>
        <w:pStyle w:val="BodyText"/>
        <w:spacing w:before="202" w:line="355" w:lineRule="auto"/>
        <w:ind w:right="977"/>
        <w:jc w:val="both"/>
      </w:pPr>
      <w:r>
        <w:rPr>
          <w:spacing w:val="-2"/>
        </w:rPr>
        <w:t>风电场集电线路侧（35kV</w:t>
      </w:r>
      <w:r>
        <w:rPr>
          <w:spacing w:val="-7"/>
        </w:rPr>
        <w:t xml:space="preserve"> 或 </w:t>
      </w:r>
      <w:r>
        <w:rPr>
          <w:spacing w:val="-2"/>
        </w:rPr>
        <w:t>10kV）接线普通是单母线分段，分</w:t>
      </w:r>
      <w:r>
        <w:rPr>
          <w:spacing w:val="-4"/>
        </w:rPr>
        <w:t>段数宜与主变压器台数一致，各段母线间设立了联系开关，这重要是</w:t>
      </w:r>
      <w:r>
        <w:rPr>
          <w:spacing w:val="-4"/>
        </w:rPr>
        <w:t>考虑主变检修时便于其母线段风机电能的送🎧，这一点在小风月也可</w:t>
      </w:r>
      <w:r>
        <w:rPr>
          <w:spacing w:val="-2"/>
        </w:rPr>
        <w:t>用来使某台主变退🎧运行，以节省一台主变的空载损耗。</w:t>
      </w:r>
    </w:p>
    <w:p>
      <w:pPr>
        <w:pStyle w:val="BodyText"/>
        <w:spacing w:line="355" w:lineRule="auto"/>
        <w:ind w:right="977"/>
        <w:jc w:val="both"/>
      </w:pPr>
      <w:r>
        <w:rPr>
          <w:spacing w:val="-2"/>
        </w:rPr>
        <w:t>单母线接线的优点是:接线简朴清晰，设备少，操作方便、便于</w:t>
      </w:r>
      <w:r>
        <w:rPr>
          <w:spacing w:val="-4"/>
        </w:rPr>
        <w:t>扩建和采用成套装置。每个母线段根据近年来的实践，特别是每段母</w:t>
      </w:r>
      <w:r>
        <w:rPr>
          <w:spacing w:val="-5"/>
        </w:rPr>
        <w:t xml:space="preserve">线连接 </w:t>
      </w:r>
      <w:r>
        <w:t>49.9MW</w:t>
      </w:r>
      <w:r>
        <w:rPr>
          <w:spacing w:val="-6"/>
        </w:rPr>
        <w:t xml:space="preserve"> 装机容量时，集电线路宜采用 </w:t>
      </w:r>
      <w:r>
        <w:t>35kV</w:t>
      </w:r>
      <w:r>
        <w:rPr>
          <w:spacing w:val="-5"/>
        </w:rPr>
        <w:t xml:space="preserve"> 电压级。集电回</w:t>
      </w:r>
      <w:r>
        <w:rPr>
          <w:spacing w:val="-2"/>
        </w:rPr>
        <w:t>路数三回左右。</w:t>
      </w:r>
    </w:p>
    <w:p>
      <w:pPr>
        <w:pStyle w:val="BodyText"/>
        <w:ind w:left="1040" w:firstLine="0"/>
      </w:pPr>
      <w:r>
        <w:rPr>
          <w:spacing w:val="-1"/>
        </w:rPr>
        <w:t>下面细述风机与箱变之间的连接：</w:t>
      </w:r>
    </w:p>
    <w:p>
      <w:pPr>
        <w:pStyle w:val="BodyText"/>
        <w:spacing w:before="202"/>
        <w:ind w:left="1040" w:firstLine="0"/>
      </w:pPr>
      <w:r>
        <w:rPr>
          <w:spacing w:val="-4"/>
        </w:rPr>
        <w:t>根据风机布局、风力发电机组的容量以及电机的🎧口电压（</w:t>
      </w:r>
      <w:r>
        <w:rPr>
          <w:spacing w:val="-7"/>
        </w:rPr>
        <w:t>机组</w:t>
      </w:r>
    </w:p>
    <w:p>
      <w:pPr>
        <w:pStyle w:val="BodyText"/>
        <w:spacing w:before="202" w:line="355" w:lineRule="auto"/>
        <w:ind w:right="977" w:firstLine="0"/>
        <w:jc w:val="both"/>
      </w:pPr>
      <w:r>
        <w:rPr>
          <w:spacing w:val="-4"/>
        </w:rPr>
        <w:t>🎧</w:t>
      </w:r>
      <w:r>
        <w:rPr>
          <w:spacing w:val="-7"/>
        </w:rPr>
        <w:t xml:space="preserve">口电压为 </w:t>
      </w:r>
      <w:r>
        <w:rPr>
          <w:spacing w:val="13"/>
        </w:rPr>
        <w:t>0.69kV</w:t>
      </w:r>
      <w:r>
        <w:rPr>
          <w:spacing w:val="-127"/>
        </w:rPr>
        <w:t>）</w:t>
      </w:r>
      <w:r>
        <w:rPr>
          <w:spacing w:val="-4"/>
        </w:rPr>
        <w:t>，普通风电场采用二次升压方式，一次升压采用</w:t>
      </w:r>
      <w:r>
        <w:rPr>
          <w:spacing w:val="-4"/>
        </w:rPr>
        <w:t>风力发电机组与箱变（美式）一机一变单元接线方式，该接线电能损</w:t>
      </w:r>
      <w:r>
        <w:rPr>
          <w:spacing w:val="-4"/>
        </w:rPr>
        <w:t>耗少、接线简朴、操作方便，且任何一台风机故障不影响其它风机运</w:t>
      </w:r>
      <w:r>
        <w:rPr>
          <w:spacing w:val="-2"/>
        </w:rPr>
        <w:t>行,含有较好的灵活性；经一次升压后，通过集电线路将各台机的电</w:t>
      </w:r>
      <w:r>
        <w:rPr>
          <w:spacing w:val="-2"/>
        </w:rPr>
        <w:t>能聚集起来，就近接入升压站，进行二次升压送入电力系统。</w:t>
      </w:r>
    </w:p>
    <w:p>
      <w:pPr>
        <w:spacing w:after="0" w:line="355" w:lineRule="auto"/>
        <w:jc w:val="both"/>
        <w:sectPr>
          <w:pgSz w:w="11910" w:h="16840"/>
          <w:pgMar w:top="1480" w:right="820" w:bottom="280" w:left="1320" w:header="708" w:footer="708"/>
          <w:pgNumType w:start="15"/>
          <w:cols w:space="708"/>
        </w:sectPr>
      </w:pPr>
    </w:p>
    <w:p>
      <w:pPr>
        <w:pStyle w:val="BodyText"/>
        <w:spacing w:before="10"/>
        <w:ind w:left="1040" w:firstLine="0"/>
        <w:jc w:val="both"/>
      </w:pPr>
      <w:r>
        <w:rPr>
          <w:spacing w:val="1"/>
        </w:rPr>
        <w:t>② 发-变单元接线的设备配备</w:t>
      </w:r>
    </w:p>
    <w:p>
      <w:pPr>
        <w:pStyle w:val="BodyText"/>
        <w:spacing w:before="202" w:line="355" w:lineRule="auto"/>
        <w:ind w:right="978"/>
        <w:jc w:val="both"/>
      </w:pPr>
      <w:r>
        <w:rPr>
          <w:spacing w:val="-7"/>
        </w:rPr>
        <w:t>发电机变压器之间设立了框架式空气断路器，其保护配备满足机</w:t>
      </w:r>
      <w:r>
        <w:rPr>
          <w:spacing w:val="-4"/>
        </w:rPr>
        <w:t>组的多个继保规定，诸如：电流速断、过电流、过负荷、低电压保护</w:t>
      </w:r>
      <w:r>
        <w:rPr>
          <w:spacing w:val="-4"/>
        </w:rPr>
        <w:t>及多个机械的超越限保护。因此说运行可靠性是有确保的。容量偏小</w:t>
      </w:r>
      <w:r>
        <w:t>的机组，如 G58,容量为 0.85 MW，发电机变压器之间设立了熔断器</w:t>
      </w:r>
      <w:r>
        <w:rPr>
          <w:spacing w:val="-4"/>
        </w:rPr>
        <w:t>式隔离开关，其刀熔开关是进口产品，实践证明也是能满足运行规定的。变压器（美式箱变）高压侧普通是配备高压真空负荷开关（额定</w:t>
      </w:r>
      <w:r>
        <w:rPr>
          <w:spacing w:val="-8"/>
        </w:rPr>
        <w:t xml:space="preserve">电流 </w:t>
      </w:r>
      <w:r>
        <w:rPr>
          <w:spacing w:val="-2"/>
        </w:rPr>
        <w:t>630A</w:t>
      </w:r>
      <w:r>
        <w:rPr>
          <w:spacing w:val="-5"/>
        </w:rPr>
        <w:t xml:space="preserve">，关合电流 </w:t>
      </w:r>
      <w:r>
        <w:rPr>
          <w:spacing w:val="20"/>
        </w:rPr>
        <w:t>50kA</w:t>
      </w:r>
      <w:r>
        <w:rPr>
          <w:spacing w:val="-117"/>
        </w:rPr>
        <w:t>）</w:t>
      </w:r>
      <w:r>
        <w:rPr>
          <w:spacing w:val="-2"/>
        </w:rPr>
        <w:t>，并附插入式全范畴保护熔断器（遮断</w:t>
      </w:r>
      <w:r>
        <w:t>容量 31.5kA）</w:t>
      </w:r>
    </w:p>
    <w:p>
      <w:pPr>
        <w:pStyle w:val="BodyText"/>
        <w:spacing w:line="421" w:lineRule="exact"/>
        <w:ind w:left="1040" w:firstLine="0"/>
        <w:jc w:val="both"/>
      </w:pPr>
      <w:r>
        <w:rPr>
          <w:spacing w:val="3"/>
        </w:rPr>
        <w:t>③ 集电线路的设计原则</w:t>
      </w:r>
    </w:p>
    <w:p>
      <w:pPr>
        <w:pStyle w:val="BodyText"/>
        <w:spacing w:before="203" w:line="355" w:lineRule="auto"/>
        <w:ind w:right="977"/>
        <w:jc w:val="both"/>
      </w:pPr>
      <w:r>
        <w:rPr>
          <w:spacing w:val="-4"/>
        </w:rPr>
        <w:t>对于集电线路的电压选择应因地制宜，风机容量小、塔位距升压</w:t>
      </w:r>
      <w:r>
        <w:rPr>
          <w:spacing w:val="-1"/>
        </w:rPr>
        <w:t xml:space="preserve">站较近、或地方用电负荷较大，可采用 </w:t>
      </w:r>
      <w:r>
        <w:t>10kV</w:t>
      </w:r>
      <w:r>
        <w:rPr>
          <w:spacing w:val="-2"/>
        </w:rPr>
        <w:t xml:space="preserve"> 或 </w:t>
      </w:r>
      <w:r>
        <w:t>6kV，但对于重要向系统供电的工程项目，采用 35 kV 居多。</w:t>
      </w:r>
    </w:p>
    <w:p>
      <w:pPr>
        <w:pStyle w:val="BodyText"/>
        <w:spacing w:line="355" w:lineRule="auto"/>
        <w:ind w:right="837"/>
      </w:pPr>
      <w:r>
        <w:rPr>
          <w:spacing w:val="-7"/>
        </w:rPr>
        <w:t>风电场集电线路普通状况下采用架空线路，当受地形地物等约束</w:t>
      </w:r>
      <w:r>
        <w:rPr>
          <w:spacing w:val="-2"/>
        </w:rPr>
        <w:t>条件限制时（如林区、鱼池、公路、其它电力线路等</w:t>
      </w:r>
      <w:r>
        <w:rPr>
          <w:spacing w:val="-139"/>
        </w:rPr>
        <w:t>）</w:t>
      </w:r>
      <w:r>
        <w:rPr>
          <w:spacing w:val="-2"/>
        </w:rPr>
        <w:t>，可采用电缆</w:t>
      </w:r>
      <w:r>
        <w:rPr>
          <w:spacing w:val="-2"/>
        </w:rPr>
        <w:t>线路，但采用电缆本身造价要高于架空线，因此要综合比较征地费用</w:t>
      </w:r>
      <w:r>
        <w:rPr>
          <w:spacing w:val="-2"/>
        </w:rPr>
        <w:t>和电缆投资。有关原则见国标《66kV</w:t>
      </w:r>
      <w:r>
        <w:rPr>
          <w:spacing w:val="-6"/>
        </w:rPr>
        <w:t xml:space="preserve"> 及下列架空电力线路设计规范》</w:t>
      </w:r>
      <w:r>
        <w:rPr>
          <w:spacing w:val="-2"/>
        </w:rPr>
        <w:t xml:space="preserve"> GB50061-和《电力工程电缆设计规范》GB50217-。</w:t>
      </w:r>
    </w:p>
    <w:p>
      <w:pPr>
        <w:pStyle w:val="ListParagraph"/>
        <w:numPr>
          <w:ilvl w:val="0"/>
          <w:numId w:val="53"/>
        </w:numPr>
        <w:tabs>
          <w:tab w:val="left" w:pos="1749"/>
        </w:tabs>
        <w:spacing w:before="0" w:after="0" w:line="240" w:lineRule="auto"/>
        <w:ind w:left="1748" w:right="0" w:hanging="709"/>
        <w:jc w:val="left"/>
        <w:rPr>
          <w:sz w:val="28"/>
        </w:rPr>
      </w:pPr>
      <w:r>
        <w:rPr>
          <w:spacing w:val="-2"/>
          <w:sz w:val="28"/>
        </w:rPr>
        <w:t>风电场升压站高压侧</w:t>
      </w:r>
    </w:p>
    <w:p>
      <w:pPr>
        <w:pStyle w:val="BodyText"/>
        <w:spacing w:before="202" w:line="355" w:lineRule="auto"/>
        <w:ind w:right="978"/>
        <w:jc w:val="both"/>
      </w:pPr>
      <w:r>
        <w:rPr>
          <w:spacing w:val="10"/>
        </w:rPr>
        <w:t xml:space="preserve">风电场升压站高压侧的电压等级普通为 </w:t>
      </w:r>
      <w:r>
        <w:t>66 kV</w:t>
      </w:r>
      <w:r>
        <w:rPr>
          <w:spacing w:val="12"/>
        </w:rPr>
        <w:t>、</w:t>
      </w:r>
      <w:r>
        <w:t>110 kV</w:t>
      </w:r>
      <w:r>
        <w:rPr>
          <w:spacing w:val="20"/>
        </w:rPr>
        <w:t xml:space="preserve">、 </w:t>
      </w:r>
      <w:r>
        <w:t xml:space="preserve">220 </w:t>
      </w:r>
      <w:r>
        <w:rPr>
          <w:spacing w:val="-4"/>
        </w:rPr>
        <w:t>kV、甚至 330kV，聚集的风场电能通过对应电压级的送🎧线路向系统</w:t>
      </w:r>
      <w:r>
        <w:rPr>
          <w:spacing w:val="-4"/>
        </w:rPr>
        <w:t>供电。</w:t>
      </w:r>
    </w:p>
    <w:p>
      <w:pPr>
        <w:spacing w:after="0" w:line="355" w:lineRule="auto"/>
        <w:jc w:val="both"/>
        <w:sectPr>
          <w:pgSz w:w="11910" w:h="16840"/>
          <w:pgMar w:top="1480" w:right="820" w:bottom="280" w:left="1320" w:header="708" w:footer="708"/>
          <w:pgNumType w:start="16"/>
          <w:cols w:space="708"/>
        </w:sectPr>
      </w:pPr>
    </w:p>
    <w:p>
      <w:pPr>
        <w:pStyle w:val="BodyText"/>
        <w:spacing w:before="10" w:line="355" w:lineRule="auto"/>
        <w:ind w:right="978"/>
      </w:pPr>
      <w:r>
        <w:rPr>
          <w:spacing w:val="-4"/>
        </w:rPr>
        <w:t>风电场升压站升高电压侧接线，普通是单母线，另一方面有变压</w:t>
      </w:r>
      <w:r>
        <w:rPr>
          <w:spacing w:val="-2"/>
        </w:rPr>
        <w:t>器-线路组、扩大的变压器-线路组（两台主变时</w:t>
      </w:r>
      <w:r>
        <w:rPr>
          <w:spacing w:val="-140"/>
        </w:rPr>
        <w:t>）</w:t>
      </w:r>
      <w:r>
        <w:rPr>
          <w:spacing w:val="-2"/>
        </w:rPr>
        <w:t>。</w:t>
      </w:r>
    </w:p>
    <w:p>
      <w:pPr>
        <w:pStyle w:val="BodyText"/>
        <w:spacing w:line="355" w:lineRule="auto"/>
        <w:ind w:right="978"/>
        <w:jc w:val="both"/>
      </w:pPr>
      <w:r>
        <w:rPr>
          <w:spacing w:val="-4"/>
        </w:rPr>
        <w:t>为简化接线，当系统认为能满足运行规定时，升压站高压侧的线</w:t>
      </w:r>
      <w:r>
        <w:rPr>
          <w:spacing w:val="-4"/>
        </w:rPr>
        <w:t>路也可采用不设保护的接线方案，线路保护装在系统对侧，此时升压</w:t>
      </w:r>
      <w:r>
        <w:rPr>
          <w:spacing w:val="-7"/>
        </w:rPr>
        <w:t>站的线路间隔仍装设断路器及电流互感器，断路器重要用于投切空载</w:t>
      </w:r>
      <w:r>
        <w:rPr>
          <w:spacing w:val="-2"/>
        </w:rPr>
        <w:t>线路（此时往往线路电容电流不不大于隔离开关所能切断的容性电</w:t>
      </w:r>
      <w:r>
        <w:rPr>
          <w:spacing w:val="-2"/>
        </w:rPr>
        <w:t>流</w:t>
      </w:r>
      <w:r>
        <w:rPr>
          <w:spacing w:val="-140"/>
        </w:rPr>
        <w:t>）</w:t>
      </w:r>
      <w:r>
        <w:rPr>
          <w:spacing w:val="-2"/>
        </w:rPr>
        <w:t>，电流互感器用于升压站关口计量点的计量和保护。</w:t>
      </w:r>
    </w:p>
    <w:p>
      <w:pPr>
        <w:pStyle w:val="BodyText"/>
        <w:spacing w:line="355" w:lineRule="auto"/>
        <w:ind w:right="978"/>
      </w:pPr>
      <w:r>
        <w:rPr>
          <w:spacing w:val="-4"/>
        </w:rPr>
        <w:t>电力系统所接纳的风场，其送🎧线路以一回线路居多，因此接线</w:t>
      </w:r>
      <w:r>
        <w:rPr>
          <w:spacing w:val="-2"/>
        </w:rPr>
        <w:t>力求简朴、设备少、操作方便。</w:t>
      </w:r>
    </w:p>
    <w:p>
      <w:pPr>
        <w:pStyle w:val="BodyText"/>
        <w:ind w:left="1040" w:firstLine="0"/>
      </w:pPr>
      <w:r>
        <w:rPr>
          <w:spacing w:val="-1"/>
        </w:rPr>
        <w:t>下面细述高压侧接线的拟定原则：</w:t>
      </w:r>
    </w:p>
    <w:p>
      <w:pPr>
        <w:pStyle w:val="BodyText"/>
        <w:spacing w:before="202" w:line="355" w:lineRule="auto"/>
        <w:ind w:right="978"/>
        <w:jc w:val="both"/>
      </w:pPr>
      <w:r>
        <w:t>① 在可研阶段应根据风力发电场的规划容量和区域电网接线方</w:t>
      </w:r>
      <w:r>
        <w:rPr>
          <w:spacing w:val="-4"/>
        </w:rPr>
        <w:t>式的规定，进行升压站高压侧接线的方案比选，这种比选应充足体现</w:t>
      </w:r>
      <w:r>
        <w:rPr>
          <w:spacing w:val="-2"/>
        </w:rPr>
        <w:t>风电的特性。</w:t>
      </w:r>
    </w:p>
    <w:p>
      <w:pPr>
        <w:pStyle w:val="BodyText"/>
        <w:ind w:left="0" w:right="978" w:firstLine="0"/>
        <w:jc w:val="right"/>
      </w:pPr>
      <w:r>
        <w:rPr>
          <w:spacing w:val="-2"/>
        </w:rPr>
        <w:t>从我国北方风电场运行状况看，每年的过程线是：9 月至第二年</w:t>
      </w:r>
    </w:p>
    <w:p>
      <w:pPr>
        <w:pStyle w:val="BodyText"/>
        <w:spacing w:before="202"/>
        <w:ind w:left="0" w:right="978" w:firstLine="0"/>
        <w:jc w:val="right"/>
      </w:pPr>
      <w:r>
        <w:t>5</w:t>
      </w:r>
      <w:r>
        <w:rPr>
          <w:spacing w:val="-13"/>
        </w:rPr>
        <w:t xml:space="preserve"> 月发电较多，其它月份发电较少。风电场全年有效发电时间 </w:t>
      </w:r>
      <w:r>
        <w:rPr>
          <w:spacing w:val="-2"/>
        </w:rPr>
        <w:t>2100－</w:t>
      </w:r>
    </w:p>
    <w:p>
      <w:pPr>
        <w:pStyle w:val="BodyText"/>
        <w:spacing w:before="203" w:line="355" w:lineRule="auto"/>
        <w:ind w:right="978" w:firstLine="0"/>
      </w:pPr>
      <w:r>
        <w:t>2300 小时，每年冬季资源最佳，春、秋次之，夏季最差。因此对电</w:t>
      </w:r>
      <w:r>
        <w:rPr>
          <w:spacing w:val="-2"/>
        </w:rPr>
        <w:t>气设备来说，夏季有充足的检修时间。</w:t>
      </w:r>
    </w:p>
    <w:p>
      <w:pPr>
        <w:pStyle w:val="BodyText"/>
        <w:spacing w:line="355" w:lineRule="auto"/>
        <w:ind w:right="885"/>
      </w:pPr>
      <w:r>
        <w:rPr>
          <w:spacing w:val="-2"/>
        </w:rPr>
        <w:t>另外现在风电场的运行还不能满足电力系统调峰、调频的规定，</w:t>
      </w:r>
      <w:r>
        <w:rPr>
          <w:spacing w:val="-7"/>
        </w:rPr>
        <w:t>即使现在电网有关部门对机组的低电压穿越能力，风电场</w:t>
      </w:r>
      <w:r>
        <w:rPr>
          <w:spacing w:val="-2"/>
        </w:rPr>
        <w:t>🎧力预测提</w:t>
      </w:r>
    </w:p>
    <w:p>
      <w:pPr>
        <w:pStyle w:val="BodyText"/>
        <w:spacing w:line="355" w:lineRule="auto"/>
        <w:ind w:right="978" w:firstLine="0"/>
        <w:jc w:val="both"/>
      </w:pPr>
      <w:r>
        <w:rPr>
          <w:spacing w:val="-4"/>
        </w:rPr>
        <w:t>🎧一定的规定，但对风能的运用尚未有本质的突破。因此风电场的电</w:t>
      </w:r>
      <w:r>
        <w:rPr>
          <w:spacing w:val="-7"/>
        </w:rPr>
        <w:t>气主接线和重要电气设备宜按高压顾客站考虑，自然接线愈简朴愈符</w:t>
      </w:r>
      <w:r>
        <w:rPr>
          <w:spacing w:val="-2"/>
        </w:rPr>
        <w:t>合系统的规定。</w:t>
      </w:r>
    </w:p>
    <w:p>
      <w:pPr>
        <w:spacing w:after="0" w:line="355" w:lineRule="auto"/>
        <w:jc w:val="both"/>
        <w:sectPr>
          <w:pgSz w:w="11910" w:h="16840"/>
          <w:pgMar w:top="1480" w:right="820" w:bottom="280" w:left="1320" w:header="708" w:footer="708"/>
          <w:pgNumType w:start="17"/>
          <w:cols w:space="708"/>
        </w:sectPr>
      </w:pPr>
    </w:p>
    <w:p>
      <w:pPr>
        <w:pStyle w:val="BodyText"/>
        <w:spacing w:before="10" w:line="355" w:lineRule="auto"/>
        <w:ind w:right="978"/>
        <w:jc w:val="both"/>
      </w:pPr>
      <w:r>
        <w:t>② 在进入初步设计阶段后，风电场电气主接线应与系统部门协</w:t>
      </w:r>
      <w:r>
        <w:rPr>
          <w:spacing w:val="-4"/>
        </w:rPr>
        <w:t>调一致。</w:t>
      </w:r>
    </w:p>
    <w:p>
      <w:pPr>
        <w:pStyle w:val="BodyText"/>
        <w:spacing w:line="355" w:lineRule="auto"/>
        <w:ind w:right="885"/>
        <w:jc w:val="both"/>
      </w:pPr>
      <w:r>
        <w:rPr>
          <w:spacing w:val="-2"/>
        </w:rPr>
        <w:t>接入系统设计报告中会对风电场接入的电压、接入系统的落点、</w:t>
      </w:r>
      <w:r>
        <w:rPr>
          <w:spacing w:val="-2"/>
        </w:rPr>
        <w:t>风电场的无功赔偿装置、关口计量点及配套的送🎧工程（送电线路、</w:t>
      </w:r>
      <w:r>
        <w:rPr>
          <w:spacing w:val="-2"/>
        </w:rPr>
        <w:t>继电保护、调度、通信等）提🎧明确的规定，对风场升高电压侧的接</w:t>
      </w:r>
      <w:r>
        <w:rPr>
          <w:spacing w:val="-2"/>
        </w:rPr>
        <w:t>线方式也将给与明确规定。</w:t>
      </w:r>
    </w:p>
    <w:p>
      <w:pPr>
        <w:pStyle w:val="BodyText"/>
        <w:spacing w:line="355" w:lineRule="auto"/>
        <w:ind w:right="978"/>
        <w:jc w:val="both"/>
      </w:pPr>
      <w:r>
        <w:t>③ 在进行技施设计时，应将审批后的接入系统报告结论作为风</w:t>
      </w:r>
      <w:r>
        <w:rPr>
          <w:spacing w:val="-4"/>
        </w:rPr>
        <w:t>电场技施设计的根据，升压站的主接线以系统的结论为准。特别是一</w:t>
      </w:r>
      <w:r>
        <w:rPr>
          <w:spacing w:val="-4"/>
        </w:rPr>
        <w:t>次二次的设备接口，其原则、设计原则、设备技术指标、分期过渡及</w:t>
      </w:r>
      <w:r>
        <w:rPr>
          <w:spacing w:val="-8"/>
        </w:rPr>
        <w:t>新技术采用等均应有互相确认的文献，风电场技施设计阶段的电气主</w:t>
      </w:r>
      <w:r>
        <w:rPr>
          <w:spacing w:val="-4"/>
        </w:rPr>
        <w:t>接线应充足体现🎧设备配备、保护监控、运行检修、电力计量及系统</w:t>
      </w:r>
      <w:r>
        <w:rPr>
          <w:spacing w:val="-2"/>
        </w:rPr>
        <w:t>规定等诸方面的特性。</w:t>
      </w:r>
    </w:p>
    <w:p>
      <w:pPr>
        <w:pStyle w:val="ListParagraph"/>
        <w:numPr>
          <w:ilvl w:val="0"/>
          <w:numId w:val="53"/>
        </w:numPr>
        <w:tabs>
          <w:tab w:val="left" w:pos="1749"/>
        </w:tabs>
        <w:spacing w:before="0" w:after="0" w:line="240" w:lineRule="auto"/>
        <w:ind w:left="1748" w:right="0" w:hanging="709"/>
        <w:jc w:val="left"/>
        <w:rPr>
          <w:sz w:val="28"/>
        </w:rPr>
      </w:pPr>
      <w:r>
        <w:rPr>
          <w:spacing w:val="-1"/>
          <w:sz w:val="28"/>
        </w:rPr>
        <w:t>主变压器中性点的接地方式</w:t>
      </w:r>
    </w:p>
    <w:p>
      <w:pPr>
        <w:pStyle w:val="BodyText"/>
        <w:spacing w:before="202" w:line="355" w:lineRule="auto"/>
        <w:ind w:right="978"/>
      </w:pPr>
      <w:r>
        <w:rPr>
          <w:spacing w:val="-2"/>
        </w:rPr>
        <w:t>风电场主变压器中性点的接地方式应按系统规定的接地方式执</w:t>
      </w:r>
      <w:r>
        <w:rPr>
          <w:spacing w:val="-2"/>
        </w:rPr>
        <w:t>行，其具体规定以下：</w:t>
      </w:r>
    </w:p>
    <w:p>
      <w:pPr>
        <w:pStyle w:val="BodyText"/>
        <w:ind w:left="1040" w:firstLine="0"/>
      </w:pPr>
      <w:r>
        <w:rPr>
          <w:spacing w:val="31"/>
        </w:rPr>
        <w:t xml:space="preserve">① </w:t>
      </w:r>
      <w:r>
        <w:t>66kV</w:t>
      </w:r>
      <w:r>
        <w:rPr>
          <w:spacing w:val="-4"/>
        </w:rPr>
        <w:t xml:space="preserve"> 及下列系统采用不接地方式</w:t>
      </w:r>
    </w:p>
    <w:p>
      <w:pPr>
        <w:pStyle w:val="BodyText"/>
        <w:spacing w:before="202" w:line="355" w:lineRule="auto"/>
        <w:ind w:right="978"/>
        <w:jc w:val="both"/>
      </w:pPr>
      <w:r>
        <w:t>风电场中这类电压等级的主变压器，即使连接组标号是 Yd11，</w:t>
      </w:r>
      <w:r>
        <w:rPr>
          <w:spacing w:val="-4"/>
        </w:rPr>
        <w:t>即或中性点可引🎧，普通是不接地，但考虑风电场处在多雷区单进线</w:t>
      </w:r>
      <w:r>
        <w:rPr>
          <w:spacing w:val="-2"/>
        </w:rPr>
        <w:t>时，往往装一只氧化锌避雷器，这仅是雷电过电压保护的需要。</w:t>
      </w:r>
    </w:p>
    <w:p>
      <w:pPr>
        <w:pStyle w:val="BodyText"/>
        <w:ind w:left="1040" w:firstLine="0"/>
      </w:pPr>
      <w:r>
        <w:rPr>
          <w:spacing w:val="31"/>
        </w:rPr>
        <w:t xml:space="preserve">② </w:t>
      </w:r>
      <w:r>
        <w:t>110kV</w:t>
      </w:r>
      <w:r>
        <w:rPr>
          <w:spacing w:val="-5"/>
        </w:rPr>
        <w:t xml:space="preserve"> 及 </w:t>
      </w:r>
      <w:r>
        <w:t>220kV</w:t>
      </w:r>
      <w:r>
        <w:rPr>
          <w:spacing w:val="-4"/>
        </w:rPr>
        <w:t xml:space="preserve"> 系统变压器中性点直接接地</w:t>
      </w:r>
    </w:p>
    <w:p>
      <w:pPr>
        <w:pStyle w:val="BodyText"/>
        <w:spacing w:before="203"/>
        <w:ind w:left="1040" w:firstLine="0"/>
      </w:pPr>
      <w:r>
        <w:rPr>
          <w:spacing w:val="-10"/>
        </w:rPr>
        <w:t>风电场中这类电压等级的主变压器，中性点直接接地也可不接地。</w:t>
      </w:r>
    </w:p>
    <w:p>
      <w:pPr>
        <w:pStyle w:val="BodyText"/>
        <w:spacing w:before="202"/>
        <w:ind w:left="1040" w:firstLine="0"/>
      </w:pPr>
      <w:r>
        <w:rPr>
          <w:spacing w:val="35"/>
        </w:rPr>
        <w:t xml:space="preserve">③ </w:t>
      </w:r>
      <w:r>
        <w:t>330kV</w:t>
      </w:r>
      <w:r>
        <w:rPr>
          <w:spacing w:val="-2"/>
        </w:rPr>
        <w:t xml:space="preserve"> 及 </w:t>
      </w:r>
      <w:r>
        <w:t>500kV</w:t>
      </w:r>
      <w:r>
        <w:rPr>
          <w:spacing w:val="-3"/>
        </w:rPr>
        <w:t xml:space="preserve"> 系统中不允许变压器中性点不接地运行，这</w:t>
      </w:r>
    </w:p>
    <w:p>
      <w:pPr>
        <w:spacing w:after="0"/>
        <w:sectPr>
          <w:pgSz w:w="11910" w:h="16840"/>
          <w:pgMar w:top="1480" w:right="820" w:bottom="280" w:left="1320" w:header="708" w:footer="708"/>
          <w:pgNumType w:start="18"/>
          <w:cols w:space="708"/>
        </w:sectPr>
      </w:pPr>
    </w:p>
    <w:p>
      <w:pPr>
        <w:pStyle w:val="BodyText"/>
        <w:spacing w:before="10"/>
        <w:ind w:firstLine="0"/>
      </w:pPr>
      <w:r>
        <w:rPr>
          <w:spacing w:val="-1"/>
        </w:rPr>
        <w:t>是由于操作过电压造成的，从绝缘配合上只能如此。</w:t>
      </w:r>
    </w:p>
    <w:p>
      <w:pPr>
        <w:pStyle w:val="ListParagraph"/>
        <w:numPr>
          <w:ilvl w:val="0"/>
          <w:numId w:val="70"/>
        </w:numPr>
        <w:tabs>
          <w:tab w:val="left" w:pos="1749"/>
        </w:tabs>
        <w:spacing w:before="202" w:after="0" w:line="240" w:lineRule="auto"/>
        <w:ind w:left="1748" w:right="0" w:hanging="709"/>
        <w:jc w:val="left"/>
        <w:rPr>
          <w:sz w:val="28"/>
        </w:rPr>
      </w:pPr>
      <w:r>
        <w:rPr>
          <w:spacing w:val="-1"/>
          <w:sz w:val="28"/>
        </w:rPr>
        <w:t>风电场集电线路侧的接地方式</w:t>
      </w:r>
    </w:p>
    <w:p>
      <w:pPr>
        <w:pStyle w:val="BodyText"/>
        <w:spacing w:before="203" w:line="355" w:lineRule="auto"/>
        <w:ind w:right="978"/>
      </w:pPr>
      <w:r>
        <w:rPr>
          <w:spacing w:val="-7"/>
        </w:rPr>
        <w:t>风电场集电线路电压侧属小电流接地系统，现在宜采用三种接地</w:t>
      </w:r>
      <w:r>
        <w:rPr>
          <w:spacing w:val="-4"/>
        </w:rPr>
        <w:t>方式：</w:t>
      </w:r>
    </w:p>
    <w:p>
      <w:pPr>
        <w:pStyle w:val="BodyText"/>
        <w:ind w:left="1040" w:firstLine="0"/>
      </w:pPr>
      <w:r>
        <w:rPr>
          <w:spacing w:val="7"/>
        </w:rPr>
        <w:t>① 不接地方式</w:t>
      </w:r>
    </w:p>
    <w:p>
      <w:pPr>
        <w:pStyle w:val="BodyText"/>
        <w:spacing w:before="202" w:line="355" w:lineRule="auto"/>
        <w:ind w:right="977"/>
      </w:pP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5" type="#_x0000_t202" style="width:388.15pt;height:66.4pt;margin-top:69.09pt;margin-left:103.57pt;mso-position-horizontal-relative:page;position:absolute;z-index:251658240" filled="f" stroked="f">
            <v:textbox inset="0,0,0,0">
              <w:txbxContent>
                <w:tbl>
                  <w:tblPr>
                    <w:tblStyle w:val="TableNormal1"/>
                    <w:tblW w:w="0" w:type="auto"/>
                    <w:jc w:val="left"/>
                    <w:tblInd w:w="15" w:type="dxa"/>
                    <w:tblBorders>
                      <w:top w:val="single" w:sz="12" w:space="0" w:color="000000"/>
                      <w:left w:val="single" w:sz="12" w:space="0" w:color="000000"/>
                      <w:bottom w:val="single" w:sz="12" w:space="0" w:color="000000"/>
                      <w:right w:val="single" w:sz="12" w:space="0" w:color="000000"/>
                      <w:insideH w:val="single" w:sz="12" w:space="0" w:color="000000"/>
                      <w:insideV w:val="single" w:sz="12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6750"/>
                    <w:gridCol w:w="983"/>
                  </w:tblGrid>
                  <w:tr>
                    <w:tblPrEx>
                      <w:tblW w:w="0" w:type="auto"/>
                      <w:jc w:val="left"/>
                      <w:tblInd w:w="15" w:type="dxa"/>
                      <w:tblBorders>
                        <w:top w:val="single" w:sz="12" w:space="0" w:color="000000"/>
                        <w:left w:val="single" w:sz="12" w:space="0" w:color="000000"/>
                        <w:bottom w:val="single" w:sz="12" w:space="0" w:color="000000"/>
                        <w:right w:val="single" w:sz="12" w:space="0" w:color="000000"/>
                        <w:insideH w:val="single" w:sz="12" w:space="0" w:color="000000"/>
                        <w:insideV w:val="single" w:sz="12" w:space="0" w:color="000000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624"/>
                      <w:jc w:val="left"/>
                    </w:trPr>
                    <w:tc>
                      <w:tcPr>
                        <w:tcW w:w="6750" w:type="dxa"/>
                        <w:tcBorders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103"/>
                          <w:ind w:left="1108" w:right="1078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3～10kV</w:t>
                        </w:r>
                        <w:r>
                          <w:rPr>
                            <w:spacing w:val="-3"/>
                            <w:sz w:val="24"/>
                          </w:rPr>
                          <w:t xml:space="preserve"> 架空线路、和全部 </w:t>
                        </w:r>
                        <w:r>
                          <w:rPr>
                            <w:sz w:val="24"/>
                          </w:rPr>
                          <w:t>35、66</w:t>
                        </w:r>
                        <w:r>
                          <w:rPr>
                            <w:spacing w:val="-1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kV</w:t>
                        </w:r>
                        <w:r>
                          <w:rPr>
                            <w:spacing w:val="-6"/>
                            <w:sz w:val="24"/>
                          </w:rPr>
                          <w:t xml:space="preserve"> 系统</w:t>
                        </w:r>
                      </w:p>
                    </w:tc>
                    <w:tc>
                      <w:tcPr>
                        <w:tcW w:w="983" w:type="dxa"/>
                        <w:tcBorders>
                          <w:left w:val="single" w:sz="8" w:space="0" w:color="000000"/>
                          <w:bottom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103"/>
                          <w:ind w:left="278" w:right="248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pacing w:val="-5"/>
                            <w:sz w:val="24"/>
                          </w:rPr>
                          <w:t>10A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624"/>
                      <w:jc w:val="left"/>
                    </w:trPr>
                    <w:tc>
                      <w:tcPr>
                        <w:tcW w:w="6750" w:type="dxa"/>
                        <w:tcBorders>
                          <w:top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103"/>
                          <w:ind w:left="1108" w:right="1078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3～10kV</w:t>
                        </w:r>
                        <w:r>
                          <w:rPr>
                            <w:spacing w:val="-3"/>
                            <w:sz w:val="24"/>
                          </w:rPr>
                          <w:t xml:space="preserve"> 电缆线路构成的系统</w:t>
                        </w:r>
                      </w:p>
                    </w:tc>
                    <w:tc>
                      <w:tcPr>
                        <w:tcW w:w="983" w:type="dxa"/>
                        <w:tcBorders>
                          <w:top w:val="single" w:sz="8" w:space="0" w:color="000000"/>
                          <w:lef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103"/>
                          <w:ind w:left="278" w:right="248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pacing w:val="-5"/>
                            <w:sz w:val="24"/>
                          </w:rPr>
                          <w:t>30A</w:t>
                        </w:r>
                      </w:p>
                    </w:tc>
                  </w:tr>
                </w:tbl>
                <w:p>
                  <w:pPr>
                    <w:pStyle w:val="BodyText"/>
                    <w:ind w:left="0" w:firstLine="0"/>
                  </w:pPr>
                </w:p>
              </w:txbxContent>
            </v:textbox>
          </v:shape>
        </w:pict>
      </w:r>
      <w:r>
        <w:t>我国 6kV、10kV、35kV 电网，普通都采用中性点不接地的运行</w:t>
      </w:r>
      <w:r>
        <w:rPr>
          <w:spacing w:val="-2"/>
        </w:rPr>
        <w:t>方式。其单相接地故障电流上限为：</w:t>
      </w:r>
    </w:p>
    <w:p>
      <w:pPr>
        <w:pStyle w:val="BodyText"/>
        <w:ind w:left="0" w:firstLine="0"/>
      </w:pPr>
    </w:p>
    <w:p>
      <w:pPr>
        <w:pStyle w:val="BodyText"/>
        <w:ind w:left="0" w:firstLine="0"/>
      </w:pPr>
    </w:p>
    <w:p>
      <w:pPr>
        <w:pStyle w:val="BodyText"/>
        <w:spacing w:before="3"/>
        <w:ind w:left="0" w:firstLine="0"/>
        <w:rPr>
          <w:sz w:val="32"/>
        </w:rPr>
      </w:pPr>
    </w:p>
    <w:p>
      <w:pPr>
        <w:pStyle w:val="BodyText"/>
        <w:ind w:left="1040" w:firstLine="0"/>
      </w:pPr>
      <w:r>
        <w:rPr>
          <w:spacing w:val="4"/>
        </w:rPr>
        <w:t>② 消弧线圈接地方式</w:t>
      </w:r>
    </w:p>
    <w:p>
      <w:pPr>
        <w:pStyle w:val="BodyText"/>
        <w:spacing w:before="202" w:line="355" w:lineRule="auto"/>
        <w:ind w:right="978"/>
        <w:jc w:val="right"/>
      </w:pPr>
      <w:r>
        <w:rPr>
          <w:spacing w:val="-2"/>
        </w:rPr>
        <w:t>当单相接地故障电流超🎧</w:t>
      </w:r>
      <w:r>
        <w:rPr>
          <w:spacing w:val="-12"/>
        </w:rPr>
        <w:t>上述限值时，应当采用消弧线圈接地方</w:t>
      </w:r>
      <w:r>
        <w:rPr>
          <w:spacing w:val="-4"/>
        </w:rPr>
        <w:t>式，且故障点残存电流不得不不大于上述限值。为避免集电线路投切</w:t>
      </w:r>
      <w:r>
        <w:rPr>
          <w:spacing w:val="-4"/>
        </w:rPr>
        <w:t>电容电流减少，使消弧线圈处在谐振点运行，应采用过赔偿方式，过</w:t>
      </w:r>
      <w:r>
        <w:t>赔偿系数取 1.35。现在厂家制造的消弧线圈最大容量为 3150kVar。</w:t>
      </w:r>
      <w:r>
        <w:rPr>
          <w:spacing w:val="-2"/>
        </w:rPr>
        <w:t>消弧线圈的型式、容量等技术参数的选择见《导体和电器选择技</w:t>
      </w:r>
    </w:p>
    <w:p>
      <w:pPr>
        <w:pStyle w:val="BodyText"/>
        <w:ind w:firstLine="0"/>
      </w:pPr>
      <w:r>
        <w:t>术规定》DL/T5222</w:t>
      </w:r>
      <w:r>
        <w:rPr>
          <w:spacing w:val="-3"/>
        </w:rPr>
        <w:t xml:space="preserve">-的 </w:t>
      </w:r>
      <w:r>
        <w:t>18.1</w:t>
      </w:r>
      <w:r>
        <w:rPr>
          <w:spacing w:val="-6"/>
        </w:rPr>
        <w:t xml:space="preserve"> 节。</w:t>
      </w:r>
    </w:p>
    <w:p>
      <w:pPr>
        <w:pStyle w:val="BodyText"/>
        <w:spacing w:before="202" w:line="355" w:lineRule="auto"/>
        <w:ind w:right="978"/>
      </w:pPr>
      <w:r>
        <w:rPr>
          <w:spacing w:val="-6"/>
        </w:rPr>
        <w:t>消弧线圈与系统的连接方式及接地变压器的容量等详见《交流电</w:t>
      </w:r>
      <w:r>
        <w:t>气装置的过电压保护和绝缘配合》DL/T620-1997 的 3.1.6 节。</w:t>
      </w:r>
    </w:p>
    <w:p>
      <w:pPr>
        <w:pStyle w:val="BodyText"/>
        <w:ind w:left="1040" w:firstLine="0"/>
      </w:pPr>
      <w:r>
        <w:rPr>
          <w:spacing w:val="-2"/>
        </w:rPr>
        <w:t>③低电阻接地方式</w:t>
      </w:r>
    </w:p>
    <w:p>
      <w:pPr>
        <w:pStyle w:val="BodyText"/>
        <w:spacing w:before="203" w:line="355" w:lineRule="auto"/>
        <w:ind w:right="978"/>
        <w:jc w:val="both"/>
      </w:pPr>
      <w:r>
        <w:rPr>
          <w:spacing w:val="-2"/>
        </w:rPr>
        <w:t>当单相接地故障电流超🎧</w:t>
      </w:r>
      <w:r>
        <w:rPr>
          <w:spacing w:val="-13"/>
        </w:rPr>
        <w:t>限值时，还能够采用中性点经低电阻接</w:t>
      </w:r>
      <w:r>
        <w:rPr>
          <w:spacing w:val="-4"/>
        </w:rPr>
        <w:t>地方式。现在我国风电场中，当集电线路电缆较长时，采用此种方式</w:t>
      </w:r>
      <w:r>
        <w:rPr>
          <w:spacing w:val="-4"/>
        </w:rPr>
        <w:t>的居多。</w:t>
      </w:r>
    </w:p>
    <w:p>
      <w:pPr>
        <w:spacing w:after="0" w:line="355" w:lineRule="auto"/>
        <w:jc w:val="both"/>
        <w:sectPr>
          <w:pgSz w:w="11910" w:h="16840"/>
          <w:pgMar w:top="1480" w:right="820" w:bottom="280" w:left="1320" w:header="708" w:footer="708"/>
          <w:pgNumType w:start="19"/>
          <w:cols w:space="708"/>
        </w:sectPr>
      </w:pPr>
    </w:p>
    <w:p>
      <w:pPr>
        <w:pStyle w:val="Heading1"/>
        <w:numPr>
          <w:ilvl w:val="1"/>
          <w:numId w:val="66"/>
        </w:numPr>
        <w:tabs>
          <w:tab w:val="left" w:pos="1559"/>
        </w:tabs>
        <w:spacing w:before="10" w:after="0" w:line="240" w:lineRule="auto"/>
        <w:ind w:left="1558" w:right="0" w:hanging="519"/>
        <w:jc w:val="left"/>
      </w:pPr>
      <w:r>
        <w:rPr>
          <w:spacing w:val="-2"/>
        </w:rPr>
        <w:t>重要电气设备</w:t>
      </w:r>
    </w:p>
    <w:p>
      <w:pPr>
        <w:pStyle w:val="BodyText"/>
        <w:spacing w:before="202"/>
        <w:ind w:left="1040" w:firstLine="0"/>
      </w:pPr>
      <w:r>
        <w:rPr>
          <w:spacing w:val="-1"/>
        </w:rPr>
        <w:t>风电场中的电气设备应参考《导体和电器选择设计技术规定》</w:t>
      </w:r>
    </w:p>
    <w:p>
      <w:pPr>
        <w:pStyle w:val="BodyText"/>
        <w:spacing w:before="203"/>
        <w:ind w:firstLine="0"/>
      </w:pPr>
      <w:r>
        <w:rPr>
          <w:spacing w:val="-2"/>
        </w:rPr>
        <w:t>DL/T5222</w:t>
      </w:r>
      <w:r>
        <w:rPr>
          <w:spacing w:val="-6"/>
        </w:rPr>
        <w:t>-。</w:t>
      </w:r>
    </w:p>
    <w:p>
      <w:pPr>
        <w:pStyle w:val="ListParagraph"/>
        <w:numPr>
          <w:ilvl w:val="2"/>
          <w:numId w:val="66"/>
        </w:numPr>
        <w:tabs>
          <w:tab w:val="left" w:pos="1676"/>
        </w:tabs>
        <w:spacing w:before="202" w:after="0" w:line="240" w:lineRule="auto"/>
        <w:ind w:left="1675" w:right="0" w:hanging="636"/>
        <w:jc w:val="left"/>
        <w:rPr>
          <w:sz w:val="28"/>
        </w:rPr>
      </w:pPr>
      <w:r>
        <w:rPr>
          <w:spacing w:val="-1"/>
          <w:sz w:val="28"/>
        </w:rPr>
        <w:t>电气主设备选择的技术条件和环境条件；</w:t>
      </w:r>
    </w:p>
    <w:p>
      <w:pPr>
        <w:pStyle w:val="ListParagraph"/>
        <w:numPr>
          <w:ilvl w:val="0"/>
          <w:numId w:val="52"/>
        </w:numPr>
        <w:tabs>
          <w:tab w:val="left" w:pos="1749"/>
        </w:tabs>
        <w:spacing w:before="202" w:after="0" w:line="240" w:lineRule="auto"/>
        <w:ind w:left="1748" w:right="0" w:hanging="709"/>
        <w:jc w:val="left"/>
        <w:rPr>
          <w:sz w:val="28"/>
        </w:rPr>
      </w:pPr>
      <w:r>
        <w:rPr>
          <w:spacing w:val="-3"/>
          <w:sz w:val="28"/>
        </w:rPr>
        <w:t>普通原则</w:t>
      </w:r>
    </w:p>
    <w:p>
      <w:pPr>
        <w:pStyle w:val="BodyText"/>
        <w:spacing w:before="203" w:line="355" w:lineRule="auto"/>
        <w:ind w:right="978"/>
      </w:pPr>
      <w:r>
        <w:t>① 应满足正常运行、检修、短路和过电压状况下的规定，并考</w:t>
      </w:r>
      <w:r>
        <w:rPr>
          <w:spacing w:val="-2"/>
        </w:rPr>
        <w:t>虑远景发展。</w:t>
      </w:r>
    </w:p>
    <w:p>
      <w:pPr>
        <w:pStyle w:val="BodyText"/>
        <w:ind w:left="1040" w:firstLine="0"/>
      </w:pPr>
      <w:r>
        <w:t>② 应按本地使用环境条件校核。</w:t>
      </w:r>
    </w:p>
    <w:p>
      <w:pPr>
        <w:pStyle w:val="BodyText"/>
        <w:spacing w:before="202"/>
        <w:ind w:left="1040" w:firstLine="0"/>
      </w:pPr>
      <w:r>
        <w:rPr>
          <w:spacing w:val="-1"/>
        </w:rPr>
        <w:t>③ 应与整个工程的建设原则协调一致。</w:t>
      </w:r>
    </w:p>
    <w:p>
      <w:pPr>
        <w:pStyle w:val="BodyText"/>
        <w:spacing w:before="202" w:line="355" w:lineRule="auto"/>
        <w:ind w:right="978"/>
      </w:pPr>
      <w:r>
        <w:t>➃ 在设计中要主动谨慎地采用通过实验并通过工业试运行考验</w:t>
      </w:r>
      <w:r>
        <w:rPr>
          <w:spacing w:val="-2"/>
        </w:rPr>
        <w:t>的新技术、新设备。</w:t>
      </w:r>
    </w:p>
    <w:p>
      <w:pPr>
        <w:pStyle w:val="ListParagraph"/>
        <w:numPr>
          <w:ilvl w:val="0"/>
          <w:numId w:val="52"/>
        </w:numPr>
        <w:tabs>
          <w:tab w:val="left" w:pos="1749"/>
        </w:tabs>
        <w:spacing w:before="0" w:after="0" w:line="240" w:lineRule="auto"/>
        <w:ind w:left="1748" w:right="0" w:hanging="709"/>
        <w:jc w:val="left"/>
        <w:rPr>
          <w:sz w:val="28"/>
        </w:rPr>
      </w:pPr>
      <w:r>
        <w:rPr>
          <w:spacing w:val="-3"/>
          <w:sz w:val="28"/>
        </w:rPr>
        <w:t>技术条件</w:t>
      </w:r>
    </w:p>
    <w:p>
      <w:pPr>
        <w:pStyle w:val="BodyText"/>
        <w:spacing w:before="203" w:line="355" w:lineRule="auto"/>
        <w:ind w:right="978"/>
      </w:pPr>
      <w:r>
        <w:t>① 选用电器的最高工作电压不应低于所在系统的系统最高电压</w:t>
      </w:r>
      <w:r>
        <w:rPr>
          <w:spacing w:val="-21"/>
        </w:rPr>
        <w:t>值，《原则电压》</w:t>
      </w:r>
      <w:r>
        <w:rPr>
          <w:spacing w:val="-2"/>
        </w:rPr>
        <w:t>GB156-的规定值以下：</w:t>
      </w:r>
    </w:p>
    <w:p>
      <w:pPr>
        <w:pStyle w:val="BodyText"/>
        <w:spacing w:line="355" w:lineRule="auto"/>
        <w:ind w:right="978"/>
      </w:pPr>
      <w:r>
        <w:rPr>
          <w:spacing w:val="15"/>
        </w:rPr>
        <w:t>设备最高电压依次：</w:t>
      </w:r>
      <w:r>
        <w:t>3.6</w:t>
      </w:r>
      <w:r>
        <w:rPr>
          <w:spacing w:val="-4"/>
        </w:rPr>
        <w:t xml:space="preserve"> </w:t>
      </w:r>
      <w:r>
        <w:t>kV</w:t>
      </w:r>
      <w:r>
        <w:rPr>
          <w:spacing w:val="18"/>
        </w:rPr>
        <w:t>、</w:t>
      </w:r>
      <w:r>
        <w:t>7.2</w:t>
      </w:r>
      <w:r>
        <w:rPr>
          <w:spacing w:val="-4"/>
        </w:rPr>
        <w:t xml:space="preserve"> </w:t>
      </w:r>
      <w:r>
        <w:t>kV</w:t>
      </w:r>
      <w:r>
        <w:rPr>
          <w:spacing w:val="17"/>
        </w:rPr>
        <w:t>、</w:t>
      </w:r>
      <w:r>
        <w:t>12</w:t>
      </w:r>
      <w:r>
        <w:rPr>
          <w:spacing w:val="-4"/>
        </w:rPr>
        <w:t xml:space="preserve"> </w:t>
      </w:r>
      <w:r>
        <w:t>kV</w:t>
      </w:r>
      <w:r>
        <w:rPr>
          <w:spacing w:val="-123"/>
        </w:rPr>
        <w:t>、</w:t>
      </w:r>
      <w:r>
        <w:t>（</w:t>
      </w:r>
      <w:r>
        <w:rPr>
          <w:spacing w:val="40"/>
        </w:rPr>
        <w:t xml:space="preserve"> </w:t>
      </w:r>
      <w:r>
        <w:t>24</w:t>
      </w:r>
      <w:r>
        <w:rPr>
          <w:spacing w:val="-4"/>
        </w:rPr>
        <w:t xml:space="preserve"> </w:t>
      </w:r>
      <w:r>
        <w:rPr>
          <w:spacing w:val="41"/>
        </w:rPr>
        <w:t>k</w:t>
      </w:r>
      <w:r>
        <w:rPr>
          <w:spacing w:val="40"/>
        </w:rPr>
        <w:t>V</w:t>
      </w:r>
      <w:r>
        <w:rPr>
          <w:spacing w:val="-82"/>
        </w:rPr>
        <w:t>）</w:t>
      </w:r>
      <w:r>
        <w:rPr>
          <w:spacing w:val="17"/>
        </w:rPr>
        <w:t>、</w:t>
      </w:r>
      <w:r>
        <w:t>40.5 kV、72.5kV、126kV、252 kV、363kV</w:t>
      </w:r>
      <w:r>
        <w:rPr>
          <w:spacing w:val="20"/>
        </w:rPr>
        <w:t xml:space="preserve">、 </w:t>
      </w:r>
      <w:r>
        <w:t>550kV</w:t>
      </w:r>
    </w:p>
    <w:p>
      <w:pPr>
        <w:pStyle w:val="BodyText"/>
        <w:spacing w:line="355" w:lineRule="auto"/>
        <w:ind w:right="745"/>
      </w:pPr>
      <w:r>
        <w:t>② 选用导体的长久允许电流不得不大于该回路的持续工作电流。</w:t>
      </w:r>
      <w:r>
        <w:rPr>
          <w:spacing w:val="-2"/>
        </w:rPr>
        <w:t>对于断路器、隔离开关、组合电器、封闭式组合电器、金属封闭开关</w:t>
      </w:r>
      <w:r>
        <w:rPr>
          <w:spacing w:val="-2"/>
        </w:rPr>
        <w:t>设备、负荷开关、高压接触器等长久工作制电器，在选择其额定电流</w:t>
      </w:r>
      <w:r>
        <w:rPr>
          <w:spacing w:val="-2"/>
        </w:rPr>
        <w:t>时，应满足多个可能运行方式下回路持续工作电流的规定。如箱变回</w:t>
      </w:r>
      <w:r>
        <w:t>路应考虑 1.05 倍变压器额定电流，这是考虑在 0.95 额定电压时其容</w:t>
      </w:r>
      <w:r>
        <w:rPr>
          <w:spacing w:val="-2"/>
        </w:rPr>
        <w:t>量不变的条件；又如，带负荷调压主变压器应按变压器的最大工作电</w:t>
      </w:r>
    </w:p>
    <w:p>
      <w:pPr>
        <w:spacing w:after="0" w:line="355" w:lineRule="auto"/>
        <w:sectPr>
          <w:pgSz w:w="11910" w:h="16840"/>
          <w:pgMar w:top="1480" w:right="820" w:bottom="280" w:left="1320" w:header="708" w:footer="708"/>
          <w:pgNumType w:start="20"/>
          <w:cols w:space="708"/>
        </w:sectPr>
      </w:pPr>
    </w:p>
    <w:p>
      <w:pPr>
        <w:pStyle w:val="BodyText"/>
        <w:spacing w:before="10"/>
        <w:ind w:firstLine="0"/>
        <w:jc w:val="both"/>
      </w:pPr>
      <w:r>
        <w:t>流选择（</w:t>
      </w:r>
      <w:r>
        <w:rPr>
          <w:spacing w:val="-2"/>
        </w:rPr>
        <w:t xml:space="preserve">即考虑 </w:t>
      </w:r>
      <w:r>
        <w:t>1.1</w:t>
      </w:r>
      <w:r>
        <w:rPr>
          <w:spacing w:val="-3"/>
        </w:rPr>
        <w:t xml:space="preserve"> 倍主变压器额定电流</w:t>
      </w:r>
      <w:r>
        <w:rPr>
          <w:spacing w:val="-140"/>
        </w:rPr>
        <w:t>）</w:t>
      </w:r>
      <w:r>
        <w:rPr>
          <w:spacing w:val="-10"/>
        </w:rPr>
        <w:t>。</w:t>
      </w:r>
    </w:p>
    <w:p>
      <w:pPr>
        <w:pStyle w:val="BodyText"/>
        <w:spacing w:before="202" w:line="355" w:lineRule="auto"/>
        <w:ind w:right="885"/>
        <w:jc w:val="both"/>
      </w:pPr>
      <w:r>
        <w:t>③ 校验导体和电器动稳定、热稳定以及电气开断电流所用的短</w:t>
      </w:r>
      <w:r>
        <w:rPr>
          <w:spacing w:val="-2"/>
        </w:rPr>
        <w:t>路电流，应按系统最大运行方式下，可能流经被校验导体和电器的最</w:t>
      </w:r>
      <w:r>
        <w:rPr>
          <w:spacing w:val="-2"/>
        </w:rPr>
        <w:t>大短路电流。前期设计系统容量应按具体工程的设计规划容量计算，</w:t>
      </w:r>
      <w:r>
        <w:rPr>
          <w:spacing w:val="-2"/>
        </w:rPr>
        <w:t>技施设计按接入系统报告提供的设计水平年的短路电流。</w:t>
      </w:r>
    </w:p>
    <w:p>
      <w:pPr>
        <w:pStyle w:val="BodyText"/>
        <w:ind w:left="1040" w:firstLine="0"/>
        <w:jc w:val="both"/>
      </w:pPr>
      <w:r>
        <w:rPr>
          <w:spacing w:val="-1"/>
        </w:rPr>
        <w:t>➃ 校验电器的开断电流，应按最严重短路形式验算。</w:t>
      </w:r>
    </w:p>
    <w:p>
      <w:pPr>
        <w:pStyle w:val="BodyText"/>
        <w:spacing w:before="203"/>
        <w:ind w:left="1040" w:firstLine="0"/>
        <w:jc w:val="both"/>
      </w:pPr>
      <w:r>
        <w:rPr>
          <w:spacing w:val="-1"/>
        </w:rPr>
        <w:t>⑤ 拟定短路电流热效应计算时间时，应恪守下列规定：</w:t>
      </w:r>
    </w:p>
    <w:p>
      <w:pPr>
        <w:pStyle w:val="BodyText"/>
        <w:spacing w:before="202" w:line="355" w:lineRule="auto"/>
        <w:ind w:right="978"/>
        <w:jc w:val="both"/>
      </w:pPr>
      <w:r>
        <w:rPr>
          <w:spacing w:val="-4"/>
        </w:rPr>
        <w:t>对导体（不涉及电缆）：宜采用主保护动作时间加对应断路器开</w:t>
      </w:r>
      <w:r>
        <w:rPr>
          <w:spacing w:val="-4"/>
        </w:rPr>
        <w:t>短时间。主保护有死区时，可采用能对该死区起作用的后备保护动作</w:t>
      </w:r>
      <w:r>
        <w:rPr>
          <w:spacing w:val="-2"/>
        </w:rPr>
        <w:t>时间，并采用对应处的短路电流值。</w:t>
      </w:r>
    </w:p>
    <w:p>
      <w:pPr>
        <w:pStyle w:val="BodyText"/>
        <w:ind w:left="1040" w:firstLine="0"/>
      </w:pPr>
      <w:r>
        <w:rPr>
          <w:spacing w:val="-1"/>
        </w:rPr>
        <w:t>对电器：宜采用后备保护动作时间加对应断路器的开断时间。</w:t>
      </w:r>
    </w:p>
    <w:p>
      <w:pPr>
        <w:pStyle w:val="BodyText"/>
        <w:spacing w:before="202" w:line="355" w:lineRule="auto"/>
        <w:ind w:right="977"/>
      </w:pPr>
      <w:r>
        <w:rPr>
          <w:spacing w:val="12"/>
        </w:rPr>
        <w:t>⑥ 电器的绝缘水平按《导体和电器选择设计技术规定》</w:t>
      </w:r>
      <w:r>
        <w:t>DL/T 5222-附录 B 执行。</w:t>
      </w:r>
    </w:p>
    <w:p>
      <w:pPr>
        <w:pStyle w:val="ListParagraph"/>
        <w:numPr>
          <w:ilvl w:val="0"/>
          <w:numId w:val="52"/>
        </w:numPr>
        <w:tabs>
          <w:tab w:val="left" w:pos="1749"/>
        </w:tabs>
        <w:spacing w:before="0" w:after="0" w:line="240" w:lineRule="auto"/>
        <w:ind w:left="1748" w:right="0" w:hanging="709"/>
        <w:jc w:val="left"/>
        <w:rPr>
          <w:sz w:val="28"/>
        </w:rPr>
      </w:pPr>
      <w:r>
        <w:rPr>
          <w:spacing w:val="-3"/>
          <w:sz w:val="28"/>
        </w:rPr>
        <w:t>环境条件</w:t>
      </w:r>
    </w:p>
    <w:p>
      <w:pPr>
        <w:pStyle w:val="BodyText"/>
        <w:spacing w:before="202" w:line="355" w:lineRule="auto"/>
        <w:ind w:right="885"/>
        <w:jc w:val="both"/>
      </w:pPr>
      <w:r>
        <w:rPr>
          <w:spacing w:val="-2"/>
        </w:rPr>
        <w:t>选择导体和电器时应按风电场本地环境条件校核，诸如：气温、</w:t>
      </w:r>
      <w:r>
        <w:rPr>
          <w:spacing w:val="-2"/>
        </w:rPr>
        <w:t>风速、湿度、污秽、海拔、地震、覆冰等条件。普通状况下按《导体</w:t>
      </w:r>
      <w:r>
        <w:rPr>
          <w:spacing w:val="-2"/>
        </w:rPr>
        <w:t>和电器选择设计技术规定》执行，对风电场设计来说，应重视高海拔</w:t>
      </w:r>
      <w:r>
        <w:rPr>
          <w:spacing w:val="-7"/>
        </w:rPr>
        <w:t>时电气设备外绝缘的校验和地区污秽等级的拟定，根据需要向制造部</w:t>
      </w:r>
      <w:r>
        <w:rPr>
          <w:spacing w:val="-2"/>
        </w:rPr>
        <w:t>门提🎧补充规定制订符合本地条件的产品。</w:t>
      </w:r>
    </w:p>
    <w:p>
      <w:pPr>
        <w:pStyle w:val="ListParagraph"/>
        <w:numPr>
          <w:ilvl w:val="2"/>
          <w:numId w:val="66"/>
        </w:numPr>
        <w:tabs>
          <w:tab w:val="left" w:pos="1676"/>
        </w:tabs>
        <w:spacing w:before="0" w:after="0" w:line="240" w:lineRule="auto"/>
        <w:ind w:left="1675" w:right="0" w:hanging="636"/>
        <w:jc w:val="both"/>
        <w:rPr>
          <w:sz w:val="28"/>
        </w:rPr>
      </w:pPr>
      <w:r>
        <w:rPr>
          <w:spacing w:val="-1"/>
          <w:sz w:val="28"/>
        </w:rPr>
        <w:t>短路电路及重要设备选择</w:t>
      </w:r>
    </w:p>
    <w:p>
      <w:pPr>
        <w:pStyle w:val="ListParagraph"/>
        <w:numPr>
          <w:ilvl w:val="3"/>
          <w:numId w:val="66"/>
        </w:numPr>
        <w:tabs>
          <w:tab w:val="left" w:pos="1885"/>
        </w:tabs>
        <w:spacing w:before="203" w:after="0" w:line="240" w:lineRule="auto"/>
        <w:ind w:left="1884" w:right="0" w:hanging="845"/>
        <w:jc w:val="both"/>
        <w:rPr>
          <w:sz w:val="28"/>
        </w:rPr>
      </w:pPr>
      <w:r>
        <w:rPr>
          <w:spacing w:val="-2"/>
          <w:sz w:val="28"/>
        </w:rPr>
        <w:t>短路电流水平</w:t>
      </w:r>
    </w:p>
    <w:p>
      <w:pPr>
        <w:pStyle w:val="BodyText"/>
        <w:spacing w:before="202"/>
        <w:ind w:left="1040" w:firstLine="0"/>
      </w:pPr>
      <w:r>
        <w:rPr>
          <w:spacing w:val="-3"/>
        </w:rPr>
        <w:t>根据国家电网公司“风电场电气系统典型设计”的系统卷，风电场</w:t>
      </w:r>
    </w:p>
    <w:p>
      <w:pPr>
        <w:spacing w:after="0"/>
        <w:sectPr>
          <w:pgSz w:w="11910" w:h="16840"/>
          <w:pgMar w:top="1480" w:right="820" w:bottom="280" w:left="1320" w:header="708" w:footer="708"/>
          <w:pgNumType w:start="21"/>
          <w:cols w:space="708"/>
        </w:sectPr>
      </w:pPr>
    </w:p>
    <w:p>
      <w:pPr>
        <w:pStyle w:val="BodyText"/>
        <w:spacing w:before="10" w:line="355" w:lineRule="auto"/>
        <w:ind w:right="978" w:firstLine="0"/>
      </w:pPr>
      <w:r>
        <w:rPr>
          <w:spacing w:val="-4"/>
        </w:rPr>
        <w:t>的短路电流水平应考虑到系统将来的发展，前期及初设阶段，短路电</w:t>
      </w:r>
      <w:r>
        <w:rPr>
          <w:spacing w:val="-2"/>
        </w:rPr>
        <w:t>流水平估算以下：</w:t>
      </w:r>
    </w:p>
    <w:p>
      <w:pPr>
        <w:pStyle w:val="BodyText"/>
        <w:ind w:left="1040" w:firstLine="0"/>
      </w:pPr>
      <w:r>
        <w:t>330kV/50kA；220</w:t>
      </w:r>
      <w:r>
        <w:rPr>
          <w:spacing w:val="-16"/>
        </w:rPr>
        <w:t xml:space="preserve"> </w:t>
      </w:r>
      <w:r>
        <w:t>kV/50</w:t>
      </w:r>
      <w:r>
        <w:rPr>
          <w:spacing w:val="-13"/>
        </w:rPr>
        <w:t xml:space="preserve"> 或 </w:t>
      </w:r>
      <w:r>
        <w:rPr>
          <w:spacing w:val="-2"/>
        </w:rPr>
        <w:t>40kA；110kV/31.5kA；66kV/31.5kA；</w:t>
      </w:r>
    </w:p>
    <w:p>
      <w:pPr>
        <w:pStyle w:val="BodyText"/>
        <w:spacing w:before="202"/>
        <w:ind w:firstLine="0"/>
      </w:pPr>
      <w:r>
        <w:t>35kV/31.5</w:t>
      </w:r>
      <w:r>
        <w:rPr>
          <w:spacing w:val="-5"/>
        </w:rPr>
        <w:t xml:space="preserve"> 或 </w:t>
      </w:r>
      <w:r>
        <w:t>20kA；10kV/40</w:t>
      </w:r>
      <w:r>
        <w:rPr>
          <w:spacing w:val="-5"/>
        </w:rPr>
        <w:t xml:space="preserve"> 或 </w:t>
      </w:r>
      <w:r>
        <w:t>31.5</w:t>
      </w:r>
      <w:r>
        <w:rPr>
          <w:spacing w:val="-5"/>
        </w:rPr>
        <w:t xml:space="preserve"> 或 </w:t>
      </w:r>
      <w:r>
        <w:t>25kA</w:t>
      </w:r>
      <w:r>
        <w:rPr>
          <w:spacing w:val="26"/>
        </w:rPr>
        <w:t xml:space="preserve"> 。</w:t>
      </w:r>
    </w:p>
    <w:p>
      <w:pPr>
        <w:pStyle w:val="BodyText"/>
        <w:spacing w:before="203" w:line="355" w:lineRule="auto"/>
        <w:ind w:right="978"/>
      </w:pPr>
      <w:r>
        <w:rPr>
          <w:spacing w:val="-12"/>
        </w:rPr>
        <w:t>进入技施阶段后，上述各级电压的短路电流水平需根据接入系统</w:t>
      </w:r>
      <w:r>
        <w:rPr>
          <w:spacing w:val="-2"/>
        </w:rPr>
        <w:t>给定的参数复核后拟定。</w:t>
      </w:r>
    </w:p>
    <w:p>
      <w:pPr>
        <w:pStyle w:val="ListParagraph"/>
        <w:numPr>
          <w:ilvl w:val="3"/>
          <w:numId w:val="66"/>
        </w:numPr>
        <w:tabs>
          <w:tab w:val="left" w:pos="1885"/>
        </w:tabs>
        <w:spacing w:before="0" w:after="0" w:line="240" w:lineRule="auto"/>
        <w:ind w:left="1884" w:right="0" w:hanging="845"/>
        <w:jc w:val="left"/>
        <w:rPr>
          <w:sz w:val="28"/>
        </w:rPr>
      </w:pPr>
      <w:r>
        <w:rPr>
          <w:spacing w:val="-2"/>
          <w:sz w:val="28"/>
        </w:rPr>
        <w:t>电气设备选择原则</w:t>
      </w:r>
    </w:p>
    <w:p>
      <w:pPr>
        <w:pStyle w:val="BodyText"/>
        <w:spacing w:before="202" w:line="355" w:lineRule="auto"/>
        <w:ind w:right="838"/>
        <w:jc w:val="both"/>
      </w:pPr>
      <w:r>
        <w:rPr>
          <w:spacing w:val="-8"/>
        </w:rPr>
        <w:t>风电场合涉及到的大部分电气设备</w:t>
      </w:r>
      <w:r>
        <w:rPr>
          <w:spacing w:val="-2"/>
        </w:rPr>
        <w:t>（</w:t>
      </w:r>
      <w:r>
        <w:rPr>
          <w:spacing w:val="-17"/>
        </w:rPr>
        <w:t>风机、主变压器、美式箱变、</w:t>
      </w:r>
      <w:r>
        <w:rPr>
          <w:spacing w:val="-2"/>
        </w:rPr>
        <w:t>多个高低压电器、高压电缆及附件、计算机监控设备，光纤通信等</w:t>
      </w:r>
      <w:r>
        <w:rPr>
          <w:spacing w:val="-218"/>
        </w:rPr>
        <w:t>）</w:t>
      </w:r>
      <w:r>
        <w:rPr>
          <w:spacing w:val="-8"/>
        </w:rPr>
        <w:t>，</w:t>
      </w:r>
      <w:r>
        <w:rPr>
          <w:spacing w:val="-11"/>
        </w:rPr>
        <w:t>现在国内市场均能制造，因此应选择国内</w:t>
      </w:r>
      <w:r>
        <w:t>🎧</w:t>
      </w:r>
      <w:r>
        <w:rPr>
          <w:spacing w:val="-13"/>
        </w:rPr>
        <w:t>名品牌，且以低能耗为主。</w:t>
      </w:r>
    </w:p>
    <w:p>
      <w:pPr>
        <w:pStyle w:val="ListParagraph"/>
        <w:numPr>
          <w:ilvl w:val="0"/>
          <w:numId w:val="51"/>
        </w:numPr>
        <w:tabs>
          <w:tab w:val="left" w:pos="1749"/>
        </w:tabs>
        <w:spacing w:before="0" w:after="0" w:line="240" w:lineRule="auto"/>
        <w:ind w:left="1748" w:right="0" w:hanging="709"/>
        <w:jc w:val="left"/>
        <w:rPr>
          <w:sz w:val="28"/>
        </w:rPr>
      </w:pPr>
      <w:r>
        <w:rPr>
          <w:spacing w:val="-2"/>
          <w:sz w:val="28"/>
        </w:rPr>
        <w:t>主变压器选择</w:t>
      </w:r>
    </w:p>
    <w:p>
      <w:pPr>
        <w:pStyle w:val="BodyText"/>
        <w:spacing w:before="202" w:line="355" w:lineRule="auto"/>
        <w:ind w:right="978"/>
        <w:jc w:val="both"/>
      </w:pPr>
      <w:r>
        <w:rPr>
          <w:spacing w:val="-4"/>
        </w:rPr>
        <w:t>风电场的主变压器普通采用油浸式、低损耗、双绕组有载调压升</w:t>
      </w:r>
      <w:r>
        <w:rPr>
          <w:spacing w:val="-9"/>
        </w:rPr>
        <w:t xml:space="preserve">压变压器，现在可选用 </w:t>
      </w:r>
      <w:r>
        <w:t>10</w:t>
      </w:r>
      <w:r>
        <w:rPr>
          <w:spacing w:val="-9"/>
        </w:rPr>
        <w:t xml:space="preserve"> 型或 </w:t>
      </w:r>
      <w:r>
        <w:t>11</w:t>
      </w:r>
      <w:r>
        <w:rPr>
          <w:spacing w:val="-10"/>
        </w:rPr>
        <w:t xml:space="preserve"> 型产品，有载调压开关选用国际品</w:t>
      </w:r>
      <w:r>
        <w:t>牌。接线组别为 Ynd11。</w:t>
      </w:r>
    </w:p>
    <w:p>
      <w:pPr>
        <w:pStyle w:val="BodyText"/>
        <w:ind w:left="1040" w:firstLine="0"/>
        <w:jc w:val="both"/>
      </w:pPr>
      <w:r>
        <w:rPr>
          <w:spacing w:val="3"/>
        </w:rPr>
        <w:t>① 主变压器相数的选择</w:t>
      </w:r>
    </w:p>
    <w:p>
      <w:pPr>
        <w:pStyle w:val="BodyText"/>
        <w:spacing w:before="202" w:line="355" w:lineRule="auto"/>
        <w:ind w:right="977"/>
        <w:jc w:val="both"/>
      </w:pPr>
      <w:r>
        <w:rPr>
          <w:spacing w:val="-1"/>
        </w:rPr>
        <w:t xml:space="preserve">我国现在为风电场制造的三相大容量变压器，容量为 </w:t>
      </w:r>
      <w:r>
        <w:t>720MW，电压为超高压 330 kV，主变压器容量为 3×240MVA。因此建议，凡不超🎧 240MVA 容量的主变压器应尽量选用三相式（只要运输条件</w:t>
      </w:r>
      <w:r>
        <w:rPr>
          <w:spacing w:val="-4"/>
        </w:rPr>
        <w:t>允许</w:t>
      </w:r>
      <w:r>
        <w:rPr>
          <w:spacing w:val="-140"/>
        </w:rPr>
        <w:t>）</w:t>
      </w:r>
      <w:r>
        <w:rPr>
          <w:spacing w:val="-4"/>
        </w:rPr>
        <w:t>。</w:t>
      </w:r>
    </w:p>
    <w:p>
      <w:pPr>
        <w:pStyle w:val="BodyText"/>
        <w:ind w:left="1040" w:firstLine="0"/>
        <w:jc w:val="both"/>
      </w:pPr>
      <w:r>
        <w:rPr>
          <w:spacing w:val="-8"/>
        </w:rPr>
        <w:t xml:space="preserve">② 主变压器应采用有载调压方式，并且分接头应为 </w:t>
      </w:r>
      <w:r>
        <w:rPr>
          <w:spacing w:val="-2"/>
        </w:rPr>
        <w:t>U0±8×1.25%</w:t>
      </w:r>
    </w:p>
    <w:p>
      <w:pPr>
        <w:pStyle w:val="BodyText"/>
        <w:spacing w:before="203"/>
        <w:ind w:firstLine="0"/>
      </w:pPr>
      <w:r>
        <w:rPr>
          <w:spacing w:val="-3"/>
        </w:rPr>
        <w:t>的形式。</w:t>
      </w:r>
    </w:p>
    <w:p>
      <w:pPr>
        <w:pStyle w:val="BodyText"/>
        <w:spacing w:before="202"/>
        <w:ind w:left="1040" w:firstLine="0"/>
      </w:pPr>
      <w:r>
        <w:rPr>
          <w:spacing w:val="3"/>
        </w:rPr>
        <w:t>③ 主变压器容量的选择</w:t>
      </w:r>
    </w:p>
    <w:p>
      <w:pPr>
        <w:spacing w:after="0"/>
        <w:sectPr>
          <w:pgSz w:w="11910" w:h="16840"/>
          <w:pgMar w:top="1480" w:right="820" w:bottom="280" w:left="1320" w:header="708" w:footer="708"/>
          <w:pgNumType w:start="22"/>
          <w:cols w:space="708"/>
        </w:sectPr>
      </w:pPr>
    </w:p>
    <w:p>
      <w:pPr>
        <w:pStyle w:val="BodyText"/>
        <w:spacing w:before="10" w:line="355" w:lineRule="auto"/>
        <w:ind w:right="885"/>
        <w:jc w:val="both"/>
      </w:pPr>
      <w:r>
        <w:rPr>
          <w:spacing w:val="-2"/>
        </w:rPr>
        <w:t>选择主变压器容量时，考虑风力发电场负荷率较低的实际状况，</w:t>
      </w:r>
      <w:r>
        <w:t>及风力发电机组的功率因数在 1</w:t>
      </w:r>
      <w:r>
        <w:rPr>
          <w:spacing w:val="-11"/>
        </w:rPr>
        <w:t xml:space="preserve"> 左右，能够选择等于风电场发电容量</w:t>
      </w:r>
      <w:r>
        <w:rPr>
          <w:spacing w:val="-2"/>
        </w:rPr>
        <w:t>的主变压器。这有下列两方面的因素：</w:t>
      </w:r>
    </w:p>
    <w:p>
      <w:pPr>
        <w:pStyle w:val="BodyText"/>
        <w:spacing w:line="355" w:lineRule="auto"/>
        <w:ind w:right="978"/>
        <w:jc w:val="both"/>
      </w:pPr>
      <w:r>
        <w:rPr>
          <w:spacing w:val="-2"/>
        </w:rPr>
        <w:t>一是风电场风力发电机的布置总会造成风力机间尾流和复杂地</w:t>
      </w:r>
      <w:r>
        <w:rPr>
          <w:spacing w:val="-12"/>
        </w:rPr>
        <w:t>形条件下的紊流，因此总不会</w:t>
      </w:r>
      <w:r>
        <w:rPr>
          <w:spacing w:val="-2"/>
        </w:rPr>
        <w:t>🎧现全部机组在最佳风速时满🎧力的状</w:t>
      </w:r>
      <w:r>
        <w:rPr>
          <w:spacing w:val="-6"/>
        </w:rPr>
        <w:t>况。</w:t>
      </w:r>
    </w:p>
    <w:p>
      <w:pPr>
        <w:pStyle w:val="BodyText"/>
        <w:spacing w:line="355" w:lineRule="auto"/>
        <w:ind w:right="885"/>
        <w:jc w:val="both"/>
      </w:pPr>
      <w:r>
        <w:rPr>
          <w:spacing w:val="-2"/>
        </w:rPr>
        <w:t>二是风场大风月不在夏季，往往在冬季和春季，这时主变周边的</w:t>
      </w:r>
      <w:r>
        <w:rPr>
          <w:spacing w:val="-2"/>
        </w:rPr>
        <w:t>环境温度较低，主变油箱上层油温在一定程度内能适应过负荷运行，</w:t>
      </w:r>
      <w:r>
        <w:t>变压器正常允许过负荷能力见国标 GB/T15164-油浸式电力变压器负载导则的表 1。</w:t>
      </w:r>
    </w:p>
    <w:p>
      <w:pPr>
        <w:pStyle w:val="BodyText"/>
        <w:ind w:left="1040" w:firstLine="0"/>
        <w:jc w:val="both"/>
      </w:pPr>
      <w:r>
        <w:rPr>
          <w:spacing w:val="2"/>
        </w:rPr>
        <w:t>➃ 全星形接线变压器的使用</w:t>
      </w:r>
    </w:p>
    <w:p>
      <w:pPr>
        <w:pStyle w:val="BodyText"/>
        <w:spacing w:before="202" w:line="355" w:lineRule="auto"/>
        <w:ind w:right="837"/>
      </w:pPr>
      <w:r>
        <w:rPr>
          <w:spacing w:val="-11"/>
        </w:rPr>
        <w:t xml:space="preserve">风电场集电线路中电缆较多时，其电容电流往往达成 </w:t>
      </w:r>
      <w:r>
        <w:t>200A</w:t>
      </w:r>
      <w:r>
        <w:rPr>
          <w:spacing w:val="-6"/>
        </w:rPr>
        <w:t xml:space="preserve"> 左右，</w:t>
      </w:r>
      <w:r>
        <w:rPr>
          <w:spacing w:val="-2"/>
        </w:rPr>
        <w:t>这样大的电容电流，当发生单相接地故障时，会严重威胁电气设备的</w:t>
      </w:r>
      <w:r>
        <w:rPr>
          <w:spacing w:val="-3"/>
        </w:rPr>
        <w:t xml:space="preserve">绝缘。特别是 </w:t>
      </w:r>
      <w:r>
        <w:t>35kV</w:t>
      </w:r>
      <w:r>
        <w:rPr>
          <w:spacing w:val="-6"/>
        </w:rPr>
        <w:t xml:space="preserve"> 电缆终端的电气安全。此时 </w:t>
      </w:r>
      <w:r>
        <w:t>35kV</w:t>
      </w:r>
      <w:r>
        <w:rPr>
          <w:spacing w:val="-5"/>
        </w:rPr>
        <w:t xml:space="preserve"> 系统的中性点，</w:t>
      </w:r>
      <w:r>
        <w:rPr>
          <w:spacing w:val="-2"/>
        </w:rPr>
        <w:t>往往采用低电阻接地方式，因此会使用全星形接线变压器。</w:t>
      </w:r>
    </w:p>
    <w:p>
      <w:pPr>
        <w:pStyle w:val="ListParagraph"/>
        <w:numPr>
          <w:ilvl w:val="0"/>
          <w:numId w:val="51"/>
        </w:numPr>
        <w:tabs>
          <w:tab w:val="left" w:pos="1749"/>
        </w:tabs>
        <w:spacing w:before="0" w:after="0" w:line="240" w:lineRule="auto"/>
        <w:ind w:left="1748" w:right="0" w:hanging="709"/>
        <w:jc w:val="left"/>
        <w:rPr>
          <w:sz w:val="28"/>
        </w:rPr>
      </w:pPr>
      <w:r>
        <w:rPr>
          <w:spacing w:val="-1"/>
          <w:sz w:val="28"/>
        </w:rPr>
        <w:t>站内高压配电装置形式选择</w:t>
      </w:r>
    </w:p>
    <w:p>
      <w:pPr>
        <w:pStyle w:val="BodyText"/>
        <w:spacing w:before="202" w:line="355" w:lineRule="auto"/>
        <w:ind w:right="978"/>
      </w:pPr>
      <w:r>
        <w:rPr>
          <w:spacing w:val="-7"/>
        </w:rPr>
        <w:t>风电场升压站站内配电装置选择应遵照原则《高压配电装置设计</w:t>
      </w:r>
      <w:r>
        <w:rPr>
          <w:spacing w:val="-2"/>
        </w:rPr>
        <w:t>技术规程》DL/T5352-，对风电场的特殊性宜采用下列作法：</w:t>
      </w:r>
    </w:p>
    <w:p>
      <w:pPr>
        <w:pStyle w:val="BodyText"/>
        <w:spacing w:line="355" w:lineRule="auto"/>
        <w:ind w:right="901"/>
        <w:jc w:val="both"/>
      </w:pPr>
      <w:r>
        <w:t>① 我国现在大规模风电场直接上网的最高电压为 330kV，因此站内 220（330）kV、110（66）kV 配电装置设备可根据本地环境条</w:t>
      </w:r>
      <w:r>
        <w:rPr>
          <w:spacing w:val="-1"/>
        </w:rPr>
        <w:t xml:space="preserve">件与结合电网规定，采用敞开式配电装置或 </w:t>
      </w:r>
      <w:r>
        <w:t>GIS</w:t>
      </w:r>
      <w:r>
        <w:rPr>
          <w:spacing w:val="-5"/>
        </w:rPr>
        <w:t xml:space="preserve"> 配电装置，普通状况</w:t>
      </w:r>
      <w:r>
        <w:rPr>
          <w:spacing w:val="-1"/>
        </w:rPr>
        <w:t xml:space="preserve">采用敞开式，对沿海地区或受其它环境因素影响也可采用 </w:t>
      </w:r>
      <w:r>
        <w:t>GIS</w:t>
      </w:r>
      <w:r>
        <w:rPr>
          <w:spacing w:val="-5"/>
        </w:rPr>
        <w:t xml:space="preserve"> 设备。</w:t>
      </w:r>
    </w:p>
    <w:p>
      <w:pPr>
        <w:spacing w:after="0" w:line="355" w:lineRule="auto"/>
        <w:jc w:val="both"/>
        <w:sectPr>
          <w:pgSz w:w="11910" w:h="16840"/>
          <w:pgMar w:top="1480" w:right="820" w:bottom="280" w:left="1320" w:header="708" w:footer="708"/>
          <w:pgNumType w:start="23"/>
          <w:cols w:space="708"/>
        </w:sectPr>
      </w:pPr>
    </w:p>
    <w:p>
      <w:pPr>
        <w:pStyle w:val="BodyText"/>
        <w:spacing w:before="10" w:line="355" w:lineRule="auto"/>
        <w:ind w:right="838"/>
      </w:pPr>
      <w:r>
        <w:t>② 选择高压断路器的普通技术条件是 7 项：额定电压、额定电</w:t>
      </w:r>
      <w:r>
        <w:rPr>
          <w:spacing w:val="-19"/>
        </w:rPr>
        <w:t>流、机械荷载、额定开断电流、短路热稳定、短路动稳定和绝缘水平。</w:t>
      </w:r>
      <w:r>
        <w:t>风电场升压站低压侧（35</w:t>
      </w:r>
      <w:r>
        <w:rPr>
          <w:spacing w:val="-20"/>
        </w:rPr>
        <w:t xml:space="preserve"> </w:t>
      </w:r>
      <w:r>
        <w:t>kV</w:t>
      </w:r>
      <w:r>
        <w:rPr>
          <w:spacing w:val="-13"/>
        </w:rPr>
        <w:t xml:space="preserve"> 或 </w:t>
      </w:r>
      <w:r>
        <w:rPr>
          <w:spacing w:val="23"/>
        </w:rPr>
        <w:t>10kV</w:t>
      </w:r>
      <w:r>
        <w:rPr>
          <w:spacing w:val="-116"/>
        </w:rPr>
        <w:t>）</w:t>
      </w:r>
      <w:r>
        <w:t>，现在使用的真空断路器居多,高压侧（110kV 或 220kV）使用的 SF6 断路器居多，而在接入系统报告中，电力部门普通均按 31.5kA 短路电流来预先规定，但对工程的</w:t>
      </w:r>
      <w:r>
        <w:rPr>
          <w:spacing w:val="-2"/>
        </w:rPr>
        <w:t>技施设计则应具体校验。</w:t>
      </w:r>
    </w:p>
    <w:p>
      <w:pPr>
        <w:pStyle w:val="BodyText"/>
        <w:spacing w:line="355" w:lineRule="auto"/>
        <w:ind w:right="977"/>
      </w:pPr>
      <w:r>
        <w:t>风电场升压站内 35kV 或 10kV 户内配电装置采用金属封闭开关</w:t>
      </w:r>
      <w:r>
        <w:rPr>
          <w:spacing w:val="-2"/>
        </w:rPr>
        <w:t>柜，普通地区选用手车式，高海拔地区可选用固定式。</w:t>
      </w:r>
    </w:p>
    <w:p>
      <w:pPr>
        <w:pStyle w:val="BodyText"/>
        <w:spacing w:line="355" w:lineRule="auto"/>
        <w:ind w:right="978"/>
      </w:pPr>
      <w:r>
        <w:rPr>
          <w:spacing w:val="-1"/>
        </w:rPr>
        <w:t xml:space="preserve">③ 选择高压隔离开关的普通技术条件是 </w:t>
      </w:r>
      <w:r>
        <w:t>6</w:t>
      </w:r>
      <w:r>
        <w:rPr>
          <w:spacing w:val="-3"/>
        </w:rPr>
        <w:t xml:space="preserve"> 项：额定电压、额定</w:t>
      </w:r>
      <w:r>
        <w:rPr>
          <w:spacing w:val="-2"/>
        </w:rPr>
        <w:t>电流、机械荷载、短路热稳定、短路动稳定和绝缘水平。</w:t>
      </w:r>
    </w:p>
    <w:p>
      <w:pPr>
        <w:pStyle w:val="BodyText"/>
        <w:spacing w:line="355" w:lineRule="auto"/>
        <w:ind w:right="977"/>
        <w:jc w:val="both"/>
      </w:pPr>
      <w:r>
        <w:rPr>
          <w:spacing w:val="-2"/>
        </w:rPr>
        <w:t>风电场升压站低压侧（35kV</w:t>
      </w:r>
      <w:r>
        <w:rPr>
          <w:spacing w:val="-5"/>
        </w:rPr>
        <w:t xml:space="preserve"> 或 </w:t>
      </w:r>
      <w:r>
        <w:rPr>
          <w:spacing w:val="19"/>
        </w:rPr>
        <w:t>10kV</w:t>
      </w:r>
      <w:r>
        <w:rPr>
          <w:spacing w:val="-116"/>
        </w:rPr>
        <w:t>）</w:t>
      </w:r>
      <w:r>
        <w:rPr>
          <w:spacing w:val="-2"/>
        </w:rPr>
        <w:t>，现在使用的多为高压开</w:t>
      </w:r>
      <w:r>
        <w:rPr>
          <w:spacing w:val="-4"/>
        </w:rPr>
        <w:t>关柜（交流金属封闭开关设备）因此隔离开关多为屋内型，早期建设</w:t>
      </w:r>
      <w:r>
        <w:t>的风电场升压站，35kV 侧也有采用屋外敞开式的配电装置，基本采用 GW4 型隔离开关。</w:t>
      </w:r>
    </w:p>
    <w:p>
      <w:pPr>
        <w:pStyle w:val="BodyText"/>
        <w:spacing w:line="355" w:lineRule="auto"/>
        <w:ind w:right="838"/>
      </w:pPr>
      <w:r>
        <w:t>风电场升压站高压侧（110kV 或 220kV）使用的隔离开关多为 GW4 型隔离开关或 GW7 型隔离开关，少数采用单柱剪刀型 GW6 隔</w:t>
      </w:r>
      <w:r>
        <w:rPr>
          <w:spacing w:val="-20"/>
        </w:rPr>
        <w:t>离开关，运行实践证明由于风场风大，有操作拉弧而酿成事故的案例，</w:t>
      </w:r>
      <w:r>
        <w:t>因此新建风场普通不采用 GW6 隔离开关。在接入系统报告中，电力部门普通均按 31.5kA 短路电流来预先规定，但对工程的技施设计则</w:t>
      </w:r>
      <w:r>
        <w:rPr>
          <w:spacing w:val="-2"/>
        </w:rPr>
        <w:t>应具体校验。</w:t>
      </w:r>
    </w:p>
    <w:p>
      <w:pPr>
        <w:pStyle w:val="BodyText"/>
        <w:spacing w:line="355" w:lineRule="auto"/>
        <w:ind w:right="977"/>
      </w:pPr>
      <w:r>
        <w:rPr>
          <w:spacing w:val="8"/>
        </w:rPr>
        <w:t xml:space="preserve">➃ </w:t>
      </w:r>
      <w:r>
        <w:t>3～35kV</w:t>
      </w:r>
      <w:r>
        <w:rPr>
          <w:spacing w:val="-5"/>
        </w:rPr>
        <w:t xml:space="preserve"> 电流互感器宜选用树脂浇注构造，</w:t>
      </w:r>
      <w:r>
        <w:t>66kV</w:t>
      </w:r>
      <w:r>
        <w:rPr>
          <w:spacing w:val="-5"/>
        </w:rPr>
        <w:t xml:space="preserve"> 及以上宜采</w:t>
      </w:r>
      <w:r>
        <w:rPr>
          <w:spacing w:val="-2"/>
        </w:rPr>
        <w:t>用油浸绝缘构造式。</w:t>
      </w:r>
    </w:p>
    <w:p>
      <w:pPr>
        <w:spacing w:after="0" w:line="355" w:lineRule="auto"/>
        <w:sectPr>
          <w:pgSz w:w="11910" w:h="16840"/>
          <w:pgMar w:top="1480" w:right="820" w:bottom="280" w:left="1320" w:header="708" w:footer="708"/>
          <w:pgNumType w:start="24"/>
          <w:cols w:space="708"/>
        </w:sectPr>
      </w:pPr>
    </w:p>
    <w:p>
      <w:pPr>
        <w:pStyle w:val="BodyText"/>
        <w:spacing w:before="10" w:line="355" w:lineRule="auto"/>
        <w:ind w:right="977"/>
      </w:pPr>
      <w:r>
        <w:rPr>
          <w:spacing w:val="8"/>
        </w:rPr>
        <w:t xml:space="preserve">⑤ </w:t>
      </w:r>
      <w:r>
        <w:t>3～35kV</w:t>
      </w:r>
      <w:r>
        <w:rPr>
          <w:spacing w:val="-5"/>
        </w:rPr>
        <w:t xml:space="preserve"> 电压互感器宜选用树脂浇注构造，</w:t>
      </w:r>
      <w:r>
        <w:t>66kV</w:t>
      </w:r>
      <w:r>
        <w:rPr>
          <w:spacing w:val="-5"/>
        </w:rPr>
        <w:t xml:space="preserve"> 及以上宜采</w:t>
      </w:r>
      <w:r>
        <w:rPr>
          <w:spacing w:val="-2"/>
        </w:rPr>
        <w:t>用油浸绝缘构造式电磁式或电容式电压互感器。</w:t>
      </w:r>
    </w:p>
    <w:p>
      <w:pPr>
        <w:pStyle w:val="BodyText"/>
        <w:spacing w:line="355" w:lineRule="auto"/>
        <w:ind w:right="978"/>
      </w:pPr>
      <w:r>
        <w:rPr>
          <w:spacing w:val="40"/>
        </w:rPr>
        <w:t xml:space="preserve">⑥ </w:t>
      </w:r>
      <w:r>
        <w:t>66kV 及以上配电装置内的过电压保护宜采用金属氧化物避</w:t>
      </w:r>
      <w:r>
        <w:rPr>
          <w:spacing w:val="-4"/>
        </w:rPr>
        <w:t>雷器。</w:t>
      </w:r>
    </w:p>
    <w:p>
      <w:pPr>
        <w:pStyle w:val="ListParagraph"/>
        <w:numPr>
          <w:ilvl w:val="0"/>
          <w:numId w:val="51"/>
        </w:numPr>
        <w:tabs>
          <w:tab w:val="left" w:pos="1749"/>
        </w:tabs>
        <w:spacing w:before="0" w:after="0" w:line="240" w:lineRule="auto"/>
        <w:ind w:left="1748" w:right="0" w:hanging="709"/>
        <w:jc w:val="left"/>
        <w:rPr>
          <w:sz w:val="28"/>
        </w:rPr>
      </w:pPr>
      <w:r>
        <w:rPr>
          <w:spacing w:val="-1"/>
          <w:sz w:val="28"/>
        </w:rPr>
        <w:t>站内接地变、站用变设备的选择</w:t>
      </w:r>
    </w:p>
    <w:p>
      <w:pPr>
        <w:pStyle w:val="BodyText"/>
        <w:spacing w:before="202" w:line="355" w:lineRule="auto"/>
        <w:ind w:right="978"/>
        <w:jc w:val="both"/>
      </w:pPr>
      <w:r>
        <w:t>① 当升压站内低压侧系统采用消弧线圈接地时，接地变和站用</w:t>
      </w:r>
      <w:r>
        <w:rPr>
          <w:spacing w:val="-2"/>
        </w:rPr>
        <w:t>变应合并。当采用低电阻接地时，接地变站用变应分开设立。</w:t>
      </w:r>
    </w:p>
    <w:p>
      <w:pPr>
        <w:pStyle w:val="BodyText"/>
        <w:spacing w:line="355" w:lineRule="auto"/>
        <w:ind w:right="977"/>
        <w:jc w:val="both"/>
      </w:pPr>
      <w:r>
        <w:rPr>
          <w:spacing w:val="-5"/>
        </w:rPr>
        <w:t>② 当接地变容量较小</w:t>
      </w:r>
      <w:r>
        <w:t>（</w:t>
      </w:r>
      <w:r>
        <w:rPr>
          <w:spacing w:val="-2"/>
        </w:rPr>
        <w:t xml:space="preserve">指低压系统电容电流不大于 </w:t>
      </w:r>
      <w:r>
        <w:t>100A，此时</w:t>
      </w:r>
      <w:r>
        <w:rPr>
          <w:spacing w:val="-2"/>
        </w:rPr>
        <w:t>采用消弧线圈接地方式</w:t>
      </w:r>
      <w:r>
        <w:rPr>
          <w:spacing w:val="-139"/>
        </w:rPr>
        <w:t>）</w:t>
      </w:r>
      <w:r>
        <w:rPr>
          <w:spacing w:val="-2"/>
        </w:rPr>
        <w:t>，且升压站内低压侧系统采用屋内盘柜式设</w:t>
      </w:r>
      <w:r>
        <w:rPr>
          <w:spacing w:val="-5"/>
        </w:rPr>
        <w:t>备时，接地变可采用干式变，与开关柜同室布置。当接地变容量较大</w:t>
      </w:r>
    </w:p>
    <w:p>
      <w:pPr>
        <w:pStyle w:val="BodyText"/>
        <w:spacing w:line="355" w:lineRule="auto"/>
        <w:ind w:right="893" w:firstLine="0"/>
        <w:jc w:val="both"/>
      </w:pPr>
      <w:r>
        <w:t>（</w:t>
      </w:r>
      <w:r>
        <w:rPr>
          <w:spacing w:val="-2"/>
        </w:rPr>
        <w:t xml:space="preserve">指低压系统电容电流不不大于 </w:t>
      </w:r>
      <w:r>
        <w:t>100A，此时采用低电阻接地方式</w:t>
      </w:r>
      <w:r>
        <w:rPr>
          <w:spacing w:val="-149"/>
        </w:rPr>
        <w:t>）</w:t>
      </w:r>
      <w:r>
        <w:rPr>
          <w:spacing w:val="-9"/>
        </w:rPr>
        <w:t>，</w:t>
      </w:r>
      <w:r>
        <w:rPr>
          <w:spacing w:val="-2"/>
        </w:rPr>
        <w:t>接地变可采用油浸式，室外布置。</w:t>
      </w:r>
    </w:p>
    <w:p>
      <w:pPr>
        <w:pStyle w:val="BodyText"/>
        <w:ind w:left="1040" w:firstLine="0"/>
        <w:jc w:val="both"/>
      </w:pPr>
      <w:r>
        <w:t>③</w:t>
      </w:r>
      <w:r>
        <w:rPr>
          <w:spacing w:val="48"/>
          <w:w w:val="150"/>
        </w:rPr>
        <w:t xml:space="preserve"> </w:t>
      </w:r>
      <w:r>
        <w:rPr>
          <w:spacing w:val="11"/>
        </w:rPr>
        <w:t>接地变压器容量应参考《导体和电器选择设计技术规定》</w:t>
      </w:r>
    </w:p>
    <w:p>
      <w:pPr>
        <w:pStyle w:val="BodyText"/>
        <w:spacing w:before="202"/>
        <w:ind w:firstLine="0"/>
        <w:jc w:val="both"/>
      </w:pPr>
      <w:r>
        <w:t>DL/T5222</w:t>
      </w:r>
      <w:r>
        <w:rPr>
          <w:spacing w:val="-3"/>
        </w:rPr>
        <w:t xml:space="preserve">-的 </w:t>
      </w:r>
      <w:r>
        <w:t>18.3</w:t>
      </w:r>
      <w:r>
        <w:rPr>
          <w:spacing w:val="-5"/>
        </w:rPr>
        <w:t xml:space="preserve"> 节计算。</w:t>
      </w:r>
    </w:p>
    <w:p>
      <w:pPr>
        <w:pStyle w:val="BodyText"/>
        <w:spacing w:before="203" w:line="355" w:lineRule="auto"/>
        <w:ind w:right="838"/>
        <w:jc w:val="both"/>
      </w:pPr>
      <w:r>
        <w:rPr>
          <w:spacing w:val="-7"/>
        </w:rPr>
        <w:t>➃ 站用变压器推荐采用干式变，且与低压场用开关柜同时布置。</w:t>
      </w:r>
      <w:r>
        <w:t>变压器采用节能型 11 或 10</w:t>
      </w:r>
      <w:r>
        <w:rPr>
          <w:spacing w:val="-10"/>
        </w:rPr>
        <w:t xml:space="preserve"> 型，接线组别 </w:t>
      </w:r>
      <w:r>
        <w:t>Dyn11</w:t>
      </w:r>
      <w:r>
        <w:rPr>
          <w:spacing w:val="-9"/>
        </w:rPr>
        <w:t>。站用变容量应参考</w:t>
      </w:r>
    </w:p>
    <w:p>
      <w:pPr>
        <w:pStyle w:val="BodyText"/>
        <w:ind w:firstLine="0"/>
        <w:jc w:val="both"/>
      </w:pPr>
      <w:r>
        <w:t>《220～500kV</w:t>
      </w:r>
      <w:r>
        <w:rPr>
          <w:spacing w:val="-13"/>
        </w:rPr>
        <w:t xml:space="preserve"> 变电所所用电设计技术规程》</w:t>
      </w:r>
      <w:r>
        <w:t>DL/T5155</w:t>
      </w:r>
      <w:r>
        <w:rPr>
          <w:spacing w:val="-3"/>
        </w:rPr>
        <w:t xml:space="preserve">-的 </w:t>
      </w:r>
      <w:r>
        <w:t>5.1</w:t>
      </w:r>
      <w:r>
        <w:rPr>
          <w:spacing w:val="-18"/>
        </w:rPr>
        <w:t xml:space="preserve"> 节计算；</w:t>
      </w:r>
    </w:p>
    <w:p>
      <w:pPr>
        <w:pStyle w:val="ListParagraph"/>
        <w:numPr>
          <w:ilvl w:val="0"/>
          <w:numId w:val="51"/>
        </w:numPr>
        <w:tabs>
          <w:tab w:val="left" w:pos="1749"/>
        </w:tabs>
        <w:spacing w:before="202" w:after="0" w:line="240" w:lineRule="auto"/>
        <w:ind w:left="1748" w:right="0" w:hanging="709"/>
        <w:jc w:val="left"/>
        <w:rPr>
          <w:sz w:val="28"/>
        </w:rPr>
      </w:pPr>
      <w:r>
        <w:rPr>
          <w:spacing w:val="-1"/>
          <w:sz w:val="28"/>
        </w:rPr>
        <w:t>站内接地电阻、消弧线圈的选择</w:t>
      </w:r>
    </w:p>
    <w:p>
      <w:pPr>
        <w:pStyle w:val="BodyText"/>
        <w:spacing w:before="202" w:line="355" w:lineRule="auto"/>
        <w:ind w:right="978"/>
        <w:jc w:val="both"/>
      </w:pPr>
      <w:r>
        <w:t>① 接地电阻设备应选择成套柜，普通状况下户外布置主变压器</w:t>
      </w:r>
      <w:r>
        <w:rPr>
          <w:spacing w:val="-4"/>
        </w:rPr>
        <w:t>中性点附近，接地电阻选择计算应参考《导体和电器选择设计技术规</w:t>
      </w:r>
      <w:r>
        <w:t>定》DL/T 5222-的 18.2.6 节；</w:t>
      </w:r>
    </w:p>
    <w:p>
      <w:pPr>
        <w:pStyle w:val="BodyText"/>
        <w:ind w:left="1040" w:firstLine="0"/>
        <w:jc w:val="both"/>
      </w:pPr>
      <w:r>
        <w:t>②</w:t>
      </w:r>
      <w:r>
        <w:rPr>
          <w:spacing w:val="51"/>
          <w:w w:val="150"/>
        </w:rPr>
        <w:t xml:space="preserve"> </w:t>
      </w:r>
      <w:r>
        <w:rPr>
          <w:spacing w:val="-1"/>
        </w:rPr>
        <w:t>消弧线圈若采用干式，可布置在与高压开关柜同室，应选用</w:t>
      </w:r>
    </w:p>
    <w:p>
      <w:pPr>
        <w:spacing w:after="0"/>
        <w:jc w:val="both"/>
        <w:sectPr>
          <w:pgSz w:w="11910" w:h="16840"/>
          <w:pgMar w:top="1480" w:right="820" w:bottom="280" w:left="1320" w:header="708" w:footer="708"/>
          <w:pgNumType w:start="25"/>
          <w:cols w:space="708"/>
        </w:sectPr>
      </w:pPr>
    </w:p>
    <w:p>
      <w:pPr>
        <w:pStyle w:val="BodyText"/>
        <w:spacing w:before="10" w:line="355" w:lineRule="auto"/>
        <w:ind w:right="978" w:firstLine="0"/>
      </w:pPr>
      <w:r>
        <w:rPr>
          <w:spacing w:val="-4"/>
        </w:rPr>
        <w:t>自动跟踪动态赔偿式，消弧线圈的选择计算应参考《导体和电器选择</w:t>
      </w:r>
      <w:r>
        <w:t>设计技术规定》DL/T 5222-的 18.1.4 和 178.1.节。</w:t>
      </w:r>
    </w:p>
    <w:p>
      <w:pPr>
        <w:pStyle w:val="ListParagraph"/>
        <w:numPr>
          <w:ilvl w:val="0"/>
          <w:numId w:val="71"/>
        </w:numPr>
        <w:tabs>
          <w:tab w:val="left" w:pos="1749"/>
        </w:tabs>
        <w:spacing w:before="0" w:after="0" w:line="240" w:lineRule="auto"/>
        <w:ind w:left="1748" w:right="0" w:hanging="709"/>
        <w:jc w:val="left"/>
        <w:rPr>
          <w:sz w:val="28"/>
        </w:rPr>
      </w:pPr>
      <w:r>
        <w:rPr>
          <w:spacing w:val="-1"/>
          <w:sz w:val="28"/>
        </w:rPr>
        <w:t>站内无功赔偿设备选择</w:t>
      </w:r>
    </w:p>
    <w:p>
      <w:pPr>
        <w:pStyle w:val="BodyText"/>
        <w:spacing w:before="202" w:line="355" w:lineRule="auto"/>
        <w:ind w:right="745"/>
      </w:pPr>
      <w:r>
        <w:rPr>
          <w:spacing w:val="6"/>
        </w:rPr>
        <w:t>电力系统普通规定大型风电场升压站设立一定容量的动态无功赔偿，以利于系统的静态稳定。由于风电场满容量运行的概率很小，</w:t>
      </w:r>
      <w:r>
        <w:rPr>
          <w:spacing w:val="-3"/>
        </w:rPr>
        <w:t>且风电机组年运用小时数普通为小时左右。从运行安全及经济性考虑，</w:t>
      </w:r>
      <w:r>
        <w:rPr>
          <w:spacing w:val="-1"/>
        </w:rPr>
        <w:t>现在使用较多的是 SV</w:t>
      </w:r>
      <w:r>
        <w:t>C</w:t>
      </w:r>
      <w:r>
        <w:rPr>
          <w:spacing w:val="-3"/>
        </w:rPr>
        <w:t xml:space="preserve"> 动态无功赔偿装置。</w:t>
      </w:r>
    </w:p>
    <w:p>
      <w:pPr>
        <w:pStyle w:val="BodyText"/>
        <w:spacing w:line="355" w:lineRule="auto"/>
        <w:ind w:right="978"/>
      </w:pPr>
      <w:r>
        <w:rPr>
          <w:spacing w:val="-6"/>
        </w:rPr>
        <w:t>对于装置的具体形式应根据接入系统的结论意见执行。方便满足</w:t>
      </w:r>
      <w:r>
        <w:rPr>
          <w:spacing w:val="-2"/>
        </w:rPr>
        <w:t>系统对风电场合规定的的无功功率的调节范畴和响应速度。</w:t>
      </w:r>
    </w:p>
    <w:p>
      <w:pPr>
        <w:pStyle w:val="BodyText"/>
        <w:ind w:left="1040" w:firstLine="0"/>
      </w:pPr>
      <w:r>
        <w:rPr>
          <w:spacing w:val="-10"/>
        </w:rPr>
        <w:t>前期及可研设计阶段，无功赔偿容量可按主变容量的</w:t>
      </w:r>
      <w:r>
        <w:t>20%</w:t>
      </w:r>
      <w:r>
        <w:rPr>
          <w:spacing w:val="-3"/>
        </w:rPr>
        <w:t>来设计。</w:t>
      </w:r>
    </w:p>
    <w:p>
      <w:pPr>
        <w:pStyle w:val="ListParagraph"/>
        <w:numPr>
          <w:ilvl w:val="0"/>
          <w:numId w:val="71"/>
        </w:numPr>
        <w:tabs>
          <w:tab w:val="left" w:pos="1749"/>
        </w:tabs>
        <w:spacing w:before="202" w:after="0" w:line="240" w:lineRule="auto"/>
        <w:ind w:left="1748" w:right="0" w:hanging="709"/>
        <w:jc w:val="left"/>
        <w:rPr>
          <w:sz w:val="28"/>
        </w:rPr>
      </w:pPr>
      <w:r>
        <w:rPr>
          <w:spacing w:val="-2"/>
          <w:sz w:val="28"/>
        </w:rPr>
        <w:t>箱式变压器的选择</w:t>
      </w:r>
    </w:p>
    <w:p>
      <w:pPr>
        <w:pStyle w:val="BodyText"/>
        <w:spacing w:before="203" w:line="355" w:lineRule="auto"/>
        <w:ind w:right="978"/>
        <w:jc w:val="both"/>
      </w:pPr>
      <w:r>
        <w:rPr>
          <w:spacing w:val="-4"/>
        </w:rPr>
        <w:t>风电场每台机组均连接一台箱式升压站，高压侧（集电线路）</w:t>
      </w:r>
      <w:r>
        <w:rPr>
          <w:spacing w:val="-4"/>
        </w:rPr>
        <w:t>电</w:t>
      </w:r>
      <w:r>
        <w:rPr>
          <w:spacing w:val="-4"/>
        </w:rPr>
        <w:t>压为不接地系统，低压侧（风力发电机组</w:t>
      </w:r>
      <w:r>
        <w:rPr>
          <w:rFonts w:ascii="仿宋" w:eastAsia="仿宋"/>
          <w:spacing w:val="-4"/>
        </w:rPr>
        <w:t>岀</w:t>
      </w:r>
      <w:r>
        <w:rPr>
          <w:spacing w:val="-4"/>
        </w:rPr>
        <w:t>口）为中性点直接接地系</w:t>
      </w:r>
      <w:r>
        <w:rPr>
          <w:spacing w:val="-6"/>
        </w:rPr>
        <w:t>统。</w:t>
      </w:r>
    </w:p>
    <w:p>
      <w:pPr>
        <w:pStyle w:val="BodyText"/>
        <w:ind w:left="1040" w:firstLine="0"/>
        <w:jc w:val="both"/>
      </w:pPr>
      <w:r>
        <w:rPr>
          <w:spacing w:val="5"/>
        </w:rPr>
        <w:t>① 箱变容量的配备</w:t>
      </w:r>
    </w:p>
    <w:p>
      <w:pPr>
        <w:pStyle w:val="BodyText"/>
        <w:spacing w:before="202" w:line="355" w:lineRule="auto"/>
        <w:ind w:right="885"/>
        <w:jc w:val="both"/>
      </w:pPr>
      <w:r>
        <w:rPr>
          <w:spacing w:val="-7"/>
        </w:rPr>
        <w:t>风力发电机组都是按单元接线配备美式箱变，其容量配备应满足</w:t>
      </w:r>
      <w:r>
        <w:rPr>
          <w:spacing w:val="-2"/>
        </w:rPr>
        <w:t>发电机的最大持续输🎧容量扣除本机组的机组自用负荷。粗略统计，</w:t>
      </w:r>
      <w:r>
        <w:t>自用电部分局限性 4%，又由于油浸变压器有一定的过负荷能力，大</w:t>
      </w:r>
      <w:r>
        <w:rPr>
          <w:spacing w:val="-2"/>
        </w:rPr>
        <w:t>风月又值环境温度较低（冬季或春秋季</w:t>
      </w:r>
      <w:r>
        <w:rPr>
          <w:spacing w:val="-139"/>
        </w:rPr>
        <w:t>）</w:t>
      </w:r>
      <w:r>
        <w:rPr>
          <w:spacing w:val="-2"/>
        </w:rPr>
        <w:t>，因此习惯做法是按机组功</w:t>
      </w:r>
      <w:r>
        <w:t>率因数 cosф＝0.95(滞后)运行时的发🎧容量，套用我国现有的变压器</w:t>
      </w:r>
      <w:r>
        <w:rPr>
          <w:spacing w:val="-2"/>
        </w:rPr>
        <w:t>系列容量或市场已含有的容量，如：</w:t>
      </w:r>
    </w:p>
    <w:p>
      <w:pPr>
        <w:pStyle w:val="BodyText"/>
        <w:ind w:left="1040" w:firstLine="0"/>
        <w:jc w:val="both"/>
      </w:pPr>
      <w:r>
        <w:rPr>
          <w:spacing w:val="-2"/>
        </w:rPr>
        <w:t xml:space="preserve">机组容量 </w:t>
      </w:r>
      <w:r>
        <w:t>750kW</w:t>
      </w:r>
      <w:r>
        <w:rPr>
          <w:spacing w:val="-1"/>
        </w:rPr>
        <w:t xml:space="preserve">--则配用变压器容量 </w:t>
      </w:r>
      <w:r>
        <w:rPr>
          <w:spacing w:val="-2"/>
        </w:rPr>
        <w:t>800kVA；</w:t>
      </w:r>
    </w:p>
    <w:p>
      <w:pPr>
        <w:spacing w:after="0"/>
        <w:jc w:val="both"/>
        <w:sectPr>
          <w:pgSz w:w="11910" w:h="16840"/>
          <w:pgMar w:top="1480" w:right="820" w:bottom="280" w:left="1320" w:header="708" w:footer="708"/>
          <w:pgNumType w:start="26"/>
          <w:cols w:space="708"/>
        </w:sectPr>
      </w:pPr>
    </w:p>
    <w:p>
      <w:pPr>
        <w:pStyle w:val="BodyText"/>
        <w:spacing w:before="10" w:line="355" w:lineRule="auto"/>
        <w:ind w:left="1040" w:right="2614" w:firstLine="0"/>
      </w:pPr>
      <w:r>
        <w:t>机组容量 850kW--则配用变压器容量 900kVA；</w:t>
      </w:r>
      <w:r>
        <w:t xml:space="preserve"> </w:t>
      </w:r>
      <w:r>
        <w:rPr>
          <w:spacing w:val="-4"/>
        </w:rPr>
        <w:t xml:space="preserve">机组容量 </w:t>
      </w:r>
      <w:r>
        <w:t>1500kW</w:t>
      </w:r>
      <w:r>
        <w:rPr>
          <w:spacing w:val="-2"/>
        </w:rPr>
        <w:t xml:space="preserve">--则配用变压器容量 </w:t>
      </w:r>
      <w:r>
        <w:t>1600kVA；</w:t>
      </w:r>
      <w:r>
        <w:t>机组容量 kW--则配用变压器容量 2100kVA。</w:t>
      </w:r>
    </w:p>
    <w:p>
      <w:pPr>
        <w:pStyle w:val="BodyText"/>
        <w:ind w:left="1040" w:firstLine="0"/>
      </w:pPr>
      <w:r>
        <w:rPr>
          <w:spacing w:val="-1"/>
        </w:rPr>
        <w:t xml:space="preserve">对更大容量机组宜按 </w:t>
      </w:r>
      <w:r>
        <w:t>1.05</w:t>
      </w:r>
      <w:r>
        <w:rPr>
          <w:spacing w:val="-4"/>
        </w:rPr>
        <w:t xml:space="preserve"> 倍配备变压器容量。</w:t>
      </w:r>
    </w:p>
    <w:p>
      <w:pPr>
        <w:pStyle w:val="BodyText"/>
        <w:spacing w:before="202"/>
        <w:ind w:left="1040" w:firstLine="0"/>
      </w:pPr>
      <w:r>
        <w:rPr>
          <w:spacing w:val="-2"/>
        </w:rPr>
        <w:t>②箱变的技术参数</w:t>
      </w:r>
    </w:p>
    <w:p>
      <w:pPr>
        <w:pStyle w:val="BodyText"/>
        <w:spacing w:before="203"/>
        <w:ind w:left="1040" w:firstLine="0"/>
      </w:pPr>
      <w:r>
        <w:rPr>
          <w:spacing w:val="-1"/>
        </w:rPr>
        <w:t>大多数风电场使用的箱式变压器是欧式变。</w:t>
      </w:r>
    </w:p>
    <w:p>
      <w:pPr>
        <w:pStyle w:val="BodyText"/>
        <w:spacing w:before="202" w:line="355" w:lineRule="auto"/>
        <w:ind w:right="881"/>
      </w:pPr>
      <w:r>
        <w:rPr>
          <w:spacing w:val="-2"/>
        </w:rPr>
        <w:t xml:space="preserve">箱式变压器的接线组别采用 </w:t>
      </w:r>
      <w:r>
        <w:t>Dyn11，变压器性能为油浸、自冷、</w:t>
      </w:r>
      <w:r>
        <w:rPr>
          <w:spacing w:val="-2"/>
        </w:rPr>
        <w:t>全密封、低损耗。</w:t>
      </w:r>
    </w:p>
    <w:p>
      <w:pPr>
        <w:pStyle w:val="BodyText"/>
        <w:ind w:left="0" w:right="928" w:firstLine="0"/>
        <w:jc w:val="right"/>
      </w:pPr>
      <w:r>
        <w:rPr>
          <w:spacing w:val="9"/>
        </w:rPr>
        <w:t>额定电压 ：</w:t>
      </w:r>
      <w:r>
        <w:t>Uo±2×2.5%/0.69kV，额定频率：50Hz，</w:t>
      </w:r>
      <w:r>
        <w:rPr>
          <w:spacing w:val="-2"/>
        </w:rPr>
        <w:t>阻抗电压：</w:t>
      </w:r>
    </w:p>
    <w:p>
      <w:pPr>
        <w:pStyle w:val="BodyText"/>
        <w:spacing w:before="202"/>
        <w:ind w:left="0" w:right="880" w:firstLine="0"/>
        <w:jc w:val="right"/>
      </w:pPr>
      <w:r>
        <w:t>6.5%，</w:t>
      </w:r>
      <w:r>
        <w:rPr>
          <w:spacing w:val="10"/>
        </w:rPr>
        <w:t xml:space="preserve">噪声水平： </w:t>
      </w:r>
      <w:r>
        <w:t>≤55dB</w:t>
      </w:r>
      <w:r>
        <w:rPr>
          <w:spacing w:val="-2"/>
        </w:rPr>
        <w:t xml:space="preserve">，损耗：按 </w:t>
      </w:r>
      <w:r>
        <w:t>11</w:t>
      </w:r>
      <w:r>
        <w:rPr>
          <w:spacing w:val="-4"/>
        </w:rPr>
        <w:t xml:space="preserve"> 型变压器的损耗原则规定。</w:t>
      </w:r>
    </w:p>
    <w:p>
      <w:pPr>
        <w:pStyle w:val="BodyText"/>
        <w:spacing w:before="203" w:line="355" w:lineRule="auto"/>
        <w:ind w:right="977"/>
        <w:jc w:val="both"/>
      </w:pPr>
      <w:r>
        <w:rPr>
          <w:spacing w:val="-12"/>
        </w:rPr>
        <w:t>③箱变内的低压侧，可根据风机厂家的技术规定设立检修用的干</w:t>
      </w:r>
      <w:r>
        <w:rPr>
          <w:spacing w:val="-3"/>
        </w:rPr>
        <w:t xml:space="preserve">式变压器，提供照明、实验电源等。额定容量为 </w:t>
      </w:r>
      <w:r>
        <w:rPr>
          <w:spacing w:val="-2"/>
        </w:rPr>
        <w:t>1000VA</w:t>
      </w:r>
      <w:r>
        <w:rPr>
          <w:spacing w:val="-6"/>
        </w:rPr>
        <w:t xml:space="preserve"> 左右，额定</w:t>
      </w:r>
      <w:r>
        <w:t>电压：高压 690V，低压：380/220V。</w:t>
      </w:r>
    </w:p>
    <w:p>
      <w:pPr>
        <w:pStyle w:val="BodyText"/>
        <w:spacing w:line="355" w:lineRule="auto"/>
        <w:ind w:right="978"/>
        <w:jc w:val="both"/>
      </w:pPr>
      <w:r>
        <w:t>➃ 箱变内的信号送到端子排，以实现遥测、遥信，通过端子排使用电缆直接送至风电机组的 PLC，将数据传输到上位机。</w:t>
      </w:r>
    </w:p>
    <w:p>
      <w:pPr>
        <w:pStyle w:val="Heading1"/>
        <w:numPr>
          <w:ilvl w:val="1"/>
          <w:numId w:val="66"/>
        </w:numPr>
        <w:tabs>
          <w:tab w:val="left" w:pos="1559"/>
        </w:tabs>
        <w:spacing w:before="0" w:after="0" w:line="240" w:lineRule="auto"/>
        <w:ind w:left="1558" w:right="0" w:hanging="519"/>
        <w:jc w:val="both"/>
      </w:pPr>
      <w:r>
        <w:rPr>
          <w:spacing w:val="-2"/>
        </w:rPr>
        <w:t>站用电系统</w:t>
      </w:r>
    </w:p>
    <w:p>
      <w:pPr>
        <w:pStyle w:val="ListParagraph"/>
        <w:numPr>
          <w:ilvl w:val="0"/>
          <w:numId w:val="50"/>
        </w:numPr>
        <w:tabs>
          <w:tab w:val="left" w:pos="1749"/>
        </w:tabs>
        <w:spacing w:before="202" w:after="0" w:line="355" w:lineRule="auto"/>
        <w:ind w:left="480" w:right="977" w:firstLine="560"/>
        <w:jc w:val="both"/>
        <w:rPr>
          <w:sz w:val="28"/>
        </w:rPr>
      </w:pPr>
      <w:r>
        <w:rPr>
          <w:sz w:val="28"/>
        </w:rPr>
        <w:t>站用电系统应参考《220～500kV 变电所所用电设计技术</w:t>
      </w:r>
      <w:r>
        <w:rPr>
          <w:sz w:val="28"/>
        </w:rPr>
        <w:t>规程》DL/T5155-的第 4 章设计。</w:t>
      </w:r>
    </w:p>
    <w:p>
      <w:pPr>
        <w:pStyle w:val="BodyText"/>
        <w:spacing w:line="355" w:lineRule="auto"/>
        <w:ind w:right="978"/>
        <w:jc w:val="both"/>
      </w:pPr>
      <w:r>
        <w:t>① 风电场升压站站用电系统应有两路独立的电源，一路引自主</w:t>
      </w:r>
      <w:r>
        <w:rPr>
          <w:spacing w:val="-4"/>
        </w:rPr>
        <w:t>变压器低压侧，另一路宜从站外电源引接，如可将原风场的施工电源</w:t>
      </w:r>
      <w:r>
        <w:rPr>
          <w:spacing w:val="-2"/>
        </w:rPr>
        <w:t>永久化或从地方升压站获得，也可设立柴油发电机组；</w:t>
      </w:r>
    </w:p>
    <w:p>
      <w:pPr>
        <w:pStyle w:val="BodyText"/>
        <w:ind w:left="1040" w:firstLine="0"/>
        <w:jc w:val="both"/>
      </w:pPr>
      <w:r>
        <w:t>②</w:t>
      </w:r>
      <w:r>
        <w:rPr>
          <w:spacing w:val="51"/>
          <w:w w:val="150"/>
        </w:rPr>
        <w:t xml:space="preserve"> </w:t>
      </w:r>
      <w:r>
        <w:rPr>
          <w:spacing w:val="-1"/>
        </w:rPr>
        <w:t>站用电系统应采用三相四线制，系统的中性点直接接地。系</w:t>
      </w:r>
    </w:p>
    <w:p>
      <w:pPr>
        <w:spacing w:after="0"/>
        <w:jc w:val="both"/>
        <w:sectPr>
          <w:pgSz w:w="11910" w:h="16840"/>
          <w:pgMar w:top="1480" w:right="820" w:bottom="280" w:left="1320" w:header="708" w:footer="708"/>
          <w:pgNumType w:start="27"/>
          <w:cols w:space="708"/>
        </w:sectPr>
      </w:pPr>
    </w:p>
    <w:p>
      <w:pPr>
        <w:pStyle w:val="BodyText"/>
        <w:spacing w:before="10"/>
        <w:ind w:firstLine="0"/>
        <w:jc w:val="both"/>
      </w:pPr>
      <w:r>
        <w:rPr>
          <w:spacing w:val="-2"/>
        </w:rPr>
        <w:t>统额定电压 380/220V；</w:t>
      </w:r>
    </w:p>
    <w:p>
      <w:pPr>
        <w:pStyle w:val="BodyText"/>
        <w:spacing w:before="202" w:line="355" w:lineRule="auto"/>
        <w:ind w:right="977"/>
        <w:jc w:val="both"/>
      </w:pPr>
      <w:r>
        <w:rPr>
          <w:spacing w:val="20"/>
        </w:rPr>
        <w:t xml:space="preserve">③ </w:t>
      </w:r>
      <w:r>
        <w:t>220kV 及以上升压站的 380/220V 站用电系统应为单母线分段接线，可由 5～6 面开关柜构成，两电源各接入一段母线。110kV及下列的升压站的 380/220V</w:t>
      </w:r>
      <w:r>
        <w:rPr>
          <w:spacing w:val="-10"/>
        </w:rPr>
        <w:t xml:space="preserve"> 站用电系统应为单母线接线。可由 </w:t>
      </w:r>
      <w:r>
        <w:t>4～5</w:t>
      </w:r>
      <w:r>
        <w:rPr>
          <w:spacing w:val="-2"/>
        </w:rPr>
        <w:t>面开关柜构成，两电源互为备用；</w:t>
      </w:r>
    </w:p>
    <w:p>
      <w:pPr>
        <w:pStyle w:val="BodyText"/>
        <w:spacing w:line="355" w:lineRule="auto"/>
        <w:ind w:right="978"/>
        <w:jc w:val="both"/>
      </w:pPr>
      <w:r>
        <w:t>➃ 低压电器、导体的选择，应满足工作电压、工作电流、分断</w:t>
      </w:r>
      <w:r>
        <w:rPr>
          <w:spacing w:val="-2"/>
        </w:rPr>
        <w:t>能力、动稳定、热稳定和周边环境的规定；</w:t>
      </w:r>
    </w:p>
    <w:p>
      <w:pPr>
        <w:pStyle w:val="BodyText"/>
        <w:spacing w:line="355" w:lineRule="auto"/>
        <w:ind w:right="978"/>
        <w:jc w:val="both"/>
      </w:pPr>
      <w:r>
        <w:t>⑤ 站用电负荷宜由站用配电屏直配供电，对重要负荷有条件时</w:t>
      </w:r>
      <w:r>
        <w:rPr>
          <w:spacing w:val="-2"/>
        </w:rPr>
        <w:t>应采用双回路供电方式；</w:t>
      </w:r>
    </w:p>
    <w:p>
      <w:pPr>
        <w:pStyle w:val="BodyText"/>
        <w:spacing w:line="355" w:lineRule="auto"/>
        <w:ind w:right="978"/>
        <w:jc w:val="both"/>
      </w:pPr>
      <w:r>
        <w:t>⑥ 断路器、隔离开关的操作及加热负荷，可采用按配电装置区</w:t>
      </w:r>
      <w:r>
        <w:rPr>
          <w:spacing w:val="-4"/>
        </w:rPr>
        <w:t>域划分，各区域分别设立环形供电网路，并在环网中间设立刀开关以</w:t>
      </w:r>
      <w:r>
        <w:rPr>
          <w:spacing w:val="-2"/>
        </w:rPr>
        <w:t>开环运行；</w:t>
      </w:r>
    </w:p>
    <w:p>
      <w:pPr>
        <w:pStyle w:val="BodyText"/>
        <w:ind w:left="1040" w:firstLine="0"/>
        <w:jc w:val="both"/>
      </w:pPr>
      <w:r>
        <w:rPr>
          <w:spacing w:val="-4"/>
        </w:rPr>
        <w:t>⑦ 检修电源网络宜采用按配电装置区域划分的单回路分支供电；</w:t>
      </w:r>
    </w:p>
    <w:p>
      <w:pPr>
        <w:pStyle w:val="ListParagraph"/>
        <w:numPr>
          <w:ilvl w:val="0"/>
          <w:numId w:val="50"/>
        </w:numPr>
        <w:tabs>
          <w:tab w:val="left" w:pos="1751"/>
        </w:tabs>
        <w:spacing w:before="202" w:after="0" w:line="355" w:lineRule="auto"/>
        <w:ind w:left="480" w:right="885" w:firstLine="560"/>
        <w:jc w:val="both"/>
        <w:rPr>
          <w:sz w:val="28"/>
        </w:rPr>
      </w:pPr>
      <w:r>
        <w:rPr>
          <w:spacing w:val="-2"/>
          <w:sz w:val="28"/>
        </w:rPr>
        <w:t>风电场升压站应设立工作照明、事故照明、变电室外照明</w:t>
      </w:r>
      <w:r>
        <w:rPr>
          <w:spacing w:val="-2"/>
          <w:sz w:val="28"/>
        </w:rPr>
        <w:t>及消防照明。照明按原则《火力发电厂和变电所照明设计技术规定》</w:t>
      </w:r>
      <w:r>
        <w:rPr>
          <w:spacing w:val="-2"/>
          <w:sz w:val="28"/>
        </w:rPr>
        <w:t xml:space="preserve"> </w:t>
      </w:r>
      <w:r>
        <w:rPr>
          <w:sz w:val="28"/>
        </w:rPr>
        <w:t>DL/T 5390-执行。</w:t>
      </w:r>
    </w:p>
    <w:p>
      <w:pPr>
        <w:pStyle w:val="BodyText"/>
        <w:spacing w:line="355" w:lineRule="auto"/>
        <w:ind w:right="978"/>
        <w:jc w:val="both"/>
      </w:pPr>
      <w:r>
        <w:t>① 变电所的道路两旁装设路灯，户外升压站四周装设落地投光</w:t>
      </w:r>
      <w:r>
        <w:rPr>
          <w:spacing w:val="-4"/>
        </w:rPr>
        <w:t>灯照明；</w:t>
      </w:r>
    </w:p>
    <w:p>
      <w:pPr>
        <w:pStyle w:val="BodyText"/>
        <w:spacing w:line="355" w:lineRule="auto"/>
        <w:ind w:right="977"/>
        <w:jc w:val="both"/>
      </w:pPr>
      <w:r>
        <w:t>② 中控室灯具规定光线柔和，无阴影，照度均匀，采用慢射配光、嵌入式栅格荧光灯。照度规定不不大于 500lx，室内照度均匀度不不大于 0.7；</w:t>
      </w:r>
    </w:p>
    <w:p>
      <w:pPr>
        <w:pStyle w:val="BodyText"/>
        <w:ind w:left="1040" w:firstLine="0"/>
        <w:jc w:val="both"/>
      </w:pPr>
      <w:r>
        <w:t>③</w:t>
      </w:r>
      <w:r>
        <w:rPr>
          <w:spacing w:val="51"/>
          <w:w w:val="150"/>
        </w:rPr>
        <w:t xml:space="preserve"> </w:t>
      </w:r>
      <w:r>
        <w:rPr>
          <w:spacing w:val="-1"/>
        </w:rPr>
        <w:t>中控楼内的办公室和原则房间采用荧光灯，照度规定不不大</w:t>
      </w:r>
    </w:p>
    <w:p>
      <w:pPr>
        <w:spacing w:after="0"/>
        <w:jc w:val="both"/>
        <w:sectPr>
          <w:pgSz w:w="11910" w:h="16840"/>
          <w:pgMar w:top="1480" w:right="820" w:bottom="280" w:left="1320" w:header="708" w:footer="708"/>
          <w:pgNumType w:start="28"/>
          <w:cols w:space="708"/>
        </w:sectPr>
      </w:pPr>
    </w:p>
    <w:p>
      <w:pPr>
        <w:pStyle w:val="BodyText"/>
        <w:spacing w:before="10"/>
        <w:ind w:firstLine="0"/>
      </w:pPr>
      <w:r>
        <w:rPr>
          <w:spacing w:val="-4"/>
        </w:rPr>
        <w:t xml:space="preserve">于 </w:t>
      </w:r>
      <w:r>
        <w:rPr>
          <w:spacing w:val="-2"/>
        </w:rPr>
        <w:t>300lx；</w:t>
      </w:r>
    </w:p>
    <w:p>
      <w:pPr>
        <w:pStyle w:val="BodyText"/>
        <w:spacing w:before="202" w:line="355" w:lineRule="auto"/>
        <w:ind w:right="978"/>
      </w:pPr>
      <w:r>
        <w:t>➃ 中控楼的主控室设事故照明，照度不不大于 30lx；楼道设立</w:t>
      </w:r>
      <w:r>
        <w:rPr>
          <w:spacing w:val="-2"/>
        </w:rPr>
        <w:t>疏散批示灯；</w:t>
      </w:r>
    </w:p>
    <w:p>
      <w:pPr>
        <w:pStyle w:val="BodyText"/>
        <w:spacing w:line="355" w:lineRule="auto"/>
        <w:ind w:right="977"/>
      </w:pPr>
      <w:r>
        <w:rPr>
          <w:spacing w:val="1"/>
        </w:rPr>
        <w:t>⑤ 高低压配电装置室的工作照明照度规定不不大于</w:t>
      </w:r>
      <w:r>
        <w:t>300lx；事故</w:t>
      </w:r>
      <w:r>
        <w:t>照明照度不不大于 10lx；</w:t>
      </w:r>
    </w:p>
    <w:p>
      <w:pPr>
        <w:pStyle w:val="BodyText"/>
        <w:ind w:left="1040" w:firstLine="0"/>
      </w:pPr>
      <w:r>
        <w:rPr>
          <w:spacing w:val="-1"/>
        </w:rPr>
        <w:t>⑥ 事故照明及疏散批示灯采用自带蓄电池的灯具。</w:t>
      </w:r>
    </w:p>
    <w:p>
      <w:pPr>
        <w:pStyle w:val="Heading1"/>
        <w:numPr>
          <w:ilvl w:val="1"/>
          <w:numId w:val="66"/>
        </w:numPr>
        <w:tabs>
          <w:tab w:val="left" w:pos="1559"/>
        </w:tabs>
        <w:spacing w:before="203" w:after="0" w:line="240" w:lineRule="auto"/>
        <w:ind w:left="1558" w:right="0" w:hanging="519"/>
        <w:jc w:val="left"/>
      </w:pPr>
      <w:r>
        <w:rPr>
          <w:spacing w:val="-2"/>
        </w:rPr>
        <w:t>电气设备布置</w:t>
      </w:r>
    </w:p>
    <w:p>
      <w:pPr>
        <w:pStyle w:val="ListParagraph"/>
        <w:numPr>
          <w:ilvl w:val="0"/>
          <w:numId w:val="49"/>
        </w:numPr>
        <w:tabs>
          <w:tab w:val="left" w:pos="1751"/>
        </w:tabs>
        <w:spacing w:before="202" w:after="0" w:line="355" w:lineRule="auto"/>
        <w:ind w:left="480" w:right="978" w:firstLine="560"/>
        <w:jc w:val="left"/>
        <w:rPr>
          <w:sz w:val="28"/>
        </w:rPr>
      </w:pPr>
      <w:r>
        <w:rPr>
          <w:spacing w:val="-2"/>
          <w:sz w:val="28"/>
        </w:rPr>
        <w:t>风电场升压站内的电气布置应遵照《高压配电装置设计技</w:t>
      </w:r>
      <w:r>
        <w:rPr>
          <w:sz w:val="28"/>
        </w:rPr>
        <w:t>术规程》DL/T 5352-。</w:t>
      </w:r>
    </w:p>
    <w:p>
      <w:pPr>
        <w:pStyle w:val="ListParagraph"/>
        <w:numPr>
          <w:ilvl w:val="0"/>
          <w:numId w:val="49"/>
        </w:numPr>
        <w:tabs>
          <w:tab w:val="left" w:pos="1749"/>
        </w:tabs>
        <w:spacing w:before="0" w:after="0" w:line="355" w:lineRule="auto"/>
        <w:ind w:left="480" w:right="792" w:firstLine="560"/>
        <w:jc w:val="left"/>
        <w:rPr>
          <w:sz w:val="28"/>
        </w:rPr>
      </w:pPr>
      <w:r>
        <w:rPr>
          <w:sz w:val="28"/>
        </w:rPr>
        <w:t>升压站内高压侧 220kV 和 110kV 配电装置应参考《国家电</w:t>
      </w:r>
      <w:r>
        <w:rPr>
          <w:spacing w:val="-1"/>
          <w:sz w:val="28"/>
        </w:rPr>
        <w:t>网公司输变电工程典型设计-220kV</w:t>
      </w:r>
      <w:r>
        <w:rPr>
          <w:spacing w:val="-8"/>
          <w:sz w:val="28"/>
        </w:rPr>
        <w:t xml:space="preserve"> 升压站分册和</w:t>
      </w:r>
      <w:r>
        <w:rPr>
          <w:spacing w:val="-1"/>
          <w:sz w:val="28"/>
        </w:rPr>
        <w:t>110kV</w:t>
      </w:r>
      <w:r>
        <w:rPr>
          <w:spacing w:val="-9"/>
          <w:sz w:val="28"/>
        </w:rPr>
        <w:t xml:space="preserve"> 升压站分册</w:t>
      </w:r>
      <w:r>
        <w:rPr>
          <w:spacing w:val="-106"/>
          <w:sz w:val="28"/>
        </w:rPr>
        <w:t>》，</w:t>
      </w:r>
      <w:r>
        <w:rPr>
          <w:spacing w:val="-2"/>
          <w:sz w:val="28"/>
        </w:rPr>
        <w:t>及“风电场电气系统典型设计变电篇”。</w:t>
      </w:r>
    </w:p>
    <w:p>
      <w:pPr>
        <w:pStyle w:val="ListParagraph"/>
        <w:numPr>
          <w:ilvl w:val="0"/>
          <w:numId w:val="49"/>
        </w:numPr>
        <w:tabs>
          <w:tab w:val="left" w:pos="1749"/>
        </w:tabs>
        <w:spacing w:before="0" w:after="0" w:line="355" w:lineRule="auto"/>
        <w:ind w:left="480" w:right="838" w:firstLine="560"/>
        <w:jc w:val="left"/>
        <w:rPr>
          <w:sz w:val="28"/>
        </w:rPr>
      </w:pPr>
      <w:r>
        <w:rPr>
          <w:spacing w:val="-3"/>
          <w:sz w:val="28"/>
        </w:rPr>
        <w:t>根据近年来风电场设计和运行的经验，由于风电场风速大</w:t>
      </w:r>
      <w:r>
        <w:rPr>
          <w:spacing w:val="-10"/>
          <w:sz w:val="28"/>
        </w:rPr>
        <w:t xml:space="preserve">，高压配电装置宜选择改善的中型布置；环境污秽或高海拔及沿海地区可采用 </w:t>
      </w:r>
      <w:r>
        <w:rPr>
          <w:sz w:val="28"/>
        </w:rPr>
        <w:t>GIS</w:t>
      </w:r>
      <w:r>
        <w:rPr>
          <w:spacing w:val="-3"/>
          <w:sz w:val="28"/>
        </w:rPr>
        <w:t xml:space="preserve"> 方案；</w:t>
      </w:r>
    </w:p>
    <w:p>
      <w:pPr>
        <w:pStyle w:val="BodyText"/>
        <w:ind w:left="1040" w:firstLine="0"/>
      </w:pPr>
      <w:r>
        <w:t>（4）35kV</w:t>
      </w:r>
      <w:r>
        <w:rPr>
          <w:spacing w:val="-5"/>
        </w:rPr>
        <w:t xml:space="preserve"> 和 </w:t>
      </w:r>
      <w:r>
        <w:t>10kV</w:t>
      </w:r>
      <w:r>
        <w:rPr>
          <w:spacing w:val="-4"/>
        </w:rPr>
        <w:t xml:space="preserve"> 配电装置宜选成套开关柜，布置在屋内；</w:t>
      </w:r>
    </w:p>
    <w:p>
      <w:pPr>
        <w:pStyle w:val="ListParagraph"/>
        <w:numPr>
          <w:ilvl w:val="0"/>
          <w:numId w:val="48"/>
        </w:numPr>
        <w:tabs>
          <w:tab w:val="left" w:pos="1749"/>
        </w:tabs>
        <w:spacing w:before="202" w:after="0" w:line="240" w:lineRule="auto"/>
        <w:ind w:left="1748" w:right="0" w:hanging="709"/>
        <w:jc w:val="left"/>
        <w:rPr>
          <w:sz w:val="28"/>
        </w:rPr>
      </w:pPr>
      <w:r>
        <w:rPr>
          <w:spacing w:val="-1"/>
          <w:sz w:val="28"/>
        </w:rPr>
        <w:t>主变压器宜布置在户外。</w:t>
      </w:r>
    </w:p>
    <w:p>
      <w:pPr>
        <w:pStyle w:val="ListParagraph"/>
        <w:numPr>
          <w:ilvl w:val="0"/>
          <w:numId w:val="48"/>
        </w:numPr>
        <w:tabs>
          <w:tab w:val="left" w:pos="1751"/>
        </w:tabs>
        <w:spacing w:before="202" w:after="0" w:line="355" w:lineRule="auto"/>
        <w:ind w:left="480" w:right="978" w:firstLine="560"/>
        <w:jc w:val="left"/>
        <w:rPr>
          <w:sz w:val="28"/>
        </w:rPr>
      </w:pPr>
      <w:r>
        <w:rPr>
          <w:spacing w:val="-2"/>
          <w:sz w:val="28"/>
        </w:rPr>
        <w:t>其它电压等级的配电装置应参考有成熟运行经验的设计成</w:t>
      </w:r>
      <w:r>
        <w:rPr>
          <w:spacing w:val="-6"/>
          <w:sz w:val="28"/>
        </w:rPr>
        <w:t>果。</w:t>
      </w:r>
    </w:p>
    <w:p>
      <w:pPr>
        <w:pStyle w:val="Heading1"/>
        <w:numPr>
          <w:ilvl w:val="1"/>
          <w:numId w:val="66"/>
        </w:numPr>
        <w:tabs>
          <w:tab w:val="left" w:pos="1559"/>
        </w:tabs>
        <w:spacing w:before="0" w:after="0" w:line="240" w:lineRule="auto"/>
        <w:ind w:left="1558" w:right="0" w:hanging="519"/>
        <w:jc w:val="left"/>
      </w:pPr>
      <w:r>
        <w:rPr>
          <w:spacing w:val="-1"/>
        </w:rPr>
        <w:t>过电压保护及绝缘配合</w:t>
      </w:r>
    </w:p>
    <w:p>
      <w:pPr>
        <w:pStyle w:val="BodyText"/>
        <w:spacing w:before="203" w:line="355" w:lineRule="auto"/>
        <w:ind w:right="978"/>
      </w:pPr>
      <w:r>
        <w:rPr>
          <w:spacing w:val="-7"/>
        </w:rPr>
        <w:t>风电场升压站的过电压保护设计应遵照行业原则《交流电气装置</w:t>
      </w:r>
      <w:r>
        <w:t>的过电压保护和绝缘配合》DL/T 620-1997。</w:t>
      </w:r>
    </w:p>
    <w:p>
      <w:pPr>
        <w:spacing w:after="0" w:line="355" w:lineRule="auto"/>
        <w:sectPr>
          <w:pgSz w:w="11910" w:h="16840"/>
          <w:pgMar w:top="1480" w:right="820" w:bottom="280" w:left="1320" w:header="708" w:footer="708"/>
          <w:pgNumType w:start="29"/>
          <w:cols w:space="708"/>
        </w:sectPr>
      </w:pPr>
    </w:p>
    <w:p>
      <w:pPr>
        <w:pStyle w:val="ListParagraph"/>
        <w:numPr>
          <w:ilvl w:val="0"/>
          <w:numId w:val="47"/>
        </w:numPr>
        <w:tabs>
          <w:tab w:val="left" w:pos="1749"/>
        </w:tabs>
        <w:spacing w:before="10" w:after="0" w:line="240" w:lineRule="auto"/>
        <w:ind w:left="1748" w:right="0" w:hanging="709"/>
        <w:jc w:val="left"/>
        <w:rPr>
          <w:sz w:val="28"/>
        </w:rPr>
      </w:pPr>
      <w:r>
        <w:rPr>
          <w:spacing w:val="-1"/>
          <w:sz w:val="28"/>
        </w:rPr>
        <w:t>风电场直击雷的防护方法：</w:t>
      </w:r>
    </w:p>
    <w:p>
      <w:pPr>
        <w:pStyle w:val="BodyText"/>
        <w:spacing w:before="202" w:line="355" w:lineRule="auto"/>
        <w:ind w:right="978"/>
      </w:pPr>
      <w:r>
        <w:t>① 风电场升压站普通状况下，采用数根独立避雷针构成联合保</w:t>
      </w:r>
      <w:r>
        <w:rPr>
          <w:spacing w:val="-2"/>
        </w:rPr>
        <w:t>护范畴，以实现对整个站内的直击雷保护。</w:t>
      </w:r>
    </w:p>
    <w:p>
      <w:pPr>
        <w:pStyle w:val="BodyText"/>
        <w:spacing w:line="355" w:lineRule="auto"/>
        <w:ind w:right="978"/>
      </w:pPr>
      <w:r>
        <w:t>② 风电场升压站的主控楼采用沿屋面板及女儿墙敷设避雷带的</w:t>
      </w:r>
      <w:r>
        <w:rPr>
          <w:spacing w:val="-4"/>
        </w:rPr>
        <w:t>做法。</w:t>
      </w:r>
    </w:p>
    <w:p>
      <w:pPr>
        <w:pStyle w:val="ListParagraph"/>
        <w:numPr>
          <w:ilvl w:val="0"/>
          <w:numId w:val="47"/>
        </w:numPr>
        <w:tabs>
          <w:tab w:val="left" w:pos="1749"/>
        </w:tabs>
        <w:spacing w:before="0" w:after="0" w:line="240" w:lineRule="auto"/>
        <w:ind w:left="1748" w:right="0" w:hanging="709"/>
        <w:jc w:val="left"/>
        <w:rPr>
          <w:sz w:val="28"/>
        </w:rPr>
      </w:pPr>
      <w:r>
        <w:rPr>
          <w:spacing w:val="-1"/>
          <w:sz w:val="28"/>
        </w:rPr>
        <w:t>风电场雷电侵入波过电压保护设计原则以下：</w:t>
      </w:r>
    </w:p>
    <w:p>
      <w:pPr>
        <w:pStyle w:val="BodyText"/>
        <w:spacing w:before="203" w:line="355" w:lineRule="auto"/>
        <w:ind w:right="775"/>
      </w:pPr>
      <w:r>
        <w:rPr>
          <w:spacing w:val="12"/>
        </w:rPr>
        <w:t>① 电压在</w:t>
      </w:r>
      <w:r>
        <w:t>35kV</w:t>
      </w:r>
      <w:r>
        <w:rPr>
          <w:spacing w:val="-15"/>
        </w:rPr>
        <w:t xml:space="preserve"> 及以上的风电场升压站，其敞开式高压配电装置，</w:t>
      </w:r>
      <w:r>
        <w:rPr>
          <w:spacing w:val="-8"/>
        </w:rPr>
        <w:t>每组母线上应设立氧化锌无间隙避雷器。当避雷器与主变压器及其它</w:t>
      </w:r>
      <w:r>
        <w:rPr>
          <w:spacing w:val="-2"/>
        </w:rPr>
        <w:t>被保护设备靠近或超🎧</w:t>
      </w:r>
      <w:r>
        <w:rPr>
          <w:spacing w:val="-10"/>
        </w:rPr>
        <w:t>规程规定的最大电气距离时，应在主变压器附</w:t>
      </w:r>
      <w:r>
        <w:t>近增设一组避雷器；当集电回路侧是开关柜（10kV 或 35kV）时，母</w:t>
      </w:r>
      <w:r>
        <w:rPr>
          <w:spacing w:val="-2"/>
        </w:rPr>
        <w:t>线避雷器则与电压互感器布置在同一柜内。</w:t>
      </w:r>
    </w:p>
    <w:p>
      <w:pPr>
        <w:pStyle w:val="BodyText"/>
        <w:spacing w:line="355" w:lineRule="auto"/>
        <w:ind w:right="978"/>
        <w:jc w:val="both"/>
      </w:pPr>
      <w:r>
        <w:rPr>
          <w:spacing w:val="10"/>
        </w:rPr>
        <w:t>② 风电场中</w:t>
      </w:r>
      <w:r>
        <w:t>，66kV</w:t>
      </w:r>
      <w:r>
        <w:rPr>
          <w:spacing w:val="-3"/>
        </w:rPr>
        <w:t xml:space="preserve"> 及以上进线无电缆段的 </w:t>
      </w:r>
      <w:r>
        <w:t>GIS</w:t>
      </w:r>
      <w:r>
        <w:rPr>
          <w:spacing w:val="-3"/>
        </w:rPr>
        <w:t xml:space="preserve"> 变电所，在 </w:t>
      </w:r>
      <w:r>
        <w:t>GIS</w:t>
      </w:r>
      <w:r>
        <w:rPr>
          <w:spacing w:val="-4"/>
        </w:rPr>
        <w:t>管道与架空线路的连接处，应装设氧化锌避雷器。其接地端应与管道</w:t>
      </w:r>
      <w:r>
        <w:rPr>
          <w:spacing w:val="-2"/>
        </w:rPr>
        <w:t>金属外壳连接。</w:t>
      </w:r>
    </w:p>
    <w:p>
      <w:pPr>
        <w:pStyle w:val="BodyText"/>
        <w:spacing w:line="355" w:lineRule="auto"/>
        <w:ind w:right="978"/>
      </w:pPr>
      <w:r>
        <w:pict>
          <v:shape id="_x0000_s1026" type="#_x0000_t202" style="width:404.5pt;height:64.15pt;margin-top:58.99pt;margin-left:96.85pt;mso-position-horizontal-relative:page;position:absolute;z-index:251659264" filled="f" stroked="f">
            <v:textbox inset="0,0,0,0">
              <w:txbxContent>
                <w:tbl>
                  <w:tblPr>
                    <w:tblStyle w:val="TableNormal2"/>
                    <w:tblW w:w="0" w:type="auto"/>
                    <w:jc w:val="left"/>
                    <w:tblInd w:w="5" w:type="dxa"/>
                    <w:tblBorders>
                      <w:top w:val="single" w:sz="4" w:space="0" w:color="000000"/>
                      <w:left w:val="single" w:sz="4" w:space="0" w:color="000000"/>
                      <w:bottom w:val="single" w:sz="4" w:space="0" w:color="000000"/>
                      <w:right w:val="single" w:sz="4" w:space="0" w:color="000000"/>
                      <w:insideH w:val="single" w:sz="4" w:space="0" w:color="000000"/>
                      <w:insideV w:val="single" w:sz="4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94"/>
                    <w:gridCol w:w="3686"/>
                  </w:tblGrid>
                  <w:tr>
                    <w:tblPrEx>
                      <w:tblW w:w="0" w:type="auto"/>
                      <w:jc w:val="left"/>
                      <w:tblInd w:w="5" w:type="dxa"/>
                      <w:tblBorders>
                        <w:top w:val="single" w:sz="4" w:space="0" w:color="000000"/>
                        <w:left w:val="single" w:sz="4" w:space="0" w:color="000000"/>
                        <w:bottom w:val="single" w:sz="4" w:space="0" w:color="000000"/>
                        <w:right w:val="single" w:sz="4" w:space="0" w:color="000000"/>
                        <w:insideH w:val="single" w:sz="4" w:space="0" w:color="000000"/>
                        <w:insideV w:val="single" w:sz="4" w:space="0" w:color="000000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624"/>
                      <w:jc w:val="left"/>
                    </w:trPr>
                    <w:tc>
                      <w:tcPr>
                        <w:tcW w:w="4394" w:type="dxa"/>
                        <w:tcBorders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103"/>
                          <w:ind w:left="585"/>
                          <w:rPr>
                            <w:sz w:val="24"/>
                          </w:rPr>
                        </w:pPr>
                        <w:r>
                          <w:rPr>
                            <w:spacing w:val="-4"/>
                            <w:sz w:val="24"/>
                          </w:rPr>
                          <w:t>66kV</w:t>
                        </w:r>
                      </w:p>
                    </w:tc>
                    <w:tc>
                      <w:tcPr>
                        <w:tcW w:w="3686" w:type="dxa"/>
                        <w:tcBorders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103"/>
                          <w:ind w:left="585"/>
                          <w:rPr>
                            <w:sz w:val="24"/>
                          </w:rPr>
                        </w:pPr>
                        <w:r>
                          <w:rPr>
                            <w:spacing w:val="-5"/>
                            <w:sz w:val="24"/>
                          </w:rPr>
                          <w:t>50m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624"/>
                      <w:jc w:val="left"/>
                    </w:trPr>
                    <w:tc>
                      <w:tcPr>
                        <w:tcW w:w="4394" w:type="dxa"/>
                        <w:tcBorders>
                          <w:top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103"/>
                          <w:ind w:left="585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110kV</w:t>
                        </w:r>
                        <w:r>
                          <w:rPr>
                            <w:spacing w:val="-4"/>
                            <w:sz w:val="24"/>
                          </w:rPr>
                          <w:t xml:space="preserve"> 及 </w:t>
                        </w:r>
                        <w:r>
                          <w:rPr>
                            <w:spacing w:val="-2"/>
                            <w:sz w:val="24"/>
                          </w:rPr>
                          <w:t>220kV</w:t>
                        </w:r>
                      </w:p>
                    </w:tc>
                    <w:tc>
                      <w:tcPr>
                        <w:tcW w:w="3686" w:type="dxa"/>
                        <w:tcBorders>
                          <w:top w:val="single" w:sz="6" w:space="0" w:color="000000"/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103"/>
                          <w:ind w:left="585"/>
                          <w:rPr>
                            <w:sz w:val="24"/>
                          </w:rPr>
                        </w:pPr>
                        <w:r>
                          <w:rPr>
                            <w:spacing w:val="-4"/>
                            <w:sz w:val="24"/>
                          </w:rPr>
                          <w:t>130m</w:t>
                        </w:r>
                      </w:p>
                    </w:tc>
                  </w:tr>
                </w:tbl>
                <w:p>
                  <w:pPr>
                    <w:pStyle w:val="BodyText"/>
                    <w:ind w:left="0" w:firstLine="0"/>
                  </w:pPr>
                </w:p>
              </w:txbxContent>
            </v:textbox>
          </v:shape>
        </w:pict>
      </w:r>
      <w:r>
        <w:rPr>
          <w:spacing w:val="-2"/>
        </w:rPr>
        <w:t>如果主变压器至避雷器的距离超🎧</w:t>
      </w:r>
      <w:r>
        <w:rPr>
          <w:spacing w:val="-12"/>
        </w:rPr>
        <w:t>下述数值，则应在主变压器处</w:t>
      </w:r>
      <w:r>
        <w:rPr>
          <w:spacing w:val="-2"/>
        </w:rPr>
        <w:t>增设一组避雷器。</w:t>
      </w:r>
    </w:p>
    <w:p>
      <w:pPr>
        <w:pStyle w:val="BodyText"/>
        <w:ind w:left="0" w:firstLine="0"/>
      </w:pPr>
    </w:p>
    <w:p>
      <w:pPr>
        <w:pStyle w:val="BodyText"/>
        <w:ind w:left="0" w:firstLine="0"/>
      </w:pPr>
    </w:p>
    <w:p>
      <w:pPr>
        <w:pStyle w:val="BodyText"/>
        <w:spacing w:before="2"/>
        <w:ind w:left="0" w:firstLine="0"/>
        <w:rPr>
          <w:sz w:val="29"/>
        </w:rPr>
      </w:pPr>
    </w:p>
    <w:p>
      <w:pPr>
        <w:pStyle w:val="BodyText"/>
        <w:spacing w:line="355" w:lineRule="auto"/>
        <w:ind w:right="815"/>
        <w:jc w:val="both"/>
      </w:pPr>
      <w:r>
        <w:rPr>
          <w:spacing w:val="8"/>
        </w:rPr>
        <w:t>③ 风电场中，</w:t>
      </w:r>
      <w:r>
        <w:t>66kV 及以上进线有电缆段的 GIS 变电所，在电缆</w:t>
      </w:r>
      <w:r>
        <w:rPr>
          <w:spacing w:val="-2"/>
        </w:rPr>
        <w:t>段与架空线路的连接处，应装设氧化锌避雷器。其接地端应与电缆的</w:t>
      </w:r>
      <w:r>
        <w:rPr>
          <w:spacing w:val="-2"/>
        </w:rPr>
        <w:t>金属外皮连接。对单芯电缆，应经金属氧化物电缆护层保护器接地。</w:t>
      </w:r>
      <w:r>
        <w:rPr>
          <w:spacing w:val="-12"/>
        </w:rPr>
        <w:t>此时应分别对四个问题进行研究：单芯电力电缆金属层接地方式选择；</w:t>
      </w:r>
    </w:p>
    <w:p>
      <w:pPr>
        <w:spacing w:after="0" w:line="355" w:lineRule="auto"/>
        <w:jc w:val="both"/>
        <w:sectPr>
          <w:pgSz w:w="11910" w:h="16840"/>
          <w:pgMar w:top="1480" w:right="820" w:bottom="280" w:left="1320" w:header="708" w:footer="708"/>
          <w:pgNumType w:start="30"/>
          <w:cols w:space="708"/>
        </w:sectPr>
      </w:pPr>
    </w:p>
    <w:p>
      <w:pPr>
        <w:pStyle w:val="BodyText"/>
        <w:spacing w:before="10"/>
        <w:ind w:firstLine="0"/>
      </w:pPr>
      <w:r>
        <w:rPr>
          <w:spacing w:val="-1"/>
        </w:rPr>
        <w:t>避雷器的配备；电缆金属护层保护器的参数校验；回流线的设立。</w:t>
      </w:r>
    </w:p>
    <w:p>
      <w:pPr>
        <w:pStyle w:val="BodyText"/>
        <w:spacing w:before="202" w:line="355" w:lineRule="auto"/>
        <w:ind w:right="977"/>
        <w:jc w:val="both"/>
      </w:pPr>
      <w:r>
        <w:t>➃ 220kV</w:t>
      </w:r>
      <w:r>
        <w:rPr>
          <w:spacing w:val="-58"/>
        </w:rPr>
        <w:t>、</w:t>
      </w:r>
      <w:r>
        <w:t>110kV</w:t>
      </w:r>
      <w:r>
        <w:rPr>
          <w:spacing w:val="-10"/>
        </w:rPr>
        <w:t xml:space="preserve"> 氧化锌避雷器按《交流无间隙金属氧化物避雷</w:t>
      </w:r>
      <w:r>
        <w:t xml:space="preserve">器》GB 1032-及《交流无间隙金属氧化物避雷器的使用导则》DL/T </w:t>
      </w:r>
      <w:r>
        <w:rPr>
          <w:spacing w:val="-2"/>
        </w:rPr>
        <w:t>804-中的规定进行选择。</w:t>
      </w:r>
    </w:p>
    <w:p>
      <w:pPr>
        <w:pStyle w:val="Heading1"/>
        <w:numPr>
          <w:ilvl w:val="1"/>
          <w:numId w:val="66"/>
        </w:numPr>
        <w:tabs>
          <w:tab w:val="left" w:pos="1559"/>
        </w:tabs>
        <w:spacing w:before="0" w:after="0" w:line="240" w:lineRule="auto"/>
        <w:ind w:left="1558" w:right="0" w:hanging="519"/>
        <w:jc w:val="both"/>
      </w:pPr>
      <w:r>
        <w:rPr>
          <w:spacing w:val="-3"/>
        </w:rPr>
        <w:t>接地设计</w:t>
      </w:r>
    </w:p>
    <w:p>
      <w:pPr>
        <w:pStyle w:val="BodyText"/>
        <w:spacing w:before="203" w:line="355" w:lineRule="auto"/>
        <w:ind w:right="977"/>
        <w:jc w:val="both"/>
      </w:pPr>
      <w:r>
        <w:rPr>
          <w:spacing w:val="-2"/>
        </w:rPr>
        <w:t>风电场升压站的接地设计应遵照原则《交流电气装置的接地》 DL/T621-1997，接地体的截面选择应综合考虑热稳定规定和腐蚀，</w:t>
      </w:r>
      <w:r>
        <w:rPr>
          <w:spacing w:val="-10"/>
        </w:rPr>
        <w:t>普通接地体采用镀锌扁钢，对于受土壤腐蚀性和地质条件限制的升压</w:t>
      </w:r>
      <w:r>
        <w:rPr>
          <w:spacing w:val="-4"/>
        </w:rPr>
        <w:t>站，通过技术经济比较也可采用铜质接地体。接地电阻设计中应考虑</w:t>
      </w:r>
      <w:r>
        <w:rPr>
          <w:spacing w:val="-2"/>
        </w:rPr>
        <w:t>土壤电阻率的季节系数。</w:t>
      </w:r>
    </w:p>
    <w:p>
      <w:pPr>
        <w:pStyle w:val="BodyText"/>
        <w:spacing w:line="355" w:lineRule="auto"/>
        <w:ind w:right="977"/>
        <w:jc w:val="both"/>
      </w:pPr>
      <w:r>
        <w:rPr>
          <w:spacing w:val="-4"/>
        </w:rPr>
        <w:t>风电场升压站内，不同用途和不同电压的电气装置、设施，应使</w:t>
      </w:r>
      <w:r>
        <w:rPr>
          <w:spacing w:val="-4"/>
        </w:rPr>
        <w:t>用一种总的接地装置，并且接地电阻应符合其中最小值的规定。普通</w:t>
      </w:r>
      <w:r>
        <w:rPr>
          <w:spacing w:val="-2"/>
        </w:rPr>
        <w:t>状况下，接地装置的接地电阻应符合下是规定，R≤/I</w:t>
      </w:r>
      <w:r>
        <w:rPr>
          <w:spacing w:val="-8"/>
        </w:rPr>
        <w:t xml:space="preserve"> </w:t>
      </w:r>
      <w:r>
        <w:rPr>
          <w:spacing w:val="-2"/>
        </w:rPr>
        <w:t>(Ω)。升压站地</w:t>
      </w:r>
      <w:r>
        <w:rPr>
          <w:spacing w:val="-8"/>
        </w:rPr>
        <w:t>网的设计普通按复合式接地网考虑，均压网水平接地体的布置其间距</w:t>
      </w:r>
      <w:r>
        <w:rPr>
          <w:spacing w:val="-3"/>
        </w:rPr>
        <w:t xml:space="preserve">不适宜不大于 </w:t>
      </w:r>
      <w:r>
        <w:t>10m</w:t>
      </w:r>
      <w:r>
        <w:rPr>
          <w:spacing w:val="-3"/>
        </w:rPr>
        <w:t xml:space="preserve">，垂直接地体长度 </w:t>
      </w:r>
      <w:r>
        <w:t>2.5m</w:t>
      </w:r>
      <w:r>
        <w:rPr>
          <w:spacing w:val="-5"/>
        </w:rPr>
        <w:t xml:space="preserve"> 左右。升压站跨步电压和</w:t>
      </w:r>
      <w:r>
        <w:rPr>
          <w:spacing w:val="-2"/>
        </w:rPr>
        <w:t>接触电压应满足规程规定。</w:t>
      </w:r>
    </w:p>
    <w:p>
      <w:pPr>
        <w:pStyle w:val="BodyText"/>
        <w:spacing w:line="355" w:lineRule="auto"/>
        <w:ind w:right="978"/>
        <w:jc w:val="both"/>
      </w:pPr>
      <w:r>
        <w:rPr>
          <w:spacing w:val="-2"/>
        </w:rPr>
        <w:t>当处在高土壤电阻率区时,若施工后升压站接地装置的接地电阻</w:t>
      </w:r>
      <w:r>
        <w:rPr>
          <w:spacing w:val="-6"/>
        </w:rPr>
        <w:t xml:space="preserve">不能满足 </w:t>
      </w:r>
      <w:r>
        <w:rPr>
          <w:spacing w:val="-2"/>
        </w:rPr>
        <w:t>R≤/I</w:t>
      </w:r>
      <w:r>
        <w:rPr>
          <w:spacing w:val="-14"/>
        </w:rPr>
        <w:t xml:space="preserve"> </w:t>
      </w:r>
      <w:r>
        <w:rPr>
          <w:spacing w:val="-2"/>
        </w:rPr>
        <w:t>(Ω)</w:t>
      </w:r>
      <w:r>
        <w:rPr>
          <w:spacing w:val="-6"/>
        </w:rPr>
        <w:t>，则可采用外引接地进行补充，从复合式接地网上</w:t>
      </w:r>
      <w:r>
        <w:t>引🎧多根水平射线, 每条射线上连接着外引的复合接地体,如碳棒接</w:t>
      </w:r>
      <w:r>
        <w:rPr>
          <w:spacing w:val="-2"/>
        </w:rPr>
        <w:t>地模块、离子井等。以期达成规程的规定值。</w:t>
      </w:r>
    </w:p>
    <w:p>
      <w:pPr>
        <w:pStyle w:val="Heading1"/>
        <w:numPr>
          <w:ilvl w:val="1"/>
          <w:numId w:val="66"/>
        </w:numPr>
        <w:tabs>
          <w:tab w:val="left" w:pos="1559"/>
        </w:tabs>
        <w:spacing w:before="0" w:after="0" w:line="240" w:lineRule="auto"/>
        <w:ind w:left="1558" w:right="0" w:hanging="519"/>
        <w:jc w:val="both"/>
      </w:pPr>
      <w:r>
        <w:rPr>
          <w:spacing w:val="-1"/>
        </w:rPr>
        <w:t>电缆通道设计和电缆敷设</w:t>
      </w:r>
    </w:p>
    <w:p>
      <w:pPr>
        <w:pStyle w:val="BodyText"/>
        <w:spacing w:before="201"/>
        <w:ind w:left="1040" w:firstLine="0"/>
      </w:pPr>
      <w:r>
        <w:rPr>
          <w:spacing w:val="-7"/>
        </w:rPr>
        <w:t>风电场升压站内电缆通道设计应遵照原则《变电所总布置设计技</w:t>
      </w:r>
    </w:p>
    <w:p>
      <w:pPr>
        <w:spacing w:after="0"/>
        <w:sectPr>
          <w:pgSz w:w="11910" w:h="16840"/>
          <w:pgMar w:top="1480" w:right="820" w:bottom="280" w:left="1320" w:header="708" w:footer="708"/>
          <w:pgNumType w:start="31"/>
          <w:cols w:space="708"/>
        </w:sectPr>
      </w:pPr>
    </w:p>
    <w:p>
      <w:pPr>
        <w:pStyle w:val="BodyText"/>
        <w:spacing w:before="10" w:line="355" w:lineRule="auto"/>
        <w:ind w:right="978" w:firstLine="0"/>
      </w:pPr>
      <w:r>
        <w:rPr>
          <w:spacing w:val="-2"/>
        </w:rPr>
        <w:t>术规程》DL/T</w:t>
      </w:r>
      <w:r>
        <w:rPr>
          <w:spacing w:val="-18"/>
        </w:rPr>
        <w:t xml:space="preserve"> </w:t>
      </w:r>
      <w:r>
        <w:rPr>
          <w:spacing w:val="-2"/>
        </w:rPr>
        <w:t>5056-，风电场电缆敷设应遵照原则《电力工程电缆设</w:t>
      </w:r>
      <w:r>
        <w:t>计规范》GB 50217-。</w:t>
      </w:r>
    </w:p>
    <w:p>
      <w:pPr>
        <w:pStyle w:val="BodyText"/>
        <w:spacing w:line="355" w:lineRule="auto"/>
        <w:ind w:right="838"/>
      </w:pPr>
      <w:r>
        <w:rPr>
          <w:spacing w:val="-2"/>
        </w:rPr>
        <w:t>站内的电缆管沟布置应从总体布置🎧发，以主控楼，各级配电装</w:t>
      </w:r>
      <w:r>
        <w:rPr>
          <w:spacing w:val="-2"/>
        </w:rPr>
        <w:t>置、主变压器、动态无功赔偿装置等的合理布置为前提，按变电所的</w:t>
      </w:r>
      <w:r>
        <w:rPr>
          <w:spacing w:val="-2"/>
        </w:rPr>
        <w:t>最后规模统筹规划，管、沟之间及其与建、构筑物之间在平面与竖向</w:t>
      </w:r>
      <w:r>
        <w:rPr>
          <w:spacing w:val="-2"/>
        </w:rPr>
        <w:t>上应互相协调，远近结合，合理布置，便于扩建；管、沟宜沿道路，</w:t>
      </w:r>
      <w:r>
        <w:rPr>
          <w:spacing w:val="-18"/>
        </w:rPr>
        <w:t>建、构筑物平行布置。干管、沟应靠重要负荷侧和多分支的一侧。管、</w:t>
      </w:r>
      <w:r>
        <w:rPr>
          <w:spacing w:val="-2"/>
        </w:rPr>
        <w:t>沟布置应途径短捷、适宜集中、间距合理、减少交叉，交叉时宜垂直</w:t>
      </w:r>
      <w:r>
        <w:rPr>
          <w:spacing w:val="-4"/>
        </w:rPr>
        <w:t>相交。</w:t>
      </w:r>
    </w:p>
    <w:p>
      <w:pPr>
        <w:pStyle w:val="Heading1"/>
        <w:numPr>
          <w:ilvl w:val="1"/>
          <w:numId w:val="66"/>
        </w:numPr>
        <w:tabs>
          <w:tab w:val="left" w:pos="1714"/>
        </w:tabs>
        <w:spacing w:before="0" w:after="0" w:line="240" w:lineRule="auto"/>
        <w:ind w:left="1713" w:right="0" w:hanging="674"/>
        <w:jc w:val="left"/>
      </w:pPr>
      <w:r>
        <w:rPr>
          <w:spacing w:val="-1"/>
        </w:rPr>
        <w:t>常见风电场多个类型升压站的特性表</w:t>
      </w:r>
    </w:p>
    <w:p>
      <w:pPr>
        <w:pStyle w:val="BodyText"/>
        <w:spacing w:before="202"/>
        <w:ind w:left="2673" w:firstLine="0"/>
      </w:pPr>
      <w:r>
        <w:pict>
          <v:line id="_x0000_s1027" style="mso-position-horizontal-relative:page;position:absolute;z-index:-251656192" from="1in,38.4pt" to="143.65pt,132pt" stroked="t" strokecolor="black" strokeweight="0.5pt">
            <v:stroke dashstyle="solid"/>
          </v:line>
        </w:pict>
      </w:r>
      <w:r>
        <w:rPr>
          <w:spacing w:val="-1"/>
        </w:rPr>
        <w:t>风电场多个类型升压站的特性表</w:t>
      </w:r>
    </w:p>
    <w:p>
      <w:pPr>
        <w:pStyle w:val="BodyText"/>
        <w:spacing w:before="14"/>
        <w:ind w:left="0" w:firstLine="0"/>
        <w:rPr>
          <w:sz w:val="8"/>
        </w:rPr>
      </w:pPr>
    </w:p>
    <w:tbl>
      <w:tblPr>
        <w:tblStyle w:val="TableNormal3"/>
        <w:tblW w:w="0" w:type="auto"/>
        <w:jc w:val="left"/>
        <w:tblInd w:w="1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33"/>
        <w:gridCol w:w="1255"/>
        <w:gridCol w:w="1434"/>
        <w:gridCol w:w="1296"/>
        <w:gridCol w:w="1433"/>
        <w:gridCol w:w="1256"/>
        <w:gridCol w:w="1433"/>
      </w:tblGrid>
      <w:tr>
        <w:tblPrEx>
          <w:tblW w:w="0" w:type="auto"/>
          <w:jc w:val="left"/>
          <w:tblInd w:w="12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871"/>
          <w:jc w:val="left"/>
        </w:trPr>
        <w:tc>
          <w:tcPr>
            <w:tcW w:w="1433" w:type="dxa"/>
          </w:tcPr>
          <w:p>
            <w:pPr>
              <w:pStyle w:val="TableParagraph"/>
              <w:spacing w:before="8"/>
              <w:rPr>
                <w:sz w:val="27"/>
              </w:rPr>
            </w:pPr>
          </w:p>
          <w:p>
            <w:pPr>
              <w:pStyle w:val="TableParagraph"/>
              <w:ind w:left="836"/>
              <w:rPr>
                <w:sz w:val="24"/>
              </w:rPr>
            </w:pPr>
            <w:r>
              <w:rPr>
                <w:spacing w:val="-5"/>
                <w:sz w:val="24"/>
              </w:rPr>
              <w:t>特点</w:t>
            </w:r>
          </w:p>
          <w:p>
            <w:pPr>
              <w:pStyle w:val="TableParagraph"/>
              <w:spacing w:before="7"/>
              <w:rPr>
                <w:sz w:val="17"/>
              </w:rPr>
            </w:pPr>
          </w:p>
          <w:p>
            <w:pPr>
              <w:pStyle w:val="TableParagraph"/>
              <w:ind w:left="108"/>
              <w:rPr>
                <w:sz w:val="24"/>
              </w:rPr>
            </w:pPr>
            <w:r>
              <w:rPr>
                <w:spacing w:val="-5"/>
                <w:sz w:val="24"/>
              </w:rPr>
              <w:t>型式</w:t>
            </w:r>
          </w:p>
        </w:tc>
        <w:tc>
          <w:tcPr>
            <w:tcW w:w="1255" w:type="dxa"/>
          </w:tcPr>
          <w:p>
            <w:pPr>
              <w:pStyle w:val="TableParagraph"/>
              <w:rPr>
                <w:sz w:val="24"/>
              </w:rPr>
            </w:pPr>
          </w:p>
          <w:p>
            <w:pPr>
              <w:pStyle w:val="TableParagraph"/>
              <w:spacing w:before="4"/>
              <w:rPr>
                <w:sz w:val="24"/>
              </w:rPr>
            </w:pPr>
          </w:p>
          <w:p>
            <w:pPr>
              <w:pStyle w:val="TableParagraph"/>
              <w:ind w:left="147"/>
              <w:rPr>
                <w:sz w:val="24"/>
              </w:rPr>
            </w:pPr>
            <w:r>
              <w:rPr>
                <w:spacing w:val="-3"/>
                <w:sz w:val="24"/>
              </w:rPr>
              <w:t>电压等级</w:t>
            </w:r>
          </w:p>
        </w:tc>
        <w:tc>
          <w:tcPr>
            <w:tcW w:w="1434" w:type="dxa"/>
          </w:tcPr>
          <w:p>
            <w:pPr>
              <w:pStyle w:val="TableParagraph"/>
              <w:rPr>
                <w:sz w:val="24"/>
              </w:rPr>
            </w:pPr>
          </w:p>
          <w:p>
            <w:pPr>
              <w:pStyle w:val="TableParagraph"/>
              <w:spacing w:before="4"/>
              <w:rPr>
                <w:sz w:val="24"/>
              </w:rPr>
            </w:pPr>
          </w:p>
          <w:p>
            <w:pPr>
              <w:pStyle w:val="TableParagraph"/>
              <w:ind w:left="116"/>
              <w:rPr>
                <w:sz w:val="24"/>
              </w:rPr>
            </w:pPr>
            <w:r>
              <w:rPr>
                <w:spacing w:val="-2"/>
                <w:sz w:val="24"/>
              </w:rPr>
              <w:t>主接线形式</w:t>
            </w:r>
          </w:p>
        </w:tc>
        <w:tc>
          <w:tcPr>
            <w:tcW w:w="1296" w:type="dxa"/>
          </w:tcPr>
          <w:p>
            <w:pPr>
              <w:pStyle w:val="TableParagraph"/>
              <w:spacing w:before="8"/>
              <w:rPr>
                <w:sz w:val="27"/>
              </w:rPr>
            </w:pPr>
          </w:p>
          <w:p>
            <w:pPr>
              <w:pStyle w:val="TableParagraph"/>
              <w:spacing w:line="415" w:lineRule="auto"/>
              <w:ind w:left="408" w:right="157" w:hanging="240"/>
              <w:rPr>
                <w:sz w:val="24"/>
              </w:rPr>
            </w:pPr>
            <w:r>
              <w:rPr>
                <w:spacing w:val="-4"/>
                <w:sz w:val="24"/>
              </w:rPr>
              <w:t>高压设备</w:t>
            </w:r>
            <w:r>
              <w:rPr>
                <w:spacing w:val="-6"/>
                <w:sz w:val="24"/>
              </w:rPr>
              <w:t>类型</w:t>
            </w:r>
          </w:p>
        </w:tc>
        <w:tc>
          <w:tcPr>
            <w:tcW w:w="1433" w:type="dxa"/>
          </w:tcPr>
          <w:p>
            <w:pPr>
              <w:pStyle w:val="TableParagraph"/>
              <w:spacing w:before="103" w:line="415" w:lineRule="auto"/>
              <w:ind w:left="190" w:right="178"/>
              <w:jc w:val="center"/>
              <w:rPr>
                <w:sz w:val="24"/>
              </w:rPr>
            </w:pPr>
            <w:r>
              <w:rPr>
                <w:sz w:val="24"/>
              </w:rPr>
              <w:t>35kV</w:t>
            </w:r>
            <w:r>
              <w:rPr>
                <w:spacing w:val="-6"/>
                <w:sz w:val="24"/>
              </w:rPr>
              <w:t xml:space="preserve"> 开关</w:t>
            </w:r>
            <w:r>
              <w:rPr>
                <w:spacing w:val="-10"/>
                <w:sz w:val="24"/>
              </w:rPr>
              <w:t>柜</w:t>
            </w:r>
          </w:p>
          <w:p>
            <w:pPr>
              <w:pStyle w:val="TableParagraph"/>
              <w:spacing w:line="359" w:lineRule="exact"/>
              <w:ind w:left="187" w:right="178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形式</w:t>
            </w:r>
          </w:p>
        </w:tc>
        <w:tc>
          <w:tcPr>
            <w:tcW w:w="1256" w:type="dxa"/>
          </w:tcPr>
          <w:p>
            <w:pPr>
              <w:pStyle w:val="TableParagraph"/>
              <w:spacing w:before="8"/>
              <w:rPr>
                <w:sz w:val="27"/>
              </w:rPr>
            </w:pPr>
          </w:p>
          <w:p>
            <w:pPr>
              <w:pStyle w:val="TableParagraph"/>
              <w:spacing w:line="415" w:lineRule="auto"/>
              <w:ind w:left="387" w:right="136" w:hanging="240"/>
              <w:rPr>
                <w:sz w:val="24"/>
              </w:rPr>
            </w:pPr>
            <w:r>
              <w:rPr>
                <w:spacing w:val="-4"/>
                <w:sz w:val="24"/>
              </w:rPr>
              <w:t>合用海拔</w:t>
            </w:r>
            <w:r>
              <w:rPr>
                <w:spacing w:val="-6"/>
                <w:sz w:val="24"/>
              </w:rPr>
              <w:t>高度</w:t>
            </w:r>
          </w:p>
        </w:tc>
        <w:tc>
          <w:tcPr>
            <w:tcW w:w="1433" w:type="dxa"/>
          </w:tcPr>
          <w:p>
            <w:pPr>
              <w:pStyle w:val="TableParagraph"/>
              <w:rPr>
                <w:sz w:val="24"/>
              </w:rPr>
            </w:pPr>
          </w:p>
          <w:p>
            <w:pPr>
              <w:pStyle w:val="TableParagraph"/>
              <w:spacing w:before="4"/>
              <w:rPr>
                <w:sz w:val="24"/>
              </w:rPr>
            </w:pPr>
          </w:p>
          <w:p>
            <w:pPr>
              <w:pStyle w:val="TableParagraph"/>
              <w:ind w:left="236"/>
              <w:rPr>
                <w:sz w:val="24"/>
              </w:rPr>
            </w:pPr>
            <w:r>
              <w:rPr>
                <w:spacing w:val="-3"/>
                <w:sz w:val="24"/>
              </w:rPr>
              <w:t>合用地区</w:t>
            </w:r>
          </w:p>
        </w:tc>
      </w:tr>
      <w:tr>
        <w:tblPrEx>
          <w:tblW w:w="0" w:type="auto"/>
          <w:jc w:val="left"/>
          <w:tblInd w:w="12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95"/>
          <w:jc w:val="left"/>
        </w:trPr>
        <w:tc>
          <w:tcPr>
            <w:tcW w:w="1433" w:type="dxa"/>
          </w:tcPr>
          <w:p>
            <w:pPr>
              <w:pStyle w:val="TableParagraph"/>
              <w:rPr>
                <w:sz w:val="24"/>
              </w:rPr>
            </w:pPr>
          </w:p>
          <w:p>
            <w:pPr>
              <w:pStyle w:val="TableParagraph"/>
              <w:spacing w:before="4"/>
              <w:rPr>
                <w:sz w:val="24"/>
              </w:rPr>
            </w:pPr>
          </w:p>
          <w:p>
            <w:pPr>
              <w:pStyle w:val="TableParagraph"/>
              <w:spacing w:line="415" w:lineRule="auto"/>
              <w:ind w:left="236" w:right="114" w:hanging="110"/>
              <w:rPr>
                <w:sz w:val="24"/>
              </w:rPr>
            </w:pPr>
            <w:r>
              <w:rPr>
                <w:sz w:val="24"/>
              </w:rPr>
              <w:t>110kV</w:t>
            </w:r>
            <w:r>
              <w:rPr>
                <w:spacing w:val="-6"/>
                <w:sz w:val="24"/>
              </w:rPr>
              <w:t xml:space="preserve"> 户外</w:t>
            </w:r>
            <w:r>
              <w:rPr>
                <w:spacing w:val="-4"/>
                <w:sz w:val="24"/>
              </w:rPr>
              <w:t>常规设备</w:t>
            </w:r>
          </w:p>
        </w:tc>
        <w:tc>
          <w:tcPr>
            <w:tcW w:w="1255" w:type="dxa"/>
          </w:tcPr>
          <w:p>
            <w:pPr>
              <w:pStyle w:val="TableParagraph"/>
              <w:spacing w:before="103" w:line="415" w:lineRule="auto"/>
              <w:ind w:left="157" w:right="135" w:hanging="11"/>
              <w:jc w:val="both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高压侧： </w:t>
            </w:r>
            <w:r>
              <w:rPr>
                <w:sz w:val="24"/>
              </w:rPr>
              <w:t>110kV</w:t>
            </w:r>
            <w:r>
              <w:rPr>
                <w:spacing w:val="-9"/>
                <w:sz w:val="24"/>
              </w:rPr>
              <w:t xml:space="preserve"> 低</w:t>
            </w:r>
            <w:r>
              <w:rPr>
                <w:spacing w:val="-4"/>
                <w:sz w:val="24"/>
              </w:rPr>
              <w:t>压侧：</w:t>
            </w:r>
          </w:p>
          <w:p>
            <w:pPr>
              <w:pStyle w:val="TableParagraph"/>
              <w:spacing w:line="358" w:lineRule="exact"/>
              <w:ind w:left="371"/>
              <w:rPr>
                <w:sz w:val="24"/>
              </w:rPr>
            </w:pPr>
            <w:r>
              <w:rPr>
                <w:spacing w:val="-4"/>
                <w:sz w:val="24"/>
              </w:rPr>
              <w:t>35kV</w:t>
            </w:r>
          </w:p>
        </w:tc>
        <w:tc>
          <w:tcPr>
            <w:tcW w:w="1434" w:type="dxa"/>
          </w:tcPr>
          <w:p>
            <w:pPr>
              <w:pStyle w:val="TableParagraph"/>
              <w:spacing w:before="103" w:line="415" w:lineRule="auto"/>
              <w:ind w:left="107" w:right="95" w:firstLine="19"/>
              <w:jc w:val="both"/>
              <w:rPr>
                <w:sz w:val="24"/>
              </w:rPr>
            </w:pPr>
            <w:r>
              <w:rPr>
                <w:sz w:val="24"/>
              </w:rPr>
              <w:t>110kV</w:t>
            </w:r>
            <w:r>
              <w:rPr>
                <w:spacing w:val="-6"/>
                <w:sz w:val="24"/>
              </w:rPr>
              <w:t xml:space="preserve"> 单母</w:t>
            </w:r>
            <w:r>
              <w:rPr>
                <w:spacing w:val="-12"/>
                <w:sz w:val="24"/>
              </w:rPr>
              <w:t>线；35kV</w:t>
            </w:r>
            <w:r>
              <w:rPr>
                <w:spacing w:val="-9"/>
                <w:sz w:val="24"/>
              </w:rPr>
              <w:t xml:space="preserve"> 单</w:t>
            </w:r>
            <w:r>
              <w:rPr>
                <w:spacing w:val="-2"/>
                <w:sz w:val="24"/>
              </w:rPr>
              <w:t>母线或分段</w:t>
            </w:r>
          </w:p>
          <w:p>
            <w:pPr>
              <w:pStyle w:val="TableParagraph"/>
              <w:spacing w:line="358" w:lineRule="exact"/>
              <w:ind w:left="236"/>
              <w:rPr>
                <w:sz w:val="24"/>
              </w:rPr>
            </w:pPr>
            <w:r>
              <w:rPr>
                <w:spacing w:val="-3"/>
                <w:sz w:val="24"/>
              </w:rPr>
              <w:t>接线方式</w:t>
            </w:r>
          </w:p>
        </w:tc>
        <w:tc>
          <w:tcPr>
            <w:tcW w:w="1296" w:type="dxa"/>
          </w:tcPr>
          <w:p>
            <w:pPr>
              <w:pStyle w:val="TableParagraph"/>
              <w:spacing w:before="8"/>
              <w:rPr>
                <w:sz w:val="27"/>
              </w:rPr>
            </w:pPr>
          </w:p>
          <w:p>
            <w:pPr>
              <w:pStyle w:val="TableParagraph"/>
              <w:spacing w:line="415" w:lineRule="auto"/>
              <w:ind w:left="108" w:right="95"/>
              <w:jc w:val="center"/>
              <w:rPr>
                <w:sz w:val="24"/>
              </w:rPr>
            </w:pPr>
            <w:r>
              <w:rPr>
                <w:spacing w:val="-8"/>
                <w:sz w:val="24"/>
              </w:rPr>
              <w:t>110kV：常</w:t>
            </w:r>
            <w:r>
              <w:rPr>
                <w:spacing w:val="-28"/>
                <w:sz w:val="24"/>
              </w:rPr>
              <w:t>规设备，户</w:t>
            </w:r>
            <w:r>
              <w:rPr>
                <w:spacing w:val="-10"/>
                <w:sz w:val="24"/>
              </w:rPr>
              <w:t>外</w:t>
            </w:r>
          </w:p>
        </w:tc>
        <w:tc>
          <w:tcPr>
            <w:tcW w:w="1433" w:type="dxa"/>
          </w:tcPr>
          <w:p>
            <w:pPr>
              <w:pStyle w:val="TableParagraph"/>
              <w:spacing w:before="8"/>
              <w:rPr>
                <w:sz w:val="27"/>
              </w:rPr>
            </w:pPr>
          </w:p>
          <w:p>
            <w:pPr>
              <w:pStyle w:val="TableParagraph"/>
              <w:spacing w:line="415" w:lineRule="auto"/>
              <w:ind w:left="107" w:right="-130" w:firstLine="82"/>
              <w:rPr>
                <w:sz w:val="24"/>
              </w:rPr>
            </w:pPr>
            <w:r>
              <w:rPr>
                <w:sz w:val="24"/>
              </w:rPr>
              <w:t>35kV 开关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柜为手车式，</w:t>
            </w:r>
          </w:p>
          <w:p>
            <w:pPr>
              <w:pStyle w:val="TableParagraph"/>
              <w:spacing w:line="359" w:lineRule="exact"/>
              <w:ind w:left="476"/>
              <w:rPr>
                <w:sz w:val="24"/>
              </w:rPr>
            </w:pPr>
            <w:r>
              <w:rPr>
                <w:spacing w:val="-5"/>
                <w:sz w:val="24"/>
              </w:rPr>
              <w:t>户内</w:t>
            </w:r>
          </w:p>
        </w:tc>
        <w:tc>
          <w:tcPr>
            <w:tcW w:w="1256" w:type="dxa"/>
          </w:tcPr>
          <w:p>
            <w:pPr>
              <w:pStyle w:val="TableParagraph"/>
              <w:spacing w:before="8"/>
              <w:rPr>
                <w:sz w:val="27"/>
              </w:rPr>
            </w:pPr>
          </w:p>
          <w:p>
            <w:pPr>
              <w:pStyle w:val="TableParagraph"/>
              <w:spacing w:line="415" w:lineRule="auto"/>
              <w:ind w:left="124" w:right="112" w:hanging="61"/>
              <w:jc w:val="center"/>
              <w:rPr>
                <w:sz w:val="24"/>
              </w:rPr>
            </w:pPr>
            <w:r>
              <w:rPr>
                <w:spacing w:val="-6"/>
                <w:sz w:val="24"/>
              </w:rPr>
              <w:t>海拔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1800m</w:t>
            </w:r>
            <w:r>
              <w:rPr>
                <w:spacing w:val="-9"/>
                <w:sz w:val="24"/>
              </w:rPr>
              <w:t xml:space="preserve"> 下</w:t>
            </w:r>
            <w:r>
              <w:rPr>
                <w:spacing w:val="-10"/>
                <w:sz w:val="24"/>
              </w:rPr>
              <w:t>列</w:t>
            </w:r>
          </w:p>
        </w:tc>
        <w:tc>
          <w:tcPr>
            <w:tcW w:w="1433" w:type="dxa"/>
          </w:tcPr>
          <w:p>
            <w:pPr>
              <w:pStyle w:val="TableParagraph"/>
              <w:spacing w:before="103" w:line="415" w:lineRule="auto"/>
              <w:ind w:left="116" w:right="-29" w:hanging="9"/>
              <w:rPr>
                <w:sz w:val="24"/>
              </w:rPr>
            </w:pPr>
            <w:r>
              <w:rPr>
                <w:spacing w:val="-20"/>
                <w:sz w:val="24"/>
              </w:rPr>
              <w:t>东北、河北、</w:t>
            </w:r>
            <w:r>
              <w:rPr>
                <w:spacing w:val="-2"/>
                <w:sz w:val="24"/>
              </w:rPr>
              <w:t>新疆、内蒙</w:t>
            </w:r>
            <w:r>
              <w:rPr>
                <w:spacing w:val="-2"/>
                <w:sz w:val="24"/>
              </w:rPr>
              <w:t>等地区（不</w:t>
            </w:r>
          </w:p>
          <w:p>
            <w:pPr>
              <w:pStyle w:val="TableParagraph"/>
              <w:spacing w:line="358" w:lineRule="exact"/>
              <w:ind w:left="356"/>
              <w:rPr>
                <w:sz w:val="24"/>
              </w:rPr>
            </w:pPr>
            <w:r>
              <w:rPr>
                <w:sz w:val="24"/>
              </w:rPr>
              <w:t>限于</w:t>
            </w:r>
            <w:r>
              <w:rPr>
                <w:spacing w:val="-10"/>
                <w:sz w:val="24"/>
              </w:rPr>
              <w:t>）</w:t>
            </w:r>
          </w:p>
        </w:tc>
      </w:tr>
      <w:tr>
        <w:tblPrEx>
          <w:tblW w:w="0" w:type="auto"/>
          <w:jc w:val="left"/>
          <w:tblInd w:w="12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96"/>
          <w:jc w:val="left"/>
        </w:trPr>
        <w:tc>
          <w:tcPr>
            <w:tcW w:w="1433" w:type="dxa"/>
          </w:tcPr>
          <w:p>
            <w:pPr>
              <w:pStyle w:val="TableParagraph"/>
              <w:rPr>
                <w:sz w:val="24"/>
              </w:rPr>
            </w:pPr>
          </w:p>
          <w:p>
            <w:pPr>
              <w:pStyle w:val="TableParagraph"/>
              <w:spacing w:before="4"/>
              <w:rPr>
                <w:sz w:val="24"/>
              </w:rPr>
            </w:pPr>
          </w:p>
          <w:p>
            <w:pPr>
              <w:pStyle w:val="TableParagraph"/>
              <w:ind w:left="79" w:right="104"/>
              <w:jc w:val="center"/>
              <w:rPr>
                <w:sz w:val="24"/>
              </w:rPr>
            </w:pPr>
            <w:r>
              <w:rPr>
                <w:sz w:val="24"/>
              </w:rPr>
              <w:t>110kV</w:t>
            </w:r>
            <w:r>
              <w:rPr>
                <w:spacing w:val="-6"/>
                <w:sz w:val="24"/>
              </w:rPr>
              <w:t xml:space="preserve"> 户外</w:t>
            </w:r>
          </w:p>
          <w:p>
            <w:pPr>
              <w:pStyle w:val="TableParagraph"/>
              <w:spacing w:before="6"/>
              <w:rPr>
                <w:sz w:val="17"/>
              </w:rPr>
            </w:pPr>
          </w:p>
          <w:p>
            <w:pPr>
              <w:pStyle w:val="TableParagraph"/>
              <w:spacing w:before="1"/>
              <w:ind w:left="188" w:right="178"/>
              <w:jc w:val="center"/>
              <w:rPr>
                <w:sz w:val="24"/>
              </w:rPr>
            </w:pPr>
            <w:r>
              <w:rPr>
                <w:sz w:val="24"/>
              </w:rPr>
              <w:t>GIS</w:t>
            </w:r>
            <w:r>
              <w:rPr>
                <w:spacing w:val="-6"/>
                <w:sz w:val="24"/>
              </w:rPr>
              <w:t xml:space="preserve"> 设备</w:t>
            </w:r>
          </w:p>
        </w:tc>
        <w:tc>
          <w:tcPr>
            <w:tcW w:w="1255" w:type="dxa"/>
          </w:tcPr>
          <w:p>
            <w:pPr>
              <w:pStyle w:val="TableParagraph"/>
              <w:spacing w:before="103" w:line="415" w:lineRule="auto"/>
              <w:ind w:left="157" w:right="135" w:hanging="11"/>
              <w:jc w:val="both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高压侧： </w:t>
            </w:r>
            <w:r>
              <w:rPr>
                <w:sz w:val="24"/>
              </w:rPr>
              <w:t>110kV</w:t>
            </w:r>
            <w:r>
              <w:rPr>
                <w:spacing w:val="-9"/>
                <w:sz w:val="24"/>
              </w:rPr>
              <w:t xml:space="preserve"> 低</w:t>
            </w:r>
            <w:r>
              <w:rPr>
                <w:spacing w:val="-4"/>
                <w:sz w:val="24"/>
              </w:rPr>
              <w:t>压侧：</w:t>
            </w:r>
          </w:p>
          <w:p>
            <w:pPr>
              <w:pStyle w:val="TableParagraph"/>
              <w:spacing w:line="358" w:lineRule="exact"/>
              <w:ind w:left="371"/>
              <w:rPr>
                <w:sz w:val="24"/>
              </w:rPr>
            </w:pPr>
            <w:r>
              <w:rPr>
                <w:spacing w:val="-4"/>
                <w:sz w:val="24"/>
              </w:rPr>
              <w:t>35kV</w:t>
            </w:r>
          </w:p>
        </w:tc>
        <w:tc>
          <w:tcPr>
            <w:tcW w:w="1434" w:type="dxa"/>
          </w:tcPr>
          <w:p>
            <w:pPr>
              <w:pStyle w:val="TableParagraph"/>
              <w:spacing w:before="103" w:line="415" w:lineRule="auto"/>
              <w:ind w:left="107" w:right="95" w:firstLine="19"/>
              <w:jc w:val="both"/>
              <w:rPr>
                <w:sz w:val="24"/>
              </w:rPr>
            </w:pPr>
            <w:r>
              <w:rPr>
                <w:sz w:val="24"/>
              </w:rPr>
              <w:t>110kV</w:t>
            </w:r>
            <w:r>
              <w:rPr>
                <w:spacing w:val="-6"/>
                <w:sz w:val="24"/>
              </w:rPr>
              <w:t xml:space="preserve"> 单母</w:t>
            </w:r>
            <w:r>
              <w:rPr>
                <w:spacing w:val="-12"/>
                <w:sz w:val="24"/>
              </w:rPr>
              <w:t>线；35kV</w:t>
            </w:r>
            <w:r>
              <w:rPr>
                <w:spacing w:val="-9"/>
                <w:sz w:val="24"/>
              </w:rPr>
              <w:t xml:space="preserve"> 单</w:t>
            </w:r>
            <w:r>
              <w:rPr>
                <w:spacing w:val="-2"/>
                <w:sz w:val="24"/>
              </w:rPr>
              <w:t>母线或分段</w:t>
            </w:r>
          </w:p>
          <w:p>
            <w:pPr>
              <w:pStyle w:val="TableParagraph"/>
              <w:spacing w:line="358" w:lineRule="exact"/>
              <w:ind w:left="236"/>
              <w:rPr>
                <w:sz w:val="24"/>
              </w:rPr>
            </w:pPr>
            <w:r>
              <w:rPr>
                <w:spacing w:val="-3"/>
                <w:sz w:val="24"/>
              </w:rPr>
              <w:t>接线方式</w:t>
            </w:r>
          </w:p>
        </w:tc>
        <w:tc>
          <w:tcPr>
            <w:tcW w:w="1296" w:type="dxa"/>
          </w:tcPr>
          <w:p>
            <w:pPr>
              <w:pStyle w:val="TableParagraph"/>
              <w:spacing w:before="8"/>
              <w:rPr>
                <w:sz w:val="27"/>
              </w:rPr>
            </w:pPr>
          </w:p>
          <w:p>
            <w:pPr>
              <w:pStyle w:val="TableParagraph"/>
              <w:ind w:left="65" w:right="95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110kV:GIS</w:t>
            </w:r>
          </w:p>
          <w:p>
            <w:pPr>
              <w:pStyle w:val="TableParagraph"/>
              <w:spacing w:before="7"/>
              <w:rPr>
                <w:sz w:val="17"/>
              </w:rPr>
            </w:pPr>
          </w:p>
          <w:p>
            <w:pPr>
              <w:pStyle w:val="TableParagraph"/>
              <w:spacing w:line="415" w:lineRule="auto"/>
              <w:ind w:left="201" w:right="189"/>
              <w:jc w:val="center"/>
              <w:rPr>
                <w:sz w:val="24"/>
              </w:rPr>
            </w:pPr>
            <w:r>
              <w:rPr>
                <w:spacing w:val="3"/>
                <w:sz w:val="24"/>
              </w:rPr>
              <w:t>设备, 户</w:t>
            </w:r>
            <w:r>
              <w:rPr>
                <w:spacing w:val="-10"/>
                <w:sz w:val="24"/>
              </w:rPr>
              <w:t>外</w:t>
            </w:r>
          </w:p>
        </w:tc>
        <w:tc>
          <w:tcPr>
            <w:tcW w:w="1433" w:type="dxa"/>
          </w:tcPr>
          <w:p>
            <w:pPr>
              <w:pStyle w:val="TableParagraph"/>
              <w:spacing w:before="8"/>
              <w:rPr>
                <w:sz w:val="27"/>
              </w:rPr>
            </w:pPr>
          </w:p>
          <w:p>
            <w:pPr>
              <w:pStyle w:val="TableParagraph"/>
              <w:spacing w:line="415" w:lineRule="auto"/>
              <w:ind w:left="107" w:right="-130" w:firstLine="82"/>
              <w:rPr>
                <w:sz w:val="24"/>
              </w:rPr>
            </w:pPr>
            <w:r>
              <w:rPr>
                <w:sz w:val="24"/>
              </w:rPr>
              <w:t>35kV 开关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柜为固定式，</w:t>
            </w:r>
          </w:p>
          <w:p>
            <w:pPr>
              <w:pStyle w:val="TableParagraph"/>
              <w:spacing w:line="359" w:lineRule="exact"/>
              <w:ind w:left="476"/>
              <w:rPr>
                <w:sz w:val="24"/>
              </w:rPr>
            </w:pPr>
            <w:r>
              <w:rPr>
                <w:spacing w:val="-5"/>
                <w:sz w:val="24"/>
              </w:rPr>
              <w:t>户内</w:t>
            </w:r>
          </w:p>
        </w:tc>
        <w:tc>
          <w:tcPr>
            <w:tcW w:w="1256" w:type="dxa"/>
          </w:tcPr>
          <w:p>
            <w:pPr>
              <w:pStyle w:val="TableParagraph"/>
              <w:spacing w:before="8"/>
              <w:rPr>
                <w:sz w:val="27"/>
              </w:rPr>
            </w:pPr>
          </w:p>
          <w:p>
            <w:pPr>
              <w:pStyle w:val="TableParagraph"/>
              <w:spacing w:line="415" w:lineRule="auto"/>
              <w:ind w:left="124" w:right="112" w:hanging="61"/>
              <w:jc w:val="center"/>
              <w:rPr>
                <w:sz w:val="24"/>
              </w:rPr>
            </w:pPr>
            <w:r>
              <w:rPr>
                <w:spacing w:val="-6"/>
                <w:sz w:val="24"/>
              </w:rPr>
              <w:t>海拔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1800m</w:t>
            </w:r>
            <w:r>
              <w:rPr>
                <w:spacing w:val="-9"/>
                <w:sz w:val="24"/>
              </w:rPr>
              <w:t xml:space="preserve"> 及</w:t>
            </w:r>
            <w:r>
              <w:rPr>
                <w:spacing w:val="-6"/>
                <w:sz w:val="24"/>
              </w:rPr>
              <w:t>以上</w:t>
            </w:r>
          </w:p>
        </w:tc>
        <w:tc>
          <w:tcPr>
            <w:tcW w:w="1433" w:type="dxa"/>
          </w:tcPr>
          <w:p>
            <w:pPr>
              <w:pStyle w:val="TableParagraph"/>
              <w:spacing w:before="8"/>
              <w:rPr>
                <w:sz w:val="27"/>
              </w:rPr>
            </w:pPr>
          </w:p>
          <w:p>
            <w:pPr>
              <w:pStyle w:val="TableParagraph"/>
              <w:spacing w:line="415" w:lineRule="auto"/>
              <w:ind w:left="116" w:right="104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云南、贵州</w:t>
            </w:r>
            <w:r>
              <w:rPr>
                <w:spacing w:val="-2"/>
                <w:sz w:val="24"/>
              </w:rPr>
              <w:t>等地区（不</w:t>
            </w:r>
            <w:r>
              <w:rPr>
                <w:spacing w:val="-4"/>
                <w:sz w:val="24"/>
              </w:rPr>
              <w:t>限于）</w:t>
            </w:r>
          </w:p>
        </w:tc>
      </w:tr>
    </w:tbl>
    <w:p>
      <w:pPr>
        <w:spacing w:after="0" w:line="415" w:lineRule="auto"/>
        <w:jc w:val="center"/>
        <w:rPr>
          <w:sz w:val="24"/>
        </w:rPr>
        <w:sectPr>
          <w:pgSz w:w="11910" w:h="16840"/>
          <w:pgMar w:top="1480" w:right="820" w:bottom="280" w:left="1320" w:header="708" w:footer="708"/>
          <w:pgNumType w:start="32"/>
          <w:cols w:space="708"/>
        </w:sectPr>
      </w:pPr>
    </w:p>
    <w:tbl>
      <w:tblPr>
        <w:tblStyle w:val="TableNormal3"/>
        <w:tblW w:w="0" w:type="auto"/>
        <w:jc w:val="left"/>
        <w:tblInd w:w="1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33"/>
        <w:gridCol w:w="1255"/>
        <w:gridCol w:w="1434"/>
        <w:gridCol w:w="1296"/>
        <w:gridCol w:w="1433"/>
        <w:gridCol w:w="1256"/>
        <w:gridCol w:w="1433"/>
      </w:tblGrid>
      <w:tr>
        <w:tblPrEx>
          <w:tblW w:w="0" w:type="auto"/>
          <w:jc w:val="left"/>
          <w:tblInd w:w="12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0"/>
          <w:jc w:val="left"/>
        </w:trPr>
        <w:tc>
          <w:tcPr>
            <w:tcW w:w="1433" w:type="dxa"/>
          </w:tcPr>
          <w:p>
            <w:pPr>
              <w:pStyle w:val="TableParagraph"/>
              <w:rPr>
                <w:sz w:val="24"/>
              </w:rPr>
            </w:pPr>
          </w:p>
          <w:p>
            <w:pPr>
              <w:pStyle w:val="TableParagraph"/>
              <w:rPr>
                <w:sz w:val="24"/>
              </w:rPr>
            </w:pPr>
          </w:p>
          <w:p>
            <w:pPr>
              <w:pStyle w:val="TableParagraph"/>
              <w:rPr>
                <w:sz w:val="21"/>
              </w:rPr>
            </w:pPr>
          </w:p>
          <w:p>
            <w:pPr>
              <w:pStyle w:val="TableParagraph"/>
              <w:spacing w:line="415" w:lineRule="auto"/>
              <w:ind w:left="123" w:right="111" w:firstLine="2"/>
              <w:rPr>
                <w:sz w:val="24"/>
              </w:rPr>
            </w:pPr>
            <w:r>
              <w:rPr>
                <w:sz w:val="24"/>
              </w:rPr>
              <w:t>110kV</w:t>
            </w:r>
            <w:r>
              <w:rPr>
                <w:spacing w:val="-6"/>
                <w:sz w:val="24"/>
              </w:rPr>
              <w:t xml:space="preserve"> 全户</w:t>
            </w:r>
            <w:r>
              <w:rPr>
                <w:spacing w:val="-3"/>
                <w:sz w:val="24"/>
              </w:rPr>
              <w:t xml:space="preserve">内 </w:t>
            </w:r>
            <w:r>
              <w:rPr>
                <w:sz w:val="24"/>
              </w:rPr>
              <w:t>GIS</w:t>
            </w:r>
            <w:r>
              <w:rPr>
                <w:spacing w:val="-6"/>
                <w:sz w:val="24"/>
              </w:rPr>
              <w:t xml:space="preserve"> 设备</w:t>
            </w:r>
          </w:p>
        </w:tc>
        <w:tc>
          <w:tcPr>
            <w:tcW w:w="1255" w:type="dxa"/>
          </w:tcPr>
          <w:p>
            <w:pPr>
              <w:pStyle w:val="TableParagraph"/>
              <w:spacing w:before="8"/>
              <w:rPr>
                <w:sz w:val="27"/>
              </w:rPr>
            </w:pPr>
          </w:p>
          <w:p>
            <w:pPr>
              <w:pStyle w:val="TableParagraph"/>
              <w:spacing w:line="415" w:lineRule="auto"/>
              <w:ind w:left="147" w:right="135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高压侧： </w:t>
            </w:r>
            <w:r>
              <w:rPr>
                <w:sz w:val="24"/>
              </w:rPr>
              <w:t>110kV</w:t>
            </w:r>
            <w:r>
              <w:rPr>
                <w:spacing w:val="-9"/>
                <w:sz w:val="24"/>
              </w:rPr>
              <w:t xml:space="preserve"> 低</w:t>
            </w:r>
            <w:r>
              <w:rPr>
                <w:spacing w:val="-4"/>
                <w:sz w:val="24"/>
              </w:rPr>
              <w:t>压侧： 35kV</w:t>
            </w:r>
          </w:p>
        </w:tc>
        <w:tc>
          <w:tcPr>
            <w:tcW w:w="1434" w:type="dxa"/>
          </w:tcPr>
          <w:p>
            <w:pPr>
              <w:pStyle w:val="TableParagraph"/>
              <w:spacing w:before="103" w:line="415" w:lineRule="auto"/>
              <w:ind w:left="107" w:right="-72" w:firstLine="19"/>
              <w:rPr>
                <w:sz w:val="24"/>
              </w:rPr>
            </w:pPr>
            <w:r>
              <w:rPr>
                <w:sz w:val="24"/>
              </w:rPr>
              <w:t>110kV 单母</w:t>
            </w:r>
            <w:r>
              <w:rPr>
                <w:spacing w:val="-12"/>
                <w:sz w:val="24"/>
              </w:rPr>
              <w:t>线或线变组；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35kV 单母</w:t>
            </w:r>
          </w:p>
          <w:p>
            <w:pPr>
              <w:pStyle w:val="TableParagraph"/>
              <w:spacing w:line="358" w:lineRule="exact"/>
              <w:ind w:left="116"/>
              <w:rPr>
                <w:sz w:val="24"/>
              </w:rPr>
            </w:pPr>
            <w:r>
              <w:rPr>
                <w:spacing w:val="-2"/>
                <w:sz w:val="24"/>
              </w:rPr>
              <w:t>线或分段接</w:t>
            </w:r>
          </w:p>
          <w:p>
            <w:pPr>
              <w:pStyle w:val="TableParagraph"/>
              <w:spacing w:before="6"/>
              <w:rPr>
                <w:sz w:val="17"/>
              </w:rPr>
            </w:pPr>
          </w:p>
          <w:p>
            <w:pPr>
              <w:pStyle w:val="TableParagraph"/>
              <w:ind w:left="356"/>
              <w:rPr>
                <w:sz w:val="24"/>
              </w:rPr>
            </w:pPr>
            <w:r>
              <w:rPr>
                <w:spacing w:val="-4"/>
                <w:sz w:val="24"/>
              </w:rPr>
              <w:t>线方式</w:t>
            </w:r>
          </w:p>
        </w:tc>
        <w:tc>
          <w:tcPr>
            <w:tcW w:w="1296" w:type="dxa"/>
          </w:tcPr>
          <w:p>
            <w:pPr>
              <w:pStyle w:val="TableParagraph"/>
              <w:rPr>
                <w:sz w:val="24"/>
              </w:rPr>
            </w:pPr>
          </w:p>
          <w:p>
            <w:pPr>
              <w:pStyle w:val="TableParagraph"/>
              <w:rPr>
                <w:sz w:val="24"/>
              </w:rPr>
            </w:pPr>
          </w:p>
          <w:p>
            <w:pPr>
              <w:pStyle w:val="TableParagraph"/>
              <w:rPr>
                <w:sz w:val="21"/>
              </w:rPr>
            </w:pPr>
          </w:p>
          <w:p>
            <w:pPr>
              <w:pStyle w:val="TableParagraph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110kV:GIS</w:t>
            </w:r>
          </w:p>
          <w:p>
            <w:pPr>
              <w:pStyle w:val="TableParagraph"/>
              <w:spacing w:before="6"/>
              <w:rPr>
                <w:sz w:val="17"/>
              </w:rPr>
            </w:pPr>
          </w:p>
          <w:p>
            <w:pPr>
              <w:pStyle w:val="TableParagraph"/>
              <w:ind w:left="108"/>
              <w:rPr>
                <w:sz w:val="24"/>
              </w:rPr>
            </w:pPr>
            <w:r>
              <w:rPr>
                <w:spacing w:val="-26"/>
                <w:sz w:val="24"/>
              </w:rPr>
              <w:t>设备，户内</w:t>
            </w:r>
          </w:p>
        </w:tc>
        <w:tc>
          <w:tcPr>
            <w:tcW w:w="1433" w:type="dxa"/>
          </w:tcPr>
          <w:p>
            <w:pPr>
              <w:pStyle w:val="TableParagraph"/>
              <w:rPr>
                <w:sz w:val="24"/>
              </w:rPr>
            </w:pPr>
          </w:p>
          <w:p>
            <w:pPr>
              <w:pStyle w:val="TableParagraph"/>
              <w:spacing w:before="4"/>
              <w:rPr>
                <w:sz w:val="24"/>
              </w:rPr>
            </w:pPr>
          </w:p>
          <w:p>
            <w:pPr>
              <w:pStyle w:val="TableParagraph"/>
              <w:spacing w:line="415" w:lineRule="auto"/>
              <w:ind w:left="107" w:right="-130" w:firstLine="82"/>
              <w:rPr>
                <w:sz w:val="24"/>
              </w:rPr>
            </w:pPr>
            <w:r>
              <w:rPr>
                <w:sz w:val="24"/>
              </w:rPr>
              <w:t>35kV 开关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柜为手车式，</w:t>
            </w:r>
          </w:p>
          <w:p>
            <w:pPr>
              <w:pStyle w:val="TableParagraph"/>
              <w:spacing w:line="359" w:lineRule="exact"/>
              <w:ind w:left="476"/>
              <w:rPr>
                <w:sz w:val="24"/>
              </w:rPr>
            </w:pPr>
            <w:r>
              <w:rPr>
                <w:spacing w:val="-5"/>
                <w:sz w:val="24"/>
              </w:rPr>
              <w:t>户内</w:t>
            </w:r>
          </w:p>
        </w:tc>
        <w:tc>
          <w:tcPr>
            <w:tcW w:w="1256" w:type="dxa"/>
          </w:tcPr>
          <w:p>
            <w:pPr>
              <w:pStyle w:val="TableParagraph"/>
              <w:rPr>
                <w:sz w:val="24"/>
              </w:rPr>
            </w:pPr>
          </w:p>
          <w:p>
            <w:pPr>
              <w:pStyle w:val="TableParagraph"/>
              <w:spacing w:before="4"/>
              <w:rPr>
                <w:sz w:val="24"/>
              </w:rPr>
            </w:pPr>
          </w:p>
          <w:p>
            <w:pPr>
              <w:pStyle w:val="TableParagraph"/>
              <w:spacing w:line="415" w:lineRule="auto"/>
              <w:ind w:left="107" w:right="-72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滨海地区，</w:t>
            </w:r>
            <w:r>
              <w:rPr>
                <w:spacing w:val="-4"/>
                <w:sz w:val="24"/>
              </w:rPr>
              <w:t>污秽相称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pacing w:val="-6"/>
                <w:sz w:val="24"/>
              </w:rPr>
              <w:t>严重</w:t>
            </w:r>
          </w:p>
        </w:tc>
        <w:tc>
          <w:tcPr>
            <w:tcW w:w="1433" w:type="dxa"/>
          </w:tcPr>
          <w:p>
            <w:pPr>
              <w:pStyle w:val="TableParagraph"/>
              <w:rPr>
                <w:sz w:val="24"/>
              </w:rPr>
            </w:pPr>
          </w:p>
          <w:p>
            <w:pPr>
              <w:pStyle w:val="TableParagraph"/>
              <w:spacing w:before="4"/>
              <w:rPr>
                <w:sz w:val="24"/>
              </w:rPr>
            </w:pPr>
          </w:p>
          <w:p>
            <w:pPr>
              <w:pStyle w:val="TableParagraph"/>
              <w:spacing w:line="415" w:lineRule="auto"/>
              <w:ind w:left="236" w:right="104" w:hanging="120"/>
              <w:rPr>
                <w:sz w:val="24"/>
              </w:rPr>
            </w:pPr>
            <w:r>
              <w:rPr>
                <w:spacing w:val="-2"/>
                <w:sz w:val="24"/>
              </w:rPr>
              <w:t>江苏、山东</w:t>
            </w:r>
            <w:r>
              <w:rPr>
                <w:spacing w:val="-4"/>
                <w:sz w:val="24"/>
              </w:rPr>
              <w:t>沿海地区</w:t>
            </w:r>
          </w:p>
          <w:p>
            <w:pPr>
              <w:pStyle w:val="TableParagraph"/>
              <w:spacing w:line="359" w:lineRule="exact"/>
              <w:ind w:left="116"/>
              <w:rPr>
                <w:sz w:val="24"/>
              </w:rPr>
            </w:pPr>
            <w:r>
              <w:rPr>
                <w:sz w:val="24"/>
              </w:rPr>
              <w:t>（不限于</w:t>
            </w:r>
            <w:r>
              <w:rPr>
                <w:spacing w:val="-10"/>
                <w:sz w:val="24"/>
              </w:rPr>
              <w:t>）</w:t>
            </w:r>
          </w:p>
        </w:tc>
      </w:tr>
    </w:tbl>
    <w:p>
      <w:pPr>
        <w:sectPr>
          <w:type w:val="continuous"/>
          <w:pgSz w:w="11910" w:h="16840"/>
          <w:pgMar w:top="1400" w:right="820" w:bottom="280" w:left="1320" w:header="708" w:footer="708"/>
          <w:pgNumType w:start="33"/>
          <w:cols w:space="708"/>
        </w:sectPr>
      </w:pPr>
    </w:p>
    <w:tbl>
      <w:tblPr>
        <w:tblStyle w:val="TableNormal4"/>
        <w:tblW w:w="0" w:type="auto"/>
        <w:jc w:val="left"/>
        <w:tblInd w:w="1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33"/>
        <w:gridCol w:w="1255"/>
        <w:gridCol w:w="1434"/>
        <w:gridCol w:w="1296"/>
        <w:gridCol w:w="1433"/>
        <w:gridCol w:w="1256"/>
        <w:gridCol w:w="1433"/>
      </w:tblGrid>
      <w:tr>
        <w:tblPrEx>
          <w:tblW w:w="0" w:type="auto"/>
          <w:jc w:val="left"/>
          <w:tblInd w:w="12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95"/>
          <w:jc w:val="left"/>
        </w:trPr>
        <w:tc>
          <w:tcPr>
            <w:tcW w:w="1433" w:type="dxa"/>
          </w:tcPr>
          <w:p>
            <w:pPr>
              <w:pStyle w:val="TableParagraph"/>
              <w:rPr>
                <w:sz w:val="24"/>
              </w:rPr>
            </w:pPr>
          </w:p>
          <w:p>
            <w:pPr>
              <w:pStyle w:val="TableParagraph"/>
              <w:spacing w:before="4"/>
              <w:rPr>
                <w:sz w:val="24"/>
              </w:rPr>
            </w:pPr>
          </w:p>
          <w:p>
            <w:pPr>
              <w:pStyle w:val="TableParagraph"/>
              <w:spacing w:line="415" w:lineRule="auto"/>
              <w:ind w:left="236" w:right="114" w:hanging="110"/>
              <w:rPr>
                <w:sz w:val="24"/>
              </w:rPr>
            </w:pPr>
            <w:r>
              <w:rPr>
                <w:sz w:val="24"/>
              </w:rPr>
              <w:t>220kV</w:t>
            </w:r>
            <w:r>
              <w:rPr>
                <w:spacing w:val="-6"/>
                <w:sz w:val="24"/>
              </w:rPr>
              <w:t xml:space="preserve"> 常规</w:t>
            </w:r>
            <w:r>
              <w:rPr>
                <w:spacing w:val="-4"/>
                <w:sz w:val="24"/>
              </w:rPr>
              <w:t>户外设备</w:t>
            </w:r>
          </w:p>
        </w:tc>
        <w:tc>
          <w:tcPr>
            <w:tcW w:w="1255" w:type="dxa"/>
          </w:tcPr>
          <w:p>
            <w:pPr>
              <w:pStyle w:val="TableParagraph"/>
              <w:spacing w:before="103" w:line="415" w:lineRule="auto"/>
              <w:ind w:left="157" w:right="135" w:hanging="11"/>
              <w:jc w:val="both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高压侧： </w:t>
            </w:r>
            <w:r>
              <w:rPr>
                <w:sz w:val="24"/>
              </w:rPr>
              <w:t>220kV</w:t>
            </w:r>
            <w:r>
              <w:rPr>
                <w:spacing w:val="-9"/>
                <w:sz w:val="24"/>
              </w:rPr>
              <w:t xml:space="preserve"> 低</w:t>
            </w:r>
            <w:r>
              <w:rPr>
                <w:spacing w:val="-4"/>
                <w:sz w:val="24"/>
              </w:rPr>
              <w:t>压侧：</w:t>
            </w:r>
          </w:p>
          <w:p>
            <w:pPr>
              <w:pStyle w:val="TableParagraph"/>
              <w:spacing w:line="358" w:lineRule="exact"/>
              <w:ind w:left="371"/>
              <w:rPr>
                <w:sz w:val="24"/>
              </w:rPr>
            </w:pPr>
            <w:r>
              <w:rPr>
                <w:spacing w:val="-4"/>
                <w:sz w:val="24"/>
              </w:rPr>
              <w:t>35kV</w:t>
            </w:r>
          </w:p>
        </w:tc>
        <w:tc>
          <w:tcPr>
            <w:tcW w:w="1434" w:type="dxa"/>
          </w:tcPr>
          <w:p>
            <w:pPr>
              <w:pStyle w:val="TableParagraph"/>
              <w:spacing w:before="103" w:line="415" w:lineRule="auto"/>
              <w:ind w:left="107" w:right="95" w:firstLine="19"/>
              <w:jc w:val="both"/>
              <w:rPr>
                <w:sz w:val="24"/>
              </w:rPr>
            </w:pPr>
            <w:r>
              <w:rPr>
                <w:sz w:val="24"/>
              </w:rPr>
              <w:t>220kV</w:t>
            </w:r>
            <w:r>
              <w:rPr>
                <w:spacing w:val="-6"/>
                <w:sz w:val="24"/>
              </w:rPr>
              <w:t xml:space="preserve"> 单母</w:t>
            </w:r>
            <w:r>
              <w:rPr>
                <w:spacing w:val="-12"/>
                <w:sz w:val="24"/>
              </w:rPr>
              <w:t>线；35kV</w:t>
            </w:r>
            <w:r>
              <w:rPr>
                <w:spacing w:val="-9"/>
                <w:sz w:val="24"/>
              </w:rPr>
              <w:t xml:space="preserve"> 单</w:t>
            </w:r>
            <w:r>
              <w:rPr>
                <w:spacing w:val="-2"/>
                <w:sz w:val="24"/>
              </w:rPr>
              <w:t>母线或分段</w:t>
            </w:r>
          </w:p>
          <w:p>
            <w:pPr>
              <w:pStyle w:val="TableParagraph"/>
              <w:spacing w:line="358" w:lineRule="exact"/>
              <w:ind w:left="236"/>
              <w:rPr>
                <w:sz w:val="24"/>
              </w:rPr>
            </w:pPr>
            <w:r>
              <w:rPr>
                <w:spacing w:val="-3"/>
                <w:sz w:val="24"/>
              </w:rPr>
              <w:t>接线方式</w:t>
            </w:r>
          </w:p>
        </w:tc>
        <w:tc>
          <w:tcPr>
            <w:tcW w:w="1296" w:type="dxa"/>
          </w:tcPr>
          <w:p>
            <w:pPr>
              <w:pStyle w:val="TableParagraph"/>
              <w:spacing w:before="8"/>
              <w:rPr>
                <w:sz w:val="27"/>
              </w:rPr>
            </w:pPr>
          </w:p>
          <w:p>
            <w:pPr>
              <w:pStyle w:val="TableParagraph"/>
              <w:spacing w:line="415" w:lineRule="auto"/>
              <w:ind w:left="108" w:right="95"/>
              <w:jc w:val="center"/>
              <w:rPr>
                <w:sz w:val="24"/>
              </w:rPr>
            </w:pPr>
            <w:r>
              <w:rPr>
                <w:spacing w:val="-8"/>
                <w:sz w:val="24"/>
              </w:rPr>
              <w:t>220kV：常</w:t>
            </w:r>
            <w:r>
              <w:rPr>
                <w:spacing w:val="-28"/>
                <w:sz w:val="24"/>
              </w:rPr>
              <w:t>规设备，户</w:t>
            </w:r>
            <w:r>
              <w:rPr>
                <w:spacing w:val="-10"/>
                <w:sz w:val="24"/>
              </w:rPr>
              <w:t>外</w:t>
            </w:r>
          </w:p>
        </w:tc>
        <w:tc>
          <w:tcPr>
            <w:tcW w:w="1433" w:type="dxa"/>
          </w:tcPr>
          <w:p>
            <w:pPr>
              <w:pStyle w:val="TableParagraph"/>
              <w:spacing w:before="8"/>
              <w:rPr>
                <w:sz w:val="27"/>
              </w:rPr>
            </w:pPr>
          </w:p>
          <w:p>
            <w:pPr>
              <w:pStyle w:val="TableParagraph"/>
              <w:spacing w:line="415" w:lineRule="auto"/>
              <w:ind w:left="107" w:right="-130" w:firstLine="82"/>
              <w:rPr>
                <w:sz w:val="24"/>
              </w:rPr>
            </w:pPr>
            <w:r>
              <w:rPr>
                <w:sz w:val="24"/>
              </w:rPr>
              <w:t>35kV 开关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柜为手车式，</w:t>
            </w:r>
          </w:p>
          <w:p>
            <w:pPr>
              <w:pStyle w:val="TableParagraph"/>
              <w:spacing w:line="359" w:lineRule="exact"/>
              <w:ind w:left="476"/>
              <w:rPr>
                <w:sz w:val="24"/>
              </w:rPr>
            </w:pPr>
            <w:r>
              <w:rPr>
                <w:spacing w:val="-5"/>
                <w:sz w:val="24"/>
              </w:rPr>
              <w:t>户内</w:t>
            </w:r>
          </w:p>
        </w:tc>
        <w:tc>
          <w:tcPr>
            <w:tcW w:w="1256" w:type="dxa"/>
          </w:tcPr>
          <w:p>
            <w:pPr>
              <w:pStyle w:val="TableParagraph"/>
              <w:spacing w:before="8"/>
              <w:rPr>
                <w:sz w:val="27"/>
              </w:rPr>
            </w:pPr>
          </w:p>
          <w:p>
            <w:pPr>
              <w:pStyle w:val="TableParagraph"/>
              <w:spacing w:line="415" w:lineRule="auto"/>
              <w:ind w:left="124" w:right="112" w:hanging="61"/>
              <w:jc w:val="center"/>
              <w:rPr>
                <w:sz w:val="24"/>
              </w:rPr>
            </w:pPr>
            <w:r>
              <w:rPr>
                <w:spacing w:val="-6"/>
                <w:sz w:val="24"/>
              </w:rPr>
              <w:t>海拔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1800m</w:t>
            </w:r>
            <w:r>
              <w:rPr>
                <w:spacing w:val="-9"/>
                <w:sz w:val="24"/>
              </w:rPr>
              <w:t xml:space="preserve"> 下</w:t>
            </w:r>
            <w:r>
              <w:rPr>
                <w:spacing w:val="-10"/>
                <w:sz w:val="24"/>
              </w:rPr>
              <w:t>列</w:t>
            </w:r>
          </w:p>
        </w:tc>
        <w:tc>
          <w:tcPr>
            <w:tcW w:w="1433" w:type="dxa"/>
          </w:tcPr>
          <w:p>
            <w:pPr>
              <w:pStyle w:val="TableParagraph"/>
              <w:spacing w:before="103" w:line="415" w:lineRule="auto"/>
              <w:ind w:left="116" w:right="-29" w:hanging="9"/>
              <w:rPr>
                <w:sz w:val="24"/>
              </w:rPr>
            </w:pPr>
            <w:r>
              <w:rPr>
                <w:spacing w:val="-20"/>
                <w:sz w:val="24"/>
              </w:rPr>
              <w:t>东北、河北、</w:t>
            </w:r>
            <w:r>
              <w:rPr>
                <w:spacing w:val="-2"/>
                <w:sz w:val="24"/>
              </w:rPr>
              <w:t>新疆、内蒙</w:t>
            </w:r>
            <w:r>
              <w:rPr>
                <w:spacing w:val="-2"/>
                <w:sz w:val="24"/>
              </w:rPr>
              <w:t>等地区（不</w:t>
            </w:r>
          </w:p>
          <w:p>
            <w:pPr>
              <w:pStyle w:val="TableParagraph"/>
              <w:spacing w:line="358" w:lineRule="exact"/>
              <w:ind w:left="356"/>
              <w:rPr>
                <w:sz w:val="24"/>
              </w:rPr>
            </w:pPr>
            <w:r>
              <w:rPr>
                <w:sz w:val="24"/>
              </w:rPr>
              <w:t>限于</w:t>
            </w:r>
            <w:r>
              <w:rPr>
                <w:spacing w:val="-10"/>
                <w:sz w:val="24"/>
              </w:rPr>
              <w:t>）</w:t>
            </w:r>
          </w:p>
        </w:tc>
      </w:tr>
      <w:tr>
        <w:tblPrEx>
          <w:tblW w:w="0" w:type="auto"/>
          <w:jc w:val="left"/>
          <w:tblInd w:w="12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95"/>
          <w:jc w:val="left"/>
        </w:trPr>
        <w:tc>
          <w:tcPr>
            <w:tcW w:w="1433" w:type="dxa"/>
          </w:tcPr>
          <w:p>
            <w:pPr>
              <w:pStyle w:val="TableParagraph"/>
              <w:spacing w:before="8"/>
              <w:rPr>
                <w:sz w:val="27"/>
              </w:rPr>
            </w:pPr>
          </w:p>
          <w:p>
            <w:pPr>
              <w:pStyle w:val="TableParagraph"/>
              <w:ind w:left="126"/>
              <w:rPr>
                <w:sz w:val="24"/>
              </w:rPr>
            </w:pPr>
            <w:r>
              <w:rPr>
                <w:sz w:val="24"/>
              </w:rPr>
              <w:t>220kV</w:t>
            </w:r>
            <w:r>
              <w:rPr>
                <w:spacing w:val="-6"/>
                <w:sz w:val="24"/>
              </w:rPr>
              <w:t xml:space="preserve"> 户外</w:t>
            </w:r>
          </w:p>
          <w:p>
            <w:pPr>
              <w:pStyle w:val="TableParagraph"/>
              <w:spacing w:before="7"/>
              <w:rPr>
                <w:sz w:val="17"/>
              </w:rPr>
            </w:pPr>
          </w:p>
          <w:p>
            <w:pPr>
              <w:pStyle w:val="TableParagraph"/>
              <w:spacing w:line="415" w:lineRule="auto"/>
              <w:ind w:left="236" w:right="104" w:hanging="120"/>
              <w:rPr>
                <w:sz w:val="24"/>
              </w:rPr>
            </w:pPr>
            <w:r>
              <w:rPr>
                <w:spacing w:val="-2"/>
                <w:sz w:val="24"/>
              </w:rPr>
              <w:t>（管母线</w:t>
            </w:r>
            <w:r>
              <w:rPr>
                <w:spacing w:val="-2"/>
                <w:sz w:val="24"/>
              </w:rPr>
              <w:t>）</w:t>
            </w:r>
            <w:r>
              <w:rPr>
                <w:spacing w:val="-4"/>
                <w:sz w:val="24"/>
              </w:rPr>
              <w:t>常规设备</w:t>
            </w:r>
          </w:p>
        </w:tc>
        <w:tc>
          <w:tcPr>
            <w:tcW w:w="1255" w:type="dxa"/>
          </w:tcPr>
          <w:p>
            <w:pPr>
              <w:pStyle w:val="TableParagraph"/>
              <w:spacing w:before="103" w:line="415" w:lineRule="auto"/>
              <w:ind w:left="157" w:right="135" w:hanging="11"/>
              <w:jc w:val="both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高压侧： </w:t>
            </w:r>
            <w:r>
              <w:rPr>
                <w:sz w:val="24"/>
              </w:rPr>
              <w:t>220kV</w:t>
            </w:r>
            <w:r>
              <w:rPr>
                <w:spacing w:val="-9"/>
                <w:sz w:val="24"/>
              </w:rPr>
              <w:t xml:space="preserve"> 低</w:t>
            </w:r>
            <w:r>
              <w:rPr>
                <w:spacing w:val="-4"/>
                <w:sz w:val="24"/>
              </w:rPr>
              <w:t>压侧：</w:t>
            </w:r>
          </w:p>
          <w:p>
            <w:pPr>
              <w:pStyle w:val="TableParagraph"/>
              <w:spacing w:line="358" w:lineRule="exact"/>
              <w:ind w:left="371"/>
              <w:rPr>
                <w:sz w:val="24"/>
              </w:rPr>
            </w:pPr>
            <w:r>
              <w:rPr>
                <w:spacing w:val="-4"/>
                <w:sz w:val="24"/>
              </w:rPr>
              <w:t>35kV</w:t>
            </w:r>
          </w:p>
        </w:tc>
        <w:tc>
          <w:tcPr>
            <w:tcW w:w="1434" w:type="dxa"/>
          </w:tcPr>
          <w:p>
            <w:pPr>
              <w:pStyle w:val="TableParagraph"/>
              <w:spacing w:before="103" w:line="415" w:lineRule="auto"/>
              <w:ind w:left="107" w:right="95" w:firstLine="19"/>
              <w:jc w:val="both"/>
              <w:rPr>
                <w:sz w:val="24"/>
              </w:rPr>
            </w:pPr>
            <w:r>
              <w:rPr>
                <w:sz w:val="24"/>
              </w:rPr>
              <w:t>220kV</w:t>
            </w:r>
            <w:r>
              <w:rPr>
                <w:spacing w:val="-6"/>
                <w:sz w:val="24"/>
              </w:rPr>
              <w:t xml:space="preserve"> 单母</w:t>
            </w:r>
            <w:r>
              <w:rPr>
                <w:spacing w:val="-12"/>
                <w:sz w:val="24"/>
              </w:rPr>
              <w:t>线；35kV</w:t>
            </w:r>
            <w:r>
              <w:rPr>
                <w:spacing w:val="-9"/>
                <w:sz w:val="24"/>
              </w:rPr>
              <w:t xml:space="preserve"> 单</w:t>
            </w:r>
            <w:r>
              <w:rPr>
                <w:spacing w:val="-2"/>
                <w:sz w:val="24"/>
              </w:rPr>
              <w:t>母线或分段</w:t>
            </w:r>
          </w:p>
          <w:p>
            <w:pPr>
              <w:pStyle w:val="TableParagraph"/>
              <w:spacing w:line="358" w:lineRule="exact"/>
              <w:ind w:left="236"/>
              <w:rPr>
                <w:sz w:val="24"/>
              </w:rPr>
            </w:pPr>
            <w:r>
              <w:rPr>
                <w:spacing w:val="-3"/>
                <w:sz w:val="24"/>
              </w:rPr>
              <w:t>接线方式</w:t>
            </w:r>
          </w:p>
        </w:tc>
        <w:tc>
          <w:tcPr>
            <w:tcW w:w="1296" w:type="dxa"/>
          </w:tcPr>
          <w:p>
            <w:pPr>
              <w:pStyle w:val="TableParagraph"/>
              <w:spacing w:before="8"/>
              <w:rPr>
                <w:sz w:val="27"/>
              </w:rPr>
            </w:pPr>
          </w:p>
          <w:p>
            <w:pPr>
              <w:pStyle w:val="TableParagraph"/>
              <w:spacing w:line="415" w:lineRule="auto"/>
              <w:ind w:left="108" w:right="95"/>
              <w:jc w:val="center"/>
              <w:rPr>
                <w:sz w:val="24"/>
              </w:rPr>
            </w:pPr>
            <w:r>
              <w:rPr>
                <w:spacing w:val="-8"/>
                <w:sz w:val="24"/>
              </w:rPr>
              <w:t>220kV：常</w:t>
            </w:r>
            <w:r>
              <w:rPr>
                <w:spacing w:val="-28"/>
                <w:sz w:val="24"/>
              </w:rPr>
              <w:t>规设备，户</w:t>
            </w:r>
            <w:r>
              <w:rPr>
                <w:spacing w:val="-10"/>
                <w:sz w:val="24"/>
              </w:rPr>
              <w:t>外</w:t>
            </w:r>
          </w:p>
        </w:tc>
        <w:tc>
          <w:tcPr>
            <w:tcW w:w="1433" w:type="dxa"/>
          </w:tcPr>
          <w:p>
            <w:pPr>
              <w:pStyle w:val="TableParagraph"/>
              <w:spacing w:before="8"/>
              <w:rPr>
                <w:sz w:val="27"/>
              </w:rPr>
            </w:pPr>
          </w:p>
          <w:p>
            <w:pPr>
              <w:pStyle w:val="TableParagraph"/>
              <w:spacing w:line="415" w:lineRule="auto"/>
              <w:ind w:left="107" w:right="-130" w:firstLine="82"/>
              <w:rPr>
                <w:sz w:val="24"/>
              </w:rPr>
            </w:pPr>
            <w:r>
              <w:rPr>
                <w:sz w:val="24"/>
              </w:rPr>
              <w:t>35kV 开关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柜为手车式，</w:t>
            </w:r>
          </w:p>
          <w:p>
            <w:pPr>
              <w:pStyle w:val="TableParagraph"/>
              <w:spacing w:line="359" w:lineRule="exact"/>
              <w:ind w:left="476"/>
              <w:rPr>
                <w:sz w:val="24"/>
              </w:rPr>
            </w:pPr>
            <w:r>
              <w:rPr>
                <w:spacing w:val="-5"/>
                <w:sz w:val="24"/>
              </w:rPr>
              <w:t>户内</w:t>
            </w:r>
          </w:p>
        </w:tc>
        <w:tc>
          <w:tcPr>
            <w:tcW w:w="1256" w:type="dxa"/>
          </w:tcPr>
          <w:p>
            <w:pPr>
              <w:pStyle w:val="TableParagraph"/>
              <w:spacing w:before="8"/>
              <w:rPr>
                <w:sz w:val="27"/>
              </w:rPr>
            </w:pPr>
          </w:p>
          <w:p>
            <w:pPr>
              <w:pStyle w:val="TableParagraph"/>
              <w:spacing w:line="415" w:lineRule="auto"/>
              <w:ind w:left="124" w:right="112" w:hanging="61"/>
              <w:jc w:val="center"/>
              <w:rPr>
                <w:sz w:val="24"/>
              </w:rPr>
            </w:pPr>
            <w:r>
              <w:rPr>
                <w:spacing w:val="-6"/>
                <w:sz w:val="24"/>
              </w:rPr>
              <w:t>海拔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1800m</w:t>
            </w:r>
            <w:r>
              <w:rPr>
                <w:spacing w:val="-9"/>
                <w:sz w:val="24"/>
              </w:rPr>
              <w:t xml:space="preserve"> 下</w:t>
            </w:r>
            <w:r>
              <w:rPr>
                <w:spacing w:val="-10"/>
                <w:sz w:val="24"/>
              </w:rPr>
              <w:t>列</w:t>
            </w:r>
          </w:p>
        </w:tc>
        <w:tc>
          <w:tcPr>
            <w:tcW w:w="1433" w:type="dxa"/>
          </w:tcPr>
          <w:p>
            <w:pPr>
              <w:pStyle w:val="TableParagraph"/>
              <w:spacing w:before="103" w:line="415" w:lineRule="auto"/>
              <w:ind w:left="116" w:right="-29" w:hanging="9"/>
              <w:rPr>
                <w:sz w:val="24"/>
              </w:rPr>
            </w:pPr>
            <w:r>
              <w:rPr>
                <w:spacing w:val="-20"/>
                <w:sz w:val="24"/>
              </w:rPr>
              <w:t>东北、河北、</w:t>
            </w:r>
            <w:r>
              <w:rPr>
                <w:spacing w:val="-2"/>
                <w:sz w:val="24"/>
              </w:rPr>
              <w:t>新疆、内蒙</w:t>
            </w:r>
            <w:r>
              <w:rPr>
                <w:spacing w:val="-2"/>
                <w:sz w:val="24"/>
              </w:rPr>
              <w:t>等地区（不</w:t>
            </w:r>
          </w:p>
          <w:p>
            <w:pPr>
              <w:pStyle w:val="TableParagraph"/>
              <w:spacing w:line="358" w:lineRule="exact"/>
              <w:ind w:left="356"/>
              <w:rPr>
                <w:sz w:val="24"/>
              </w:rPr>
            </w:pPr>
            <w:r>
              <w:rPr>
                <w:sz w:val="24"/>
              </w:rPr>
              <w:t>限于</w:t>
            </w:r>
            <w:r>
              <w:rPr>
                <w:spacing w:val="-10"/>
                <w:sz w:val="24"/>
              </w:rPr>
              <w:t>）</w:t>
            </w:r>
          </w:p>
        </w:tc>
      </w:tr>
      <w:tr>
        <w:tblPrEx>
          <w:tblW w:w="0" w:type="auto"/>
          <w:jc w:val="left"/>
          <w:tblInd w:w="12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95"/>
          <w:jc w:val="left"/>
        </w:trPr>
        <w:tc>
          <w:tcPr>
            <w:tcW w:w="1433" w:type="dxa"/>
          </w:tcPr>
          <w:p>
            <w:pPr>
              <w:pStyle w:val="TableParagraph"/>
              <w:rPr>
                <w:sz w:val="24"/>
              </w:rPr>
            </w:pPr>
          </w:p>
          <w:p>
            <w:pPr>
              <w:pStyle w:val="TableParagraph"/>
              <w:spacing w:before="4"/>
              <w:rPr>
                <w:sz w:val="24"/>
              </w:rPr>
            </w:pPr>
          </w:p>
          <w:p>
            <w:pPr>
              <w:pStyle w:val="TableParagraph"/>
              <w:ind w:left="79" w:right="104"/>
              <w:jc w:val="center"/>
              <w:rPr>
                <w:sz w:val="24"/>
              </w:rPr>
            </w:pPr>
            <w:r>
              <w:rPr>
                <w:sz w:val="24"/>
              </w:rPr>
              <w:t>220kV</w:t>
            </w:r>
            <w:r>
              <w:rPr>
                <w:spacing w:val="-6"/>
                <w:sz w:val="24"/>
              </w:rPr>
              <w:t xml:space="preserve"> 户外</w:t>
            </w:r>
          </w:p>
          <w:p>
            <w:pPr>
              <w:pStyle w:val="TableParagraph"/>
              <w:spacing w:before="6"/>
              <w:rPr>
                <w:sz w:val="17"/>
              </w:rPr>
            </w:pPr>
          </w:p>
          <w:p>
            <w:pPr>
              <w:pStyle w:val="TableParagraph"/>
              <w:spacing w:before="1"/>
              <w:ind w:left="188" w:right="178"/>
              <w:jc w:val="center"/>
              <w:rPr>
                <w:sz w:val="24"/>
              </w:rPr>
            </w:pPr>
            <w:r>
              <w:rPr>
                <w:sz w:val="24"/>
              </w:rPr>
              <w:t>GIS</w:t>
            </w:r>
            <w:r>
              <w:rPr>
                <w:spacing w:val="-6"/>
                <w:sz w:val="24"/>
              </w:rPr>
              <w:t xml:space="preserve"> 设备</w:t>
            </w:r>
          </w:p>
        </w:tc>
        <w:tc>
          <w:tcPr>
            <w:tcW w:w="1255" w:type="dxa"/>
          </w:tcPr>
          <w:p>
            <w:pPr>
              <w:pStyle w:val="TableParagraph"/>
              <w:spacing w:before="103" w:line="415" w:lineRule="auto"/>
              <w:ind w:left="157" w:right="135" w:hanging="11"/>
              <w:jc w:val="both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高压侧： </w:t>
            </w:r>
            <w:r>
              <w:rPr>
                <w:sz w:val="24"/>
              </w:rPr>
              <w:t>220kV</w:t>
            </w:r>
            <w:r>
              <w:rPr>
                <w:spacing w:val="-9"/>
                <w:sz w:val="24"/>
              </w:rPr>
              <w:t xml:space="preserve"> 低</w:t>
            </w:r>
            <w:r>
              <w:rPr>
                <w:spacing w:val="-4"/>
                <w:sz w:val="24"/>
              </w:rPr>
              <w:t>压侧：</w:t>
            </w:r>
          </w:p>
          <w:p>
            <w:pPr>
              <w:pStyle w:val="TableParagraph"/>
              <w:spacing w:line="358" w:lineRule="exact"/>
              <w:ind w:left="371"/>
              <w:rPr>
                <w:sz w:val="24"/>
              </w:rPr>
            </w:pPr>
            <w:r>
              <w:rPr>
                <w:spacing w:val="-4"/>
                <w:sz w:val="24"/>
              </w:rPr>
              <w:t>35kV</w:t>
            </w:r>
          </w:p>
        </w:tc>
        <w:tc>
          <w:tcPr>
            <w:tcW w:w="1434" w:type="dxa"/>
          </w:tcPr>
          <w:p>
            <w:pPr>
              <w:pStyle w:val="TableParagraph"/>
              <w:spacing w:before="103" w:line="415" w:lineRule="auto"/>
              <w:ind w:left="107" w:right="95" w:firstLine="19"/>
              <w:jc w:val="both"/>
              <w:rPr>
                <w:sz w:val="24"/>
              </w:rPr>
            </w:pPr>
            <w:r>
              <w:rPr>
                <w:sz w:val="24"/>
              </w:rPr>
              <w:t>220kV</w:t>
            </w:r>
            <w:r>
              <w:rPr>
                <w:spacing w:val="-6"/>
                <w:sz w:val="24"/>
              </w:rPr>
              <w:t xml:space="preserve"> 单母</w:t>
            </w:r>
            <w:r>
              <w:rPr>
                <w:spacing w:val="-12"/>
                <w:sz w:val="24"/>
              </w:rPr>
              <w:t>线；35kV</w:t>
            </w:r>
            <w:r>
              <w:rPr>
                <w:spacing w:val="-9"/>
                <w:sz w:val="24"/>
              </w:rPr>
              <w:t xml:space="preserve"> 单</w:t>
            </w:r>
            <w:r>
              <w:rPr>
                <w:spacing w:val="-2"/>
                <w:sz w:val="24"/>
              </w:rPr>
              <w:t>母线或分段</w:t>
            </w:r>
          </w:p>
          <w:p>
            <w:pPr>
              <w:pStyle w:val="TableParagraph"/>
              <w:spacing w:line="358" w:lineRule="exact"/>
              <w:ind w:left="236"/>
              <w:rPr>
                <w:sz w:val="24"/>
              </w:rPr>
            </w:pPr>
            <w:r>
              <w:rPr>
                <w:spacing w:val="-3"/>
                <w:sz w:val="24"/>
              </w:rPr>
              <w:t>接线方式</w:t>
            </w:r>
          </w:p>
        </w:tc>
        <w:tc>
          <w:tcPr>
            <w:tcW w:w="1296" w:type="dxa"/>
          </w:tcPr>
          <w:p>
            <w:pPr>
              <w:pStyle w:val="TableParagraph"/>
              <w:spacing w:before="8"/>
              <w:rPr>
                <w:sz w:val="27"/>
              </w:rPr>
            </w:pPr>
          </w:p>
          <w:p>
            <w:pPr>
              <w:pStyle w:val="TableParagraph"/>
              <w:spacing w:line="415" w:lineRule="auto"/>
              <w:ind w:left="108" w:right="50" w:hanging="46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220kV： </w:t>
            </w:r>
            <w:r>
              <w:rPr>
                <w:sz w:val="24"/>
              </w:rPr>
              <w:t>GIS</w:t>
            </w:r>
            <w:r>
              <w:rPr>
                <w:spacing w:val="-5"/>
                <w:sz w:val="24"/>
              </w:rPr>
              <w:t xml:space="preserve"> 设备，</w:t>
            </w:r>
            <w:r>
              <w:rPr>
                <w:spacing w:val="-6"/>
                <w:sz w:val="24"/>
              </w:rPr>
              <w:t>户外</w:t>
            </w:r>
          </w:p>
        </w:tc>
        <w:tc>
          <w:tcPr>
            <w:tcW w:w="1433" w:type="dxa"/>
          </w:tcPr>
          <w:p>
            <w:pPr>
              <w:pStyle w:val="TableParagraph"/>
              <w:spacing w:before="8"/>
              <w:rPr>
                <w:sz w:val="27"/>
              </w:rPr>
            </w:pPr>
          </w:p>
          <w:p>
            <w:pPr>
              <w:pStyle w:val="TableParagraph"/>
              <w:spacing w:line="415" w:lineRule="auto"/>
              <w:ind w:left="107" w:right="-130" w:firstLine="82"/>
              <w:rPr>
                <w:sz w:val="24"/>
              </w:rPr>
            </w:pPr>
            <w:r>
              <w:rPr>
                <w:sz w:val="24"/>
              </w:rPr>
              <w:t>35kV 开关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柜为固定式，</w:t>
            </w:r>
          </w:p>
          <w:p>
            <w:pPr>
              <w:pStyle w:val="TableParagraph"/>
              <w:spacing w:line="359" w:lineRule="exact"/>
              <w:ind w:left="476"/>
              <w:rPr>
                <w:sz w:val="24"/>
              </w:rPr>
            </w:pPr>
            <w:r>
              <w:rPr>
                <w:spacing w:val="-5"/>
                <w:sz w:val="24"/>
              </w:rPr>
              <w:t>户内</w:t>
            </w:r>
          </w:p>
        </w:tc>
        <w:tc>
          <w:tcPr>
            <w:tcW w:w="1256" w:type="dxa"/>
          </w:tcPr>
          <w:p>
            <w:pPr>
              <w:pStyle w:val="TableParagraph"/>
              <w:spacing w:before="8"/>
              <w:rPr>
                <w:sz w:val="27"/>
              </w:rPr>
            </w:pPr>
          </w:p>
          <w:p>
            <w:pPr>
              <w:pStyle w:val="TableParagraph"/>
              <w:spacing w:line="415" w:lineRule="auto"/>
              <w:ind w:left="124" w:right="112" w:hanging="61"/>
              <w:jc w:val="center"/>
              <w:rPr>
                <w:sz w:val="24"/>
              </w:rPr>
            </w:pPr>
            <w:r>
              <w:rPr>
                <w:spacing w:val="-6"/>
                <w:sz w:val="24"/>
              </w:rPr>
              <w:t>海拔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1800m</w:t>
            </w:r>
            <w:r>
              <w:rPr>
                <w:spacing w:val="-9"/>
                <w:sz w:val="24"/>
              </w:rPr>
              <w:t xml:space="preserve"> 及</w:t>
            </w:r>
            <w:r>
              <w:rPr>
                <w:spacing w:val="-6"/>
                <w:sz w:val="24"/>
              </w:rPr>
              <w:t>以上</w:t>
            </w:r>
          </w:p>
        </w:tc>
        <w:tc>
          <w:tcPr>
            <w:tcW w:w="1433" w:type="dxa"/>
          </w:tcPr>
          <w:p>
            <w:pPr>
              <w:pStyle w:val="TableParagraph"/>
              <w:spacing w:before="8"/>
              <w:rPr>
                <w:sz w:val="27"/>
              </w:rPr>
            </w:pPr>
          </w:p>
          <w:p>
            <w:pPr>
              <w:pStyle w:val="TableParagraph"/>
              <w:spacing w:line="415" w:lineRule="auto"/>
              <w:ind w:left="116" w:right="104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云南、贵州</w:t>
            </w:r>
            <w:r>
              <w:rPr>
                <w:spacing w:val="-2"/>
                <w:sz w:val="24"/>
              </w:rPr>
              <w:t>等地区（不</w:t>
            </w:r>
            <w:r>
              <w:rPr>
                <w:spacing w:val="-4"/>
                <w:sz w:val="24"/>
              </w:rPr>
              <w:t>限于）</w:t>
            </w:r>
          </w:p>
        </w:tc>
      </w:tr>
    </w:tbl>
    <w:p>
      <w:pPr>
        <w:pStyle w:val="Heading1"/>
        <w:numPr>
          <w:ilvl w:val="0"/>
          <w:numId w:val="66"/>
        </w:numPr>
        <w:tabs>
          <w:tab w:val="left" w:pos="915"/>
          <w:tab w:val="left" w:pos="916"/>
        </w:tabs>
        <w:spacing w:before="93" w:after="0" w:line="240" w:lineRule="auto"/>
        <w:ind w:left="915" w:right="0" w:hanging="436"/>
        <w:jc w:val="left"/>
      </w:pPr>
      <w:r>
        <w:rPr>
          <w:spacing w:val="-2"/>
        </w:rPr>
        <w:t>电气二次设计</w:t>
      </w:r>
    </w:p>
    <w:p>
      <w:pPr>
        <w:pStyle w:val="ListParagraph"/>
        <w:numPr>
          <w:ilvl w:val="1"/>
          <w:numId w:val="66"/>
        </w:numPr>
        <w:tabs>
          <w:tab w:val="left" w:pos="1559"/>
        </w:tabs>
        <w:spacing w:before="202" w:after="0" w:line="240" w:lineRule="auto"/>
        <w:ind w:left="1558" w:right="0" w:hanging="519"/>
        <w:jc w:val="left"/>
        <w:rPr>
          <w:b/>
          <w:sz w:val="28"/>
        </w:rPr>
      </w:pPr>
      <w:r>
        <w:rPr>
          <w:b/>
          <w:spacing w:val="-2"/>
          <w:sz w:val="28"/>
        </w:rPr>
        <w:t>系统继电保护</w:t>
      </w:r>
    </w:p>
    <w:p>
      <w:pPr>
        <w:pStyle w:val="BodyText"/>
        <w:spacing w:before="203" w:line="355" w:lineRule="auto"/>
        <w:ind w:right="978"/>
      </w:pPr>
      <w:r>
        <w:rPr>
          <w:spacing w:val="-2"/>
        </w:rPr>
        <w:t>根据接入系统设计报告和接入系统设计审查意见进行风电场升</w:t>
      </w:r>
      <w:r>
        <w:rPr>
          <w:spacing w:val="-2"/>
        </w:rPr>
        <w:t>压站的系统继电保护设计。</w:t>
      </w:r>
    </w:p>
    <w:p>
      <w:pPr>
        <w:pStyle w:val="ListParagraph"/>
        <w:numPr>
          <w:ilvl w:val="0"/>
          <w:numId w:val="46"/>
        </w:numPr>
        <w:tabs>
          <w:tab w:val="left" w:pos="1749"/>
        </w:tabs>
        <w:spacing w:before="0" w:after="0" w:line="240" w:lineRule="auto"/>
        <w:ind w:left="1748" w:right="0" w:hanging="709"/>
        <w:jc w:val="left"/>
        <w:rPr>
          <w:sz w:val="28"/>
        </w:rPr>
      </w:pPr>
      <w:r>
        <w:rPr>
          <w:spacing w:val="-2"/>
          <w:sz w:val="28"/>
        </w:rPr>
        <w:t>线路保护配备原则</w:t>
      </w:r>
    </w:p>
    <w:p>
      <w:pPr>
        <w:spacing w:after="0" w:line="240" w:lineRule="auto"/>
        <w:jc w:val="left"/>
        <w:rPr>
          <w:sz w:val="28"/>
        </w:rPr>
        <w:sectPr>
          <w:type w:val="nextPage"/>
          <w:pgSz w:w="11910" w:h="16840"/>
          <w:pgMar w:top="1400" w:right="820" w:bottom="280" w:left="1320" w:header="708" w:footer="708"/>
          <w:pgNumType w:start="34"/>
          <w:cols w:space="708"/>
          <w:titlePg w:val="0"/>
        </w:sectPr>
      </w:pPr>
    </w:p>
    <w:p>
      <w:pPr>
        <w:pStyle w:val="BodyText"/>
        <w:spacing w:before="10" w:line="355" w:lineRule="auto"/>
        <w:ind w:right="978"/>
        <w:jc w:val="both"/>
      </w:pPr>
      <w:r>
        <w:rPr>
          <w:spacing w:val="5"/>
        </w:rPr>
        <w:t xml:space="preserve">① 每回 </w:t>
      </w:r>
      <w:r>
        <w:t>330kV</w:t>
      </w:r>
      <w:r>
        <w:rPr>
          <w:spacing w:val="-4"/>
        </w:rPr>
        <w:t xml:space="preserve"> 线路配备双套完整的、独立的能反映多个类型故障、含有选相功效全线速动保护、双套远方跳闸保护、一套断路器失</w:t>
      </w:r>
      <w:r>
        <w:rPr>
          <w:spacing w:val="-4"/>
        </w:rPr>
        <w:t>灵保护。根据系统工频过电压的规定，对可能产生过电压的线路应配</w:t>
      </w:r>
      <w:r>
        <w:rPr>
          <w:spacing w:val="-2"/>
        </w:rPr>
        <w:t>备双套过电压保护。</w:t>
      </w:r>
    </w:p>
    <w:p>
      <w:pPr>
        <w:pStyle w:val="BodyText"/>
        <w:spacing w:line="355" w:lineRule="auto"/>
        <w:ind w:right="978"/>
        <w:jc w:val="both"/>
      </w:pPr>
      <w:r>
        <w:rPr>
          <w:spacing w:val="5"/>
        </w:rPr>
        <w:t xml:space="preserve">② 每回 </w:t>
      </w:r>
      <w:r>
        <w:t>220kV</w:t>
      </w:r>
      <w:r>
        <w:rPr>
          <w:spacing w:val="-4"/>
        </w:rPr>
        <w:t xml:space="preserve"> 线路配备双套完整的、独立的能反映多个类型故障、含有选相功效全线速动保护，终端负荷线路也可配备一套全线速</w:t>
      </w:r>
      <w:r>
        <w:rPr>
          <w:spacing w:val="-2"/>
        </w:rPr>
        <w:t>动保护。每套保护均含有完整的后备保护且均应含重叠闸功效。</w:t>
      </w:r>
    </w:p>
    <w:p>
      <w:pPr>
        <w:pStyle w:val="BodyText"/>
        <w:spacing w:line="355" w:lineRule="auto"/>
        <w:ind w:right="903"/>
        <w:jc w:val="both"/>
      </w:pPr>
      <w:r>
        <w:rPr>
          <w:spacing w:val="8"/>
        </w:rPr>
        <w:t xml:space="preserve">③ 对于 </w:t>
      </w:r>
      <w:r>
        <w:t>50km</w:t>
      </w:r>
      <w:r>
        <w:rPr>
          <w:spacing w:val="-5"/>
        </w:rPr>
        <w:t xml:space="preserve"> 下列的 </w:t>
      </w:r>
      <w:r>
        <w:t>220kV</w:t>
      </w:r>
      <w:r>
        <w:rPr>
          <w:spacing w:val="-4"/>
        </w:rPr>
        <w:t xml:space="preserve"> 线路，宜随线路架设 </w:t>
      </w:r>
      <w:r>
        <w:t>OPGW</w:t>
      </w:r>
      <w:r>
        <w:rPr>
          <w:spacing w:val="-3"/>
        </w:rPr>
        <w:t xml:space="preserve"> 光缆，</w:t>
      </w:r>
      <w:r>
        <w:rPr>
          <w:spacing w:val="-2"/>
        </w:rPr>
        <w:t>配备双套光纤分相电流差动保护。</w:t>
      </w:r>
    </w:p>
    <w:p>
      <w:pPr>
        <w:pStyle w:val="BodyText"/>
        <w:spacing w:line="355" w:lineRule="auto"/>
        <w:ind w:right="978"/>
        <w:jc w:val="both"/>
      </w:pPr>
      <w:r>
        <w:rPr>
          <w:spacing w:val="20"/>
        </w:rPr>
        <w:t xml:space="preserve">➃ </w:t>
      </w:r>
      <w:r>
        <w:t>220kV 双套配备的线路主保护、后备保护的交流电压回路、</w:t>
      </w:r>
      <w:r>
        <w:rPr>
          <w:spacing w:val="-4"/>
        </w:rPr>
        <w:t>电流回路、直流电源、开关量输入、跳闸回路、信号传输通道均应彼</w:t>
      </w:r>
      <w:r>
        <w:rPr>
          <w:spacing w:val="-2"/>
        </w:rPr>
        <w:t>此完全独立没有电气联系。</w:t>
      </w:r>
    </w:p>
    <w:p>
      <w:pPr>
        <w:pStyle w:val="BodyText"/>
        <w:spacing w:line="355" w:lineRule="auto"/>
        <w:ind w:right="978"/>
        <w:jc w:val="both"/>
      </w:pPr>
      <w:r>
        <w:t>⑤ 双重化配备的线路保护每套保护只作用于断路器的一组跳闸</w:t>
      </w:r>
      <w:r>
        <w:rPr>
          <w:spacing w:val="-4"/>
        </w:rPr>
        <w:t>线圈。</w:t>
      </w:r>
    </w:p>
    <w:p>
      <w:pPr>
        <w:pStyle w:val="BodyText"/>
        <w:spacing w:line="355" w:lineRule="auto"/>
        <w:ind w:right="978"/>
        <w:jc w:val="both"/>
      </w:pPr>
      <w:r>
        <w:rPr>
          <w:spacing w:val="20"/>
        </w:rPr>
        <w:t xml:space="preserve">⑥ </w:t>
      </w:r>
      <w:r>
        <w:t>110kV 线路应配备一套线路保护，保护应含有完整的后备保</w:t>
      </w:r>
      <w:r>
        <w:rPr>
          <w:spacing w:val="-6"/>
        </w:rPr>
        <w:t>护。</w:t>
      </w:r>
    </w:p>
    <w:p>
      <w:pPr>
        <w:pStyle w:val="BodyText"/>
        <w:spacing w:line="355" w:lineRule="auto"/>
        <w:ind w:right="977"/>
        <w:jc w:val="both"/>
      </w:pPr>
      <w:r>
        <w:rPr>
          <w:spacing w:val="20"/>
        </w:rPr>
        <w:t xml:space="preserve">⑦ </w:t>
      </w:r>
      <w:r>
        <w:t>110kV 电厂联系线、长度低于 10km 的短线路，宜配备一套</w:t>
      </w:r>
      <w:r>
        <w:rPr>
          <w:spacing w:val="-2"/>
        </w:rPr>
        <w:t>光纤纵联差动保护。</w:t>
      </w:r>
    </w:p>
    <w:p>
      <w:pPr>
        <w:pStyle w:val="BodyText"/>
        <w:spacing w:line="355" w:lineRule="auto"/>
        <w:ind w:right="978"/>
        <w:jc w:val="both"/>
      </w:pPr>
      <w:r>
        <w:rPr>
          <w:spacing w:val="5"/>
        </w:rPr>
        <w:t xml:space="preserve">⑧ 对于 </w:t>
      </w:r>
      <w:r>
        <w:t>110kV</w:t>
      </w:r>
      <w:r>
        <w:rPr>
          <w:spacing w:val="-4"/>
        </w:rPr>
        <w:t xml:space="preserve"> 电缆线路以及电缆与架空混合线路，宜配备一套</w:t>
      </w:r>
      <w:r>
        <w:rPr>
          <w:spacing w:val="-10"/>
        </w:rPr>
        <w:t>光纤差动保护作为主保护，同时应配有包含过负荷报警功效的完整的</w:t>
      </w:r>
      <w:r>
        <w:rPr>
          <w:spacing w:val="-2"/>
        </w:rPr>
        <w:t>后备保护。</w:t>
      </w:r>
    </w:p>
    <w:p>
      <w:pPr>
        <w:pStyle w:val="BodyText"/>
        <w:ind w:left="1040" w:firstLine="0"/>
        <w:jc w:val="both"/>
      </w:pPr>
      <w:r>
        <w:rPr>
          <w:spacing w:val="8"/>
        </w:rPr>
        <w:t xml:space="preserve">⑨ 风电场 </w:t>
      </w:r>
      <w:r>
        <w:t>35kV</w:t>
      </w:r>
      <w:r>
        <w:rPr>
          <w:spacing w:val="-4"/>
        </w:rPr>
        <w:t xml:space="preserve"> 母线应配备母线保护。</w:t>
      </w:r>
    </w:p>
    <w:p>
      <w:pPr>
        <w:spacing w:after="0"/>
        <w:jc w:val="both"/>
        <w:sectPr>
          <w:pgSz w:w="11910" w:h="16840"/>
          <w:pgMar w:top="1480" w:right="820" w:bottom="280" w:left="1320" w:header="708" w:footer="708"/>
          <w:pgNumType w:start="35"/>
          <w:cols w:space="708"/>
        </w:sectPr>
      </w:pPr>
    </w:p>
    <w:p>
      <w:pPr>
        <w:pStyle w:val="ListParagraph"/>
        <w:numPr>
          <w:ilvl w:val="0"/>
          <w:numId w:val="46"/>
        </w:numPr>
        <w:tabs>
          <w:tab w:val="left" w:pos="1749"/>
        </w:tabs>
        <w:spacing w:before="10" w:after="0" w:line="240" w:lineRule="auto"/>
        <w:ind w:left="1748" w:right="0" w:hanging="709"/>
        <w:jc w:val="left"/>
        <w:rPr>
          <w:sz w:val="28"/>
        </w:rPr>
      </w:pPr>
      <w:r>
        <w:rPr>
          <w:spacing w:val="-2"/>
          <w:sz w:val="28"/>
        </w:rPr>
        <w:t>母线保护配备原则</w:t>
      </w:r>
    </w:p>
    <w:p>
      <w:pPr>
        <w:pStyle w:val="BodyText"/>
        <w:spacing w:before="202" w:line="355" w:lineRule="auto"/>
        <w:ind w:right="978"/>
        <w:jc w:val="both"/>
      </w:pPr>
      <w:r>
        <w:rPr>
          <w:spacing w:val="20"/>
        </w:rPr>
        <w:t xml:space="preserve">① </w:t>
      </w:r>
      <w:r>
        <w:t>330kV 母线按远景配备双套母线保护。母线侧的断路器失灵</w:t>
      </w:r>
      <w:r>
        <w:rPr>
          <w:spacing w:val="-4"/>
        </w:rPr>
        <w:t>保护需跳母线侧断路器时，通过母差实现。每套母线保护只动作于断</w:t>
      </w:r>
      <w:r>
        <w:rPr>
          <w:spacing w:val="-2"/>
        </w:rPr>
        <w:t>路器的一组跳闸线圈。</w:t>
      </w:r>
    </w:p>
    <w:p>
      <w:pPr>
        <w:pStyle w:val="BodyText"/>
        <w:spacing w:line="355" w:lineRule="auto"/>
        <w:ind w:right="977"/>
        <w:jc w:val="both"/>
      </w:pPr>
      <w:r>
        <w:rPr>
          <w:spacing w:val="1"/>
        </w:rPr>
        <w:t xml:space="preserve">② 重要的风场 </w:t>
      </w:r>
      <w:r>
        <w:t>220kV</w:t>
      </w:r>
      <w:r>
        <w:rPr>
          <w:spacing w:val="-8"/>
        </w:rPr>
        <w:t xml:space="preserve"> 升压站的 </w:t>
      </w:r>
      <w:r>
        <w:t>220kV</w:t>
      </w:r>
      <w:r>
        <w:rPr>
          <w:spacing w:val="-5"/>
        </w:rPr>
        <w:t xml:space="preserve"> 母线按远景配备双套母线</w:t>
      </w:r>
      <w:r>
        <w:rPr>
          <w:spacing w:val="-2"/>
        </w:rPr>
        <w:t>保护，其它按远景配备一套母线保护。</w:t>
      </w:r>
    </w:p>
    <w:p>
      <w:pPr>
        <w:pStyle w:val="BodyText"/>
        <w:spacing w:line="355" w:lineRule="auto"/>
        <w:ind w:right="978"/>
        <w:jc w:val="both"/>
      </w:pPr>
      <w:r>
        <w:rPr>
          <w:spacing w:val="20"/>
        </w:rPr>
        <w:t xml:space="preserve">③ </w:t>
      </w:r>
      <w:r>
        <w:t>220kV 母线按远景配备双套母线保护的按照远景配备双套失</w:t>
      </w:r>
      <w:r>
        <w:rPr>
          <w:spacing w:val="-5"/>
        </w:rPr>
        <w:t>灵保护，其它按远景配备一套失灵保护，失灵保护应与母差保护共同</w:t>
      </w:r>
    </w:p>
    <w:p>
      <w:pPr>
        <w:pStyle w:val="BodyText"/>
        <w:ind w:firstLine="0"/>
      </w:pPr>
      <w:r>
        <w:t>🎧</w:t>
      </w:r>
      <w:r>
        <w:rPr>
          <w:spacing w:val="-5"/>
        </w:rPr>
        <w:t>口。</w:t>
      </w:r>
    </w:p>
    <w:p>
      <w:pPr>
        <w:pStyle w:val="BodyText"/>
        <w:spacing w:before="202"/>
        <w:ind w:left="1040" w:firstLine="0"/>
      </w:pPr>
      <w:r>
        <w:rPr>
          <w:spacing w:val="31"/>
        </w:rPr>
        <w:t xml:space="preserve">➃ </w:t>
      </w:r>
      <w:r>
        <w:t>110kV</w:t>
      </w:r>
      <w:r>
        <w:rPr>
          <w:spacing w:val="-4"/>
        </w:rPr>
        <w:t xml:space="preserve"> 母线按远景配备单套母线保护。</w:t>
      </w:r>
    </w:p>
    <w:p>
      <w:pPr>
        <w:pStyle w:val="BodyText"/>
        <w:spacing w:before="203" w:line="355" w:lineRule="auto"/>
        <w:ind w:right="978"/>
      </w:pPr>
      <w:r>
        <w:rPr>
          <w:spacing w:val="20"/>
        </w:rPr>
        <w:t xml:space="preserve">⑤ </w:t>
      </w:r>
      <w:r>
        <w:t>110kV 的母联、母线分段断路器应按断路器配备专用的、含</w:t>
      </w:r>
      <w:r>
        <w:rPr>
          <w:spacing w:val="-2"/>
        </w:rPr>
        <w:t>有瞬时和延时跳闸功效的过电流保护。</w:t>
      </w:r>
    </w:p>
    <w:p>
      <w:pPr>
        <w:pStyle w:val="ListParagraph"/>
        <w:numPr>
          <w:ilvl w:val="0"/>
          <w:numId w:val="46"/>
        </w:numPr>
        <w:tabs>
          <w:tab w:val="left" w:pos="1749"/>
        </w:tabs>
        <w:spacing w:before="0" w:after="0" w:line="240" w:lineRule="auto"/>
        <w:ind w:left="1748" w:right="0" w:hanging="709"/>
        <w:jc w:val="left"/>
        <w:rPr>
          <w:sz w:val="28"/>
        </w:rPr>
      </w:pPr>
      <w:r>
        <w:rPr>
          <w:spacing w:val="-2"/>
          <w:sz w:val="28"/>
        </w:rPr>
        <w:t>操作箱配备原则</w:t>
      </w:r>
    </w:p>
    <w:p>
      <w:pPr>
        <w:pStyle w:val="BodyText"/>
        <w:spacing w:before="202" w:line="355" w:lineRule="auto"/>
        <w:ind w:right="978"/>
        <w:jc w:val="both"/>
      </w:pPr>
      <w:r>
        <w:rPr>
          <w:spacing w:val="20"/>
        </w:rPr>
        <w:t xml:space="preserve">① </w:t>
      </w:r>
      <w:r>
        <w:t>220kV 以上每条线路应配备一套分相操作箱，操作箱配备在</w:t>
      </w:r>
      <w:r>
        <w:rPr>
          <w:spacing w:val="-2"/>
        </w:rPr>
        <w:t>其中一套线路保护屏（柜）内。</w:t>
      </w:r>
    </w:p>
    <w:p>
      <w:pPr>
        <w:pStyle w:val="BodyText"/>
        <w:spacing w:line="355" w:lineRule="auto"/>
        <w:ind w:right="978"/>
        <w:jc w:val="both"/>
      </w:pPr>
      <w:r>
        <w:rPr>
          <w:spacing w:val="20"/>
        </w:rPr>
        <w:t xml:space="preserve">② </w:t>
      </w:r>
      <w:r>
        <w:t>110kV 每条线路应配备与线路保护组合在一起的单套三相操</w:t>
      </w:r>
      <w:r>
        <w:rPr>
          <w:spacing w:val="-4"/>
        </w:rPr>
        <w:t>作箱。</w:t>
      </w:r>
    </w:p>
    <w:p>
      <w:pPr>
        <w:pStyle w:val="BodyText"/>
        <w:spacing w:line="355" w:lineRule="auto"/>
        <w:ind w:right="977"/>
        <w:jc w:val="both"/>
      </w:pPr>
      <w:r>
        <w:t>③ 主变压器三侧宜配备独立的三相操作箱，操作箱配备宜集中</w:t>
      </w:r>
      <w:r>
        <w:rPr>
          <w:spacing w:val="-4"/>
        </w:rPr>
        <w:t>在一面保护屏（柜）</w:t>
      </w:r>
      <w:r>
        <w:rPr>
          <w:spacing w:val="-8"/>
        </w:rPr>
        <w:t xml:space="preserve">内，当 </w:t>
      </w:r>
      <w:r>
        <w:rPr>
          <w:spacing w:val="-4"/>
        </w:rPr>
        <w:t>220kV</w:t>
      </w:r>
      <w:r>
        <w:rPr>
          <w:spacing w:val="-7"/>
        </w:rPr>
        <w:t xml:space="preserve"> 断路器采用分相操作机构时，则主</w:t>
      </w:r>
      <w:r>
        <w:t>变压器 220kV 侧对应配备分相操作箱。</w:t>
      </w:r>
    </w:p>
    <w:p>
      <w:pPr>
        <w:pStyle w:val="ListParagraph"/>
        <w:numPr>
          <w:ilvl w:val="0"/>
          <w:numId w:val="46"/>
        </w:numPr>
        <w:tabs>
          <w:tab w:val="left" w:pos="1749"/>
        </w:tabs>
        <w:spacing w:before="0" w:after="0" w:line="240" w:lineRule="auto"/>
        <w:ind w:left="1748" w:right="0" w:hanging="709"/>
        <w:jc w:val="left"/>
        <w:rPr>
          <w:sz w:val="28"/>
        </w:rPr>
      </w:pPr>
      <w:r>
        <w:rPr>
          <w:spacing w:val="-3"/>
          <w:sz w:val="28"/>
        </w:rPr>
        <w:t>故障录波</w:t>
      </w:r>
    </w:p>
    <w:p>
      <w:pPr>
        <w:pStyle w:val="BodyText"/>
        <w:spacing w:before="202"/>
        <w:ind w:left="1040" w:firstLine="0"/>
      </w:pPr>
      <w:r>
        <w:t>①</w:t>
      </w:r>
      <w:r>
        <w:rPr>
          <w:spacing w:val="51"/>
          <w:w w:val="150"/>
        </w:rPr>
        <w:t xml:space="preserve"> </w:t>
      </w:r>
      <w:r>
        <w:rPr>
          <w:spacing w:val="-1"/>
        </w:rPr>
        <w:t>升压站站内，宜按电压等级配备故障录波装置分别统计线路</w:t>
      </w:r>
    </w:p>
    <w:p>
      <w:pPr>
        <w:spacing w:after="0"/>
        <w:sectPr>
          <w:pgSz w:w="11910" w:h="16840"/>
          <w:pgMar w:top="1480" w:right="820" w:bottom="280" w:left="1320" w:header="708" w:footer="708"/>
          <w:pgNumType w:start="36"/>
          <w:cols w:space="708"/>
        </w:sectPr>
      </w:pPr>
    </w:p>
    <w:p>
      <w:pPr>
        <w:pStyle w:val="BodyText"/>
        <w:spacing w:before="10" w:line="355" w:lineRule="auto"/>
        <w:ind w:right="838" w:firstLine="0"/>
      </w:pPr>
      <w:r>
        <w:rPr>
          <w:spacing w:val="-18"/>
        </w:rPr>
        <w:t>电流、线路电压、保护装置动作、断路器位置及保护通道的运行状况。</w:t>
      </w:r>
      <w:r>
        <w:rPr>
          <w:spacing w:val="-2"/>
        </w:rPr>
        <w:t>主变压器三侧录波信息应统一统计在一面故障录波装置内。</w:t>
      </w:r>
    </w:p>
    <w:p>
      <w:pPr>
        <w:pStyle w:val="BodyText"/>
        <w:spacing w:line="355" w:lineRule="auto"/>
        <w:ind w:right="978"/>
        <w:jc w:val="both"/>
      </w:pPr>
      <w:r>
        <w:rPr>
          <w:spacing w:val="-1"/>
        </w:rPr>
        <w:t xml:space="preserve">② 每套线路故障录波器的录波量宜不少于 </w:t>
      </w:r>
      <w:r>
        <w:t>64</w:t>
      </w:r>
      <w:r>
        <w:rPr>
          <w:spacing w:val="-14"/>
        </w:rPr>
        <w:t xml:space="preserve"> 路模拟量、</w:t>
      </w:r>
      <w:r>
        <w:t>128</w:t>
      </w:r>
      <w:r>
        <w:rPr>
          <w:spacing w:val="-7"/>
        </w:rPr>
        <w:t xml:space="preserve"> 路</w:t>
      </w:r>
      <w:r>
        <w:rPr>
          <w:spacing w:val="-4"/>
        </w:rPr>
        <w:t>开关量。</w:t>
      </w:r>
    </w:p>
    <w:p>
      <w:pPr>
        <w:pStyle w:val="BodyText"/>
        <w:spacing w:line="355" w:lineRule="auto"/>
        <w:ind w:right="978"/>
        <w:jc w:val="both"/>
      </w:pPr>
      <w:r>
        <w:t>③ 故障录波装置应含有单独组网功效，并含有完善的分析和通</w:t>
      </w:r>
      <w:r>
        <w:rPr>
          <w:spacing w:val="-4"/>
        </w:rPr>
        <w:t>信管理功效，通过以太网与保护和故障信息管理子站系统通信，录波</w:t>
      </w:r>
      <w:r>
        <w:rPr>
          <w:spacing w:val="-2"/>
        </w:rPr>
        <w:t>信息可经子站远传至各级调度部门进行事故分析解决。</w:t>
      </w:r>
    </w:p>
    <w:p>
      <w:pPr>
        <w:pStyle w:val="ListParagraph"/>
        <w:numPr>
          <w:ilvl w:val="0"/>
          <w:numId w:val="46"/>
        </w:numPr>
        <w:tabs>
          <w:tab w:val="left" w:pos="1749"/>
        </w:tabs>
        <w:spacing w:before="0" w:after="0" w:line="240" w:lineRule="auto"/>
        <w:ind w:left="1748" w:right="0" w:hanging="709"/>
        <w:jc w:val="left"/>
        <w:rPr>
          <w:sz w:val="28"/>
        </w:rPr>
      </w:pPr>
      <w:r>
        <w:rPr>
          <w:spacing w:val="-2"/>
          <w:sz w:val="28"/>
        </w:rPr>
        <w:t>安全自动装置</w:t>
      </w:r>
    </w:p>
    <w:p>
      <w:pPr>
        <w:pStyle w:val="BodyText"/>
        <w:spacing w:before="202" w:line="355" w:lineRule="auto"/>
        <w:ind w:right="978"/>
      </w:pPr>
      <w:r>
        <w:rPr>
          <w:spacing w:val="-12"/>
        </w:rPr>
        <w:t>根据电网规定，风电场升压站配备一套电能质量监测装置和故障</w:t>
      </w:r>
      <w:r>
        <w:rPr>
          <w:spacing w:val="-2"/>
        </w:rPr>
        <w:t>信息子站。</w:t>
      </w:r>
    </w:p>
    <w:p>
      <w:pPr>
        <w:pStyle w:val="BodyText"/>
        <w:spacing w:line="355" w:lineRule="auto"/>
        <w:ind w:right="978"/>
        <w:jc w:val="both"/>
      </w:pPr>
      <w:r>
        <w:t>① 配备保护及故障录波信息管理子站系统，保护及故障录波信</w:t>
      </w:r>
      <w:r>
        <w:rPr>
          <w:spacing w:val="-2"/>
        </w:rPr>
        <w:t>息管理子站系统与监控系统宜根据需要分别采集继电保护装置的信</w:t>
      </w:r>
      <w:r>
        <w:rPr>
          <w:spacing w:val="-6"/>
        </w:rPr>
        <w:t>息。</w:t>
      </w:r>
    </w:p>
    <w:p>
      <w:pPr>
        <w:pStyle w:val="BodyText"/>
        <w:spacing w:line="355" w:lineRule="auto"/>
        <w:ind w:right="978"/>
        <w:jc w:val="both"/>
      </w:pPr>
      <w:r>
        <w:t>② 保护及故障录波信息管理子站系统与保护装置、监控系统的</w:t>
      </w:r>
      <w:r>
        <w:rPr>
          <w:spacing w:val="-10"/>
        </w:rPr>
        <w:t>联网方式可采用两种方案，保护装置的单网络方案和保护装置的双网</w:t>
      </w:r>
      <w:r>
        <w:rPr>
          <w:spacing w:val="-2"/>
        </w:rPr>
        <w:t>络方案，根据需要进行配备。</w:t>
      </w:r>
    </w:p>
    <w:p>
      <w:pPr>
        <w:pStyle w:val="Heading1"/>
        <w:numPr>
          <w:ilvl w:val="1"/>
          <w:numId w:val="66"/>
        </w:numPr>
        <w:tabs>
          <w:tab w:val="left" w:pos="1559"/>
        </w:tabs>
        <w:spacing w:before="0" w:after="0" w:line="240" w:lineRule="auto"/>
        <w:ind w:left="1558" w:right="0" w:hanging="519"/>
        <w:jc w:val="both"/>
      </w:pPr>
      <w:r>
        <w:rPr>
          <w:spacing w:val="-1"/>
        </w:rPr>
        <w:t>风电场升压站调度自动化系统设计</w:t>
      </w:r>
    </w:p>
    <w:p>
      <w:pPr>
        <w:pStyle w:val="BodyText"/>
        <w:spacing w:before="202" w:line="355" w:lineRule="auto"/>
        <w:ind w:right="978"/>
      </w:pPr>
      <w:r>
        <w:rPr>
          <w:spacing w:val="-2"/>
        </w:rPr>
        <w:t>根据接入系统设计报告和接入系统设计审查意见进行风电场升</w:t>
      </w:r>
      <w:r>
        <w:rPr>
          <w:spacing w:val="-2"/>
        </w:rPr>
        <w:t>压站的调度自动化系统设计。</w:t>
      </w:r>
    </w:p>
    <w:p>
      <w:pPr>
        <w:pStyle w:val="ListParagraph"/>
        <w:numPr>
          <w:ilvl w:val="0"/>
          <w:numId w:val="45"/>
        </w:numPr>
        <w:tabs>
          <w:tab w:val="left" w:pos="1749"/>
        </w:tabs>
        <w:spacing w:before="0" w:after="0" w:line="240" w:lineRule="auto"/>
        <w:ind w:left="1748" w:right="0" w:hanging="709"/>
        <w:jc w:val="left"/>
        <w:rPr>
          <w:sz w:val="28"/>
        </w:rPr>
      </w:pPr>
      <w:r>
        <w:rPr>
          <w:spacing w:val="-2"/>
          <w:sz w:val="28"/>
        </w:rPr>
        <w:t>远动系统设计原则</w:t>
      </w:r>
    </w:p>
    <w:p>
      <w:pPr>
        <w:pStyle w:val="BodyText"/>
        <w:spacing w:before="203" w:line="355" w:lineRule="auto"/>
        <w:ind w:right="978"/>
      </w:pPr>
      <w:r>
        <w:t>① 调度管理关系宜根据电力系统概况、调度管理范畴划分原则</w:t>
      </w:r>
      <w:r>
        <w:rPr>
          <w:spacing w:val="-2"/>
        </w:rPr>
        <w:t>和调度自动化系统现状拟定。</w:t>
      </w:r>
    </w:p>
    <w:p>
      <w:pPr>
        <w:spacing w:after="0" w:line="355" w:lineRule="auto"/>
        <w:sectPr>
          <w:pgSz w:w="11910" w:h="16840"/>
          <w:pgMar w:top="1480" w:right="820" w:bottom="280" w:left="1320" w:header="708" w:footer="708"/>
          <w:pgNumType w:start="37"/>
          <w:cols w:space="708"/>
        </w:sectPr>
      </w:pPr>
    </w:p>
    <w:p>
      <w:pPr>
        <w:pStyle w:val="BodyText"/>
        <w:spacing w:before="10"/>
        <w:ind w:left="1040" w:firstLine="0"/>
      </w:pPr>
      <w:r>
        <w:rPr>
          <w:spacing w:val="-1"/>
        </w:rPr>
        <w:t>② 远动信息的传输原则宜根据调度管理关系拟定。</w:t>
      </w:r>
    </w:p>
    <w:p>
      <w:pPr>
        <w:pStyle w:val="ListParagraph"/>
        <w:numPr>
          <w:ilvl w:val="0"/>
          <w:numId w:val="45"/>
        </w:numPr>
        <w:tabs>
          <w:tab w:val="left" w:pos="1749"/>
        </w:tabs>
        <w:spacing w:before="202" w:after="0" w:line="240" w:lineRule="auto"/>
        <w:ind w:left="1748" w:right="0" w:hanging="709"/>
        <w:jc w:val="left"/>
        <w:rPr>
          <w:sz w:val="28"/>
        </w:rPr>
      </w:pPr>
      <w:r>
        <w:rPr>
          <w:spacing w:val="-2"/>
          <w:sz w:val="28"/>
        </w:rPr>
        <w:t>远动系统设备配备</w:t>
      </w:r>
    </w:p>
    <w:p>
      <w:pPr>
        <w:pStyle w:val="BodyText"/>
        <w:spacing w:before="203" w:line="355" w:lineRule="auto"/>
        <w:ind w:right="838"/>
      </w:pPr>
      <w:r>
        <w:rPr>
          <w:spacing w:val="-17"/>
        </w:rPr>
        <w:t>应配备对应的远动通信设备，且应冗余配备，并应采用专用装置、</w:t>
      </w:r>
      <w:r>
        <w:rPr>
          <w:spacing w:val="-2"/>
        </w:rPr>
        <w:t>无硬盘型。</w:t>
      </w:r>
    </w:p>
    <w:p>
      <w:pPr>
        <w:pStyle w:val="ListParagraph"/>
        <w:numPr>
          <w:ilvl w:val="0"/>
          <w:numId w:val="45"/>
        </w:numPr>
        <w:tabs>
          <w:tab w:val="left" w:pos="1749"/>
        </w:tabs>
        <w:spacing w:before="0" w:after="0" w:line="240" w:lineRule="auto"/>
        <w:ind w:left="1748" w:right="0" w:hanging="709"/>
        <w:jc w:val="left"/>
        <w:rPr>
          <w:sz w:val="28"/>
        </w:rPr>
      </w:pPr>
      <w:r>
        <w:rPr>
          <w:spacing w:val="-2"/>
          <w:sz w:val="28"/>
        </w:rPr>
        <w:t>远动信息采集</w:t>
      </w:r>
    </w:p>
    <w:p>
      <w:pPr>
        <w:pStyle w:val="BodyText"/>
        <w:spacing w:before="202" w:line="355" w:lineRule="auto"/>
        <w:ind w:right="978"/>
      </w:pPr>
      <w:r>
        <w:rPr>
          <w:spacing w:val="-1"/>
        </w:rPr>
        <w:t xml:space="preserve">远动信息采集采用“直采直送”原则，直接从 </w:t>
      </w:r>
      <w:r>
        <w:t>I/O</w:t>
      </w:r>
      <w:r>
        <w:rPr>
          <w:spacing w:val="-4"/>
        </w:rPr>
        <w:t xml:space="preserve"> 测控装置获取远</w:t>
      </w:r>
      <w:r>
        <w:rPr>
          <w:spacing w:val="-2"/>
        </w:rPr>
        <w:t>动信息并向调度端传送。</w:t>
      </w:r>
    </w:p>
    <w:p>
      <w:pPr>
        <w:pStyle w:val="ListParagraph"/>
        <w:numPr>
          <w:ilvl w:val="0"/>
          <w:numId w:val="45"/>
        </w:numPr>
        <w:tabs>
          <w:tab w:val="left" w:pos="1749"/>
        </w:tabs>
        <w:spacing w:before="0" w:after="0" w:line="240" w:lineRule="auto"/>
        <w:ind w:left="1748" w:right="0" w:hanging="709"/>
        <w:jc w:val="left"/>
        <w:rPr>
          <w:sz w:val="28"/>
        </w:rPr>
      </w:pPr>
      <w:r>
        <w:rPr>
          <w:spacing w:val="-2"/>
          <w:sz w:val="28"/>
        </w:rPr>
        <w:t>远动信息内容</w:t>
      </w:r>
    </w:p>
    <w:p>
      <w:pPr>
        <w:pStyle w:val="BodyText"/>
        <w:spacing w:before="202" w:line="355" w:lineRule="auto"/>
        <w:ind w:right="977"/>
        <w:jc w:val="both"/>
      </w:pPr>
      <w:r>
        <w:rPr>
          <w:spacing w:val="-10"/>
        </w:rPr>
        <w:t>远动信息采集采用内容应满足《电力系统调度自动化设计技术规</w:t>
      </w:r>
      <w:r>
        <w:t>程》DL/T 5003</w:t>
      </w:r>
      <w:r>
        <w:rPr>
          <w:spacing w:val="-13"/>
        </w:rPr>
        <w:t>-、《地区电网调度自动化设计技术规程》</w:t>
      </w:r>
      <w:r>
        <w:t>DL/T 5002-</w:t>
      </w:r>
      <w:r>
        <w:rPr>
          <w:spacing w:val="-2"/>
        </w:rPr>
        <w:t>和有关调度端及远方监控中心对升压站的监控规定。</w:t>
      </w:r>
    </w:p>
    <w:p>
      <w:pPr>
        <w:pStyle w:val="BodyText"/>
        <w:spacing w:line="355" w:lineRule="auto"/>
        <w:ind w:right="978"/>
      </w:pPr>
      <w:r>
        <w:rPr>
          <w:spacing w:val="-12"/>
        </w:rPr>
        <w:t>在正常运行的状况下，风电场向电网调度部门提供的遥测信号涉</w:t>
      </w:r>
      <w:r>
        <w:rPr>
          <w:spacing w:val="-2"/>
        </w:rPr>
        <w:t>及但不限于下列：</w:t>
      </w:r>
    </w:p>
    <w:p>
      <w:pPr>
        <w:pStyle w:val="BodyText"/>
        <w:ind w:left="1040" w:firstLine="0"/>
      </w:pPr>
      <w:r>
        <w:rPr>
          <w:spacing w:val="-1"/>
        </w:rPr>
        <w:t>① 并网线路有功功率、无功功率、电流；</w:t>
      </w:r>
    </w:p>
    <w:p>
      <w:pPr>
        <w:pStyle w:val="BodyText"/>
        <w:spacing w:before="202"/>
        <w:ind w:left="1040" w:firstLine="0"/>
      </w:pPr>
      <w:r>
        <w:rPr>
          <w:spacing w:val="-1"/>
        </w:rPr>
        <w:t>②并网点电压、频率；</w:t>
      </w:r>
    </w:p>
    <w:p>
      <w:pPr>
        <w:pStyle w:val="BodyText"/>
        <w:spacing w:before="203"/>
        <w:ind w:left="1040" w:firstLine="0"/>
      </w:pPr>
      <w:r>
        <w:rPr>
          <w:spacing w:val="-1"/>
        </w:rPr>
        <w:t>③ 主变各侧有功功率、无功功率、电流；</w:t>
      </w:r>
    </w:p>
    <w:p>
      <w:pPr>
        <w:pStyle w:val="BodyText"/>
        <w:spacing w:before="202"/>
        <w:ind w:left="1040" w:firstLine="0"/>
      </w:pPr>
      <w:r>
        <w:rPr>
          <w:spacing w:val="31"/>
        </w:rPr>
        <w:t xml:space="preserve">➃ </w:t>
      </w:r>
      <w:r>
        <w:t>35kV</w:t>
      </w:r>
      <w:r>
        <w:rPr>
          <w:spacing w:val="-4"/>
        </w:rPr>
        <w:t xml:space="preserve"> 线路有功功率、无功功率、电流；</w:t>
      </w:r>
    </w:p>
    <w:p>
      <w:pPr>
        <w:pStyle w:val="BodyText"/>
        <w:spacing w:before="203"/>
        <w:ind w:left="1040" w:firstLine="0"/>
      </w:pPr>
      <w:r>
        <w:t>⑤ 无功装置的无功功率、电流；</w:t>
      </w:r>
    </w:p>
    <w:p>
      <w:pPr>
        <w:pStyle w:val="BodyText"/>
        <w:spacing w:before="202"/>
        <w:ind w:left="1040" w:firstLine="0"/>
      </w:pPr>
      <w:r>
        <w:rPr>
          <w:spacing w:val="31"/>
        </w:rPr>
        <w:t xml:space="preserve">⑥ </w:t>
      </w:r>
      <w:r>
        <w:t>35kV</w:t>
      </w:r>
      <w:r>
        <w:rPr>
          <w:spacing w:val="-4"/>
        </w:rPr>
        <w:t xml:space="preserve"> 母线分段电流；</w:t>
      </w:r>
    </w:p>
    <w:p>
      <w:pPr>
        <w:pStyle w:val="BodyText"/>
        <w:spacing w:before="202"/>
        <w:ind w:left="1040" w:firstLine="0"/>
      </w:pPr>
      <w:r>
        <w:t>⑦</w:t>
      </w:r>
      <w:r>
        <w:rPr>
          <w:spacing w:val="51"/>
          <w:w w:val="150"/>
        </w:rPr>
        <w:t xml:space="preserve"> </w:t>
      </w:r>
      <w:r>
        <w:rPr>
          <w:spacing w:val="-1"/>
        </w:rPr>
        <w:t>有功功率控制系统：机组实发有功功率、机组当时允许最大</w:t>
      </w:r>
    </w:p>
    <w:p>
      <w:pPr>
        <w:pStyle w:val="BodyText"/>
        <w:spacing w:before="203" w:line="355" w:lineRule="auto"/>
        <w:ind w:right="978" w:firstLine="0"/>
      </w:pPr>
      <w:r>
        <w:rPr>
          <w:spacing w:val="-4"/>
        </w:rPr>
        <w:t>🎧力、机组当时允许最小🎧力、机组当时调节上升速率、机组当时调</w:t>
      </w:r>
      <w:r>
        <w:rPr>
          <w:spacing w:val="-2"/>
        </w:rPr>
        <w:t>节下降速率；</w:t>
      </w:r>
    </w:p>
    <w:p>
      <w:pPr>
        <w:spacing w:after="0" w:line="355" w:lineRule="auto"/>
        <w:sectPr>
          <w:pgSz w:w="11910" w:h="16840"/>
          <w:pgMar w:top="1480" w:right="820" w:bottom="280" w:left="1320" w:header="708" w:footer="708"/>
          <w:pgNumType w:start="38"/>
          <w:cols w:space="708"/>
        </w:sectPr>
      </w:pPr>
    </w:p>
    <w:p>
      <w:pPr>
        <w:pStyle w:val="BodyText"/>
        <w:spacing w:before="10"/>
        <w:ind w:left="1040" w:firstLine="0"/>
      </w:pPr>
      <w:r>
        <w:rPr>
          <w:spacing w:val="-1"/>
        </w:rPr>
        <w:t>⑧ 无功电压控制系统：风电场控制电压目的值；</w:t>
      </w:r>
    </w:p>
    <w:p>
      <w:pPr>
        <w:pStyle w:val="BodyText"/>
        <w:spacing w:before="202"/>
        <w:ind w:left="1040" w:firstLine="0"/>
      </w:pPr>
      <w:r>
        <w:t>⑨ 有功功率控制系统指令功率值（4-</w:t>
      </w:r>
      <w:r>
        <w:rPr>
          <w:spacing w:val="21"/>
        </w:rPr>
        <w:t>20mA</w:t>
      </w:r>
      <w:r>
        <w:rPr>
          <w:spacing w:val="-119"/>
        </w:rPr>
        <w:t>）</w:t>
      </w:r>
      <w:r>
        <w:rPr>
          <w:spacing w:val="21"/>
        </w:rPr>
        <w:t>；</w:t>
      </w:r>
    </w:p>
    <w:p>
      <w:pPr>
        <w:pStyle w:val="BodyText"/>
        <w:spacing w:before="203"/>
        <w:ind w:left="1040" w:firstLine="0"/>
      </w:pPr>
      <w:r>
        <w:t>⑩ 无功功率控制系统指令功率值（4-</w:t>
      </w:r>
      <w:r>
        <w:rPr>
          <w:spacing w:val="21"/>
        </w:rPr>
        <w:t>20mA</w:t>
      </w:r>
      <w:r>
        <w:rPr>
          <w:spacing w:val="-119"/>
        </w:rPr>
        <w:t>）</w:t>
      </w:r>
      <w:r>
        <w:rPr>
          <w:spacing w:val="21"/>
        </w:rPr>
        <w:t>；</w:t>
      </w:r>
    </w:p>
    <w:p>
      <w:pPr>
        <w:pStyle w:val="BodyText"/>
        <w:spacing w:before="202"/>
        <w:ind w:left="1040" w:firstLine="0"/>
      </w:pPr>
      <w:r>
        <w:rPr>
          <w:spacing w:val="-1"/>
        </w:rPr>
        <w:t>风电场向电网调度部门提供的遥测信号涉及但不限于下列：</w:t>
      </w:r>
    </w:p>
    <w:p>
      <w:pPr>
        <w:pStyle w:val="BodyText"/>
        <w:spacing w:before="202"/>
        <w:ind w:left="1040" w:firstLine="0"/>
      </w:pPr>
      <w:r>
        <w:rPr>
          <w:spacing w:val="-1"/>
        </w:rPr>
        <w:t>①主变分接头位置信号；</w:t>
      </w:r>
    </w:p>
    <w:p>
      <w:pPr>
        <w:pStyle w:val="BodyText"/>
        <w:spacing w:before="203"/>
        <w:ind w:left="1040" w:firstLine="0"/>
      </w:pPr>
      <w:r>
        <w:rPr>
          <w:spacing w:val="4"/>
        </w:rPr>
        <w:t>② 全站事故总信号；</w:t>
      </w:r>
    </w:p>
    <w:p>
      <w:pPr>
        <w:pStyle w:val="BodyText"/>
        <w:spacing w:before="202"/>
        <w:ind w:left="1040" w:firstLine="0"/>
      </w:pPr>
      <w:r>
        <w:rPr>
          <w:spacing w:val="5"/>
        </w:rPr>
        <w:t>③ 并网点频率；</w:t>
      </w:r>
    </w:p>
    <w:p>
      <w:pPr>
        <w:pStyle w:val="BodyText"/>
        <w:spacing w:before="202"/>
        <w:ind w:left="1040" w:firstLine="0"/>
      </w:pPr>
      <w:r>
        <w:rPr>
          <w:spacing w:val="8"/>
        </w:rPr>
        <w:t>➃ 全部断路器</w:t>
      </w:r>
      <w:r>
        <w:t>（负荷开关</w:t>
      </w:r>
      <w:r>
        <w:rPr>
          <w:spacing w:val="-140"/>
        </w:rPr>
        <w:t>）</w:t>
      </w:r>
      <w:r>
        <w:rPr>
          <w:spacing w:val="-1"/>
        </w:rPr>
        <w:t>、隔离开关、接地刀闸位置信号；</w:t>
      </w:r>
    </w:p>
    <w:p>
      <w:pPr>
        <w:pStyle w:val="BodyText"/>
        <w:spacing w:before="203"/>
        <w:ind w:left="1040" w:firstLine="0"/>
      </w:pPr>
      <w:r>
        <w:rPr>
          <w:spacing w:val="-1"/>
        </w:rPr>
        <w:t>⑤ 全部保护动作信号及装置故障信号；</w:t>
      </w:r>
    </w:p>
    <w:p>
      <w:pPr>
        <w:pStyle w:val="BodyText"/>
        <w:spacing w:before="202"/>
        <w:ind w:left="1040" w:firstLine="0"/>
      </w:pPr>
      <w:r>
        <w:rPr>
          <w:spacing w:val="1"/>
        </w:rPr>
        <w:t>⑥ 故障录波器动作及故障信号</w:t>
      </w:r>
    </w:p>
    <w:p>
      <w:pPr>
        <w:pStyle w:val="BodyText"/>
        <w:spacing w:before="203"/>
        <w:ind w:left="1040" w:firstLine="0"/>
      </w:pPr>
      <w:r>
        <w:rPr>
          <w:spacing w:val="2"/>
        </w:rPr>
        <w:t>⑦ 单个风电机组运行状态；</w:t>
      </w:r>
    </w:p>
    <w:p>
      <w:pPr>
        <w:pStyle w:val="BodyText"/>
        <w:spacing w:before="202"/>
        <w:ind w:left="1040" w:firstLine="0"/>
      </w:pPr>
      <w:r>
        <w:rPr>
          <w:spacing w:val="-1"/>
        </w:rPr>
        <w:t>⑧ 风电场实际运行机组数量和型号；</w:t>
      </w:r>
    </w:p>
    <w:p>
      <w:pPr>
        <w:pStyle w:val="BodyText"/>
        <w:spacing w:before="202"/>
        <w:ind w:left="1040" w:firstLine="0"/>
      </w:pPr>
      <w:r>
        <w:rPr>
          <w:spacing w:val="1"/>
        </w:rPr>
        <w:t>⑨ 风电场的实时风速和风向；</w:t>
      </w:r>
    </w:p>
    <w:p>
      <w:pPr>
        <w:pStyle w:val="ListParagraph"/>
        <w:numPr>
          <w:ilvl w:val="0"/>
          <w:numId w:val="45"/>
        </w:numPr>
        <w:tabs>
          <w:tab w:val="left" w:pos="1749"/>
        </w:tabs>
        <w:spacing w:before="203" w:after="0" w:line="240" w:lineRule="auto"/>
        <w:ind w:left="1748" w:right="0" w:hanging="709"/>
        <w:jc w:val="left"/>
        <w:rPr>
          <w:sz w:val="28"/>
        </w:rPr>
      </w:pPr>
      <w:r>
        <w:rPr>
          <w:spacing w:val="-2"/>
          <w:sz w:val="28"/>
        </w:rPr>
        <w:t>远动信息传输</w:t>
      </w:r>
    </w:p>
    <w:p>
      <w:pPr>
        <w:pStyle w:val="BodyText"/>
        <w:spacing w:before="202" w:line="355" w:lineRule="auto"/>
        <w:ind w:right="838"/>
      </w:pPr>
      <w:r>
        <w:rPr>
          <w:spacing w:val="6"/>
        </w:rPr>
        <w:t>远动通信设备应能实现与有关调度中心及远方监控中心的数据</w:t>
      </w:r>
      <w:r>
        <w:rPr>
          <w:spacing w:val="-17"/>
        </w:rPr>
        <w:t>通信，分别以主、备通道、并按照各级调度规定的通信规约进行通信。</w:t>
      </w:r>
      <w:r>
        <w:rPr>
          <w:spacing w:val="-4"/>
        </w:rPr>
        <w:t>主通道应采用数据网方式接入地区级电力调度数据专网，备用通道采</w:t>
      </w:r>
      <w:r>
        <w:rPr>
          <w:spacing w:val="-6"/>
        </w:rPr>
        <w:t xml:space="preserve">用专线方式。网络通信采用《远动设备及系统  第 </w:t>
      </w:r>
      <w:r>
        <w:t>5-1</w:t>
      </w:r>
      <w:r>
        <w:rPr>
          <w:spacing w:val="-1"/>
        </w:rPr>
        <w:t>0</w:t>
      </w:r>
      <w:r>
        <w:t>4</w:t>
      </w:r>
      <w:r>
        <w:rPr>
          <w:spacing w:val="-3"/>
        </w:rPr>
        <w:t xml:space="preserve"> 部分》</w:t>
      </w:r>
      <w:r>
        <w:t>DL/T 634-</w:t>
      </w:r>
      <w:r>
        <w:rPr>
          <w:spacing w:val="-1"/>
        </w:rPr>
        <w:t>5</w:t>
      </w:r>
      <w:r>
        <w:t>104</w:t>
      </w:r>
      <w:r>
        <w:rPr>
          <w:spacing w:val="-15"/>
        </w:rPr>
        <w:t>-规约，专线通信采用《远动设备及系统  第</w:t>
      </w:r>
      <w:r>
        <w:t>5-</w:t>
      </w:r>
      <w:r>
        <w:rPr>
          <w:spacing w:val="-1"/>
        </w:rPr>
        <w:t>1</w:t>
      </w:r>
      <w:r>
        <w:t>01</w:t>
      </w:r>
      <w:r>
        <w:rPr>
          <w:spacing w:val="-44"/>
        </w:rPr>
        <w:t xml:space="preserve"> 部分》</w:t>
      </w:r>
      <w:r>
        <w:t>DL/T</w:t>
      </w:r>
    </w:p>
    <w:p>
      <w:pPr>
        <w:pStyle w:val="BodyText"/>
        <w:ind w:firstLine="0"/>
      </w:pPr>
      <w:r>
        <w:rPr>
          <w:spacing w:val="-2"/>
        </w:rPr>
        <w:t>634-5101</w:t>
      </w:r>
      <w:r>
        <w:rPr>
          <w:spacing w:val="-4"/>
        </w:rPr>
        <w:t>-规约。</w:t>
      </w:r>
    </w:p>
    <w:p>
      <w:pPr>
        <w:pStyle w:val="ListParagraph"/>
        <w:numPr>
          <w:ilvl w:val="0"/>
          <w:numId w:val="45"/>
        </w:numPr>
        <w:tabs>
          <w:tab w:val="left" w:pos="1749"/>
        </w:tabs>
        <w:spacing w:before="202" w:after="0" w:line="240" w:lineRule="auto"/>
        <w:ind w:left="1748" w:right="0" w:hanging="709"/>
        <w:jc w:val="left"/>
        <w:rPr>
          <w:sz w:val="28"/>
        </w:rPr>
      </w:pPr>
      <w:r>
        <w:rPr>
          <w:spacing w:val="-2"/>
          <w:sz w:val="28"/>
        </w:rPr>
        <w:t>电能量点设立原则</w:t>
      </w:r>
    </w:p>
    <w:p>
      <w:pPr>
        <w:pStyle w:val="BodyText"/>
        <w:spacing w:before="203"/>
        <w:ind w:left="1040" w:firstLine="0"/>
      </w:pPr>
      <w:r>
        <w:rPr>
          <w:spacing w:val="-5"/>
        </w:rPr>
        <w:t>风电场贸易结算用关口电能计量点，设立电设施产权分界处，或</w:t>
      </w:r>
    </w:p>
    <w:p>
      <w:pPr>
        <w:spacing w:after="0"/>
        <w:sectPr>
          <w:pgSz w:w="11910" w:h="16840"/>
          <w:pgMar w:top="1480" w:right="820" w:bottom="280" w:left="1320" w:header="708" w:footer="708"/>
          <w:pgNumType w:start="39"/>
          <w:cols w:space="708"/>
        </w:sectPr>
      </w:pPr>
    </w:p>
    <w:p>
      <w:pPr>
        <w:pStyle w:val="BodyText"/>
        <w:spacing w:before="10"/>
        <w:ind w:firstLine="0"/>
      </w:pPr>
      <w:r>
        <w:rPr>
          <w:spacing w:val="-1"/>
        </w:rPr>
        <w:t>由购售电双方拟定电能量计量装置安装位置。</w:t>
      </w:r>
    </w:p>
    <w:p>
      <w:pPr>
        <w:pStyle w:val="BodyText"/>
        <w:spacing w:before="202" w:line="355" w:lineRule="auto"/>
        <w:ind w:right="978"/>
        <w:jc w:val="both"/>
      </w:pPr>
      <w:r>
        <w:rPr>
          <w:spacing w:val="-4"/>
        </w:rPr>
        <w:t>风电场考核用关口电能计量点，设立在风场升压站内，用于经济</w:t>
      </w:r>
      <w:r>
        <w:rPr>
          <w:spacing w:val="-6"/>
        </w:rPr>
        <w:t>技术指标考核的各电压等级的各电压等级的变压器侧，输电和配电线</w:t>
      </w:r>
      <w:r>
        <w:rPr>
          <w:spacing w:val="-2"/>
        </w:rPr>
        <w:t>路端以及无功赔偿设备处。</w:t>
      </w:r>
    </w:p>
    <w:p>
      <w:pPr>
        <w:pStyle w:val="ListParagraph"/>
        <w:numPr>
          <w:ilvl w:val="0"/>
          <w:numId w:val="45"/>
        </w:numPr>
        <w:tabs>
          <w:tab w:val="left" w:pos="1749"/>
        </w:tabs>
        <w:spacing w:before="0" w:after="0" w:line="240" w:lineRule="auto"/>
        <w:ind w:left="1748" w:right="0" w:hanging="709"/>
        <w:jc w:val="left"/>
        <w:rPr>
          <w:sz w:val="28"/>
        </w:rPr>
      </w:pPr>
      <w:r>
        <w:rPr>
          <w:spacing w:val="-1"/>
          <w:sz w:val="28"/>
        </w:rPr>
        <w:t>电能量计量系统配备方案</w:t>
      </w:r>
    </w:p>
    <w:p>
      <w:pPr>
        <w:pStyle w:val="BodyText"/>
        <w:spacing w:before="203"/>
        <w:ind w:left="1040" w:firstLine="0"/>
      </w:pPr>
      <w:r>
        <w:rPr>
          <w:spacing w:val="8"/>
        </w:rPr>
        <w:t>① 设备配备</w:t>
      </w:r>
    </w:p>
    <w:p>
      <w:pPr>
        <w:pStyle w:val="BodyText"/>
        <w:spacing w:before="202" w:line="355" w:lineRule="auto"/>
        <w:ind w:right="978"/>
        <w:jc w:val="both"/>
      </w:pPr>
      <w:r>
        <w:rPr>
          <w:spacing w:val="-7"/>
        </w:rPr>
        <w:t>风电场升压站内设立一套电能量计量系统子站设备，涉及电能计</w:t>
      </w:r>
      <w:r>
        <w:rPr>
          <w:spacing w:val="-10"/>
        </w:rPr>
        <w:t>量装置和电能量远方终端。风电场贸易结算用关口电能计量装置按照</w:t>
      </w:r>
      <w:r>
        <w:rPr>
          <w:spacing w:val="-4"/>
        </w:rPr>
        <w:t>主、副电能表配备，考核用关口电能计量装置可按单电能表配备。电</w:t>
      </w:r>
      <w:r>
        <w:rPr>
          <w:spacing w:val="-2"/>
        </w:rPr>
        <w:t>能表应为电子式多功效电能表，并含有电压失压计时功效。</w:t>
      </w:r>
    </w:p>
    <w:p>
      <w:pPr>
        <w:pStyle w:val="BodyText"/>
        <w:ind w:left="1040" w:firstLine="0"/>
      </w:pPr>
      <w:r>
        <w:rPr>
          <w:spacing w:val="3"/>
        </w:rPr>
        <w:t>② 电能量信息采集内容</w:t>
      </w:r>
    </w:p>
    <w:p>
      <w:pPr>
        <w:pStyle w:val="BodyText"/>
        <w:spacing w:before="202"/>
        <w:ind w:left="1040" w:firstLine="0"/>
      </w:pPr>
      <w:r>
        <w:rPr>
          <w:spacing w:val="-5"/>
        </w:rPr>
        <w:t>风电场电能量信息采集内容必须涉及：升压站内全部电能计量点</w:t>
      </w:r>
    </w:p>
    <w:p>
      <w:pPr>
        <w:pStyle w:val="BodyText"/>
        <w:spacing w:before="203" w:line="355" w:lineRule="auto"/>
        <w:ind w:right="745" w:firstLine="0"/>
      </w:pPr>
      <w:r>
        <w:t>（</w:t>
      </w:r>
      <w:r>
        <w:rPr>
          <w:spacing w:val="-10"/>
        </w:rPr>
        <w:t>风电场贸易结算用关口电能计量点、各主变高压考核用电能计量点、</w:t>
      </w:r>
      <w:r>
        <w:rPr>
          <w:spacing w:val="-7"/>
        </w:rPr>
        <w:t>升压站站用电考核用电能计量点、各风电机组集电线路回路考核用电</w:t>
      </w:r>
      <w:r>
        <w:rPr>
          <w:spacing w:val="1"/>
        </w:rPr>
        <w:t>能计量点、升压站无功赔偿回路考核用电能计量点</w:t>
      </w:r>
      <w:r>
        <w:rPr>
          <w:spacing w:val="-139"/>
        </w:rPr>
        <w:t>）</w:t>
      </w:r>
      <w:r>
        <w:t>，采集内容涉及各电能量计量点的实时、历史数据和多个事件统计等。</w:t>
      </w:r>
    </w:p>
    <w:p>
      <w:pPr>
        <w:pStyle w:val="BodyText"/>
        <w:ind w:left="1040" w:firstLine="0"/>
        <w:jc w:val="both"/>
      </w:pPr>
      <w:r>
        <w:rPr>
          <w:spacing w:val="2"/>
        </w:rPr>
        <w:t>③ 电能量计量的技术规定</w:t>
      </w:r>
    </w:p>
    <w:p>
      <w:pPr>
        <w:pStyle w:val="BodyText"/>
        <w:spacing w:before="202" w:line="355" w:lineRule="auto"/>
        <w:ind w:right="837"/>
        <w:jc w:val="both"/>
      </w:pPr>
      <w:r>
        <w:t>风电场电能量贸易结算用关口电能计量表按照 0.2 级配备，关口电能计量表最少有双 RS-485 通信接口输🎧，可同时与其它电能表采</w:t>
      </w:r>
      <w:r>
        <w:rPr>
          <w:spacing w:val="-12"/>
        </w:rPr>
        <w:t xml:space="preserve">集解决器通信。计量用电压互感器精度为 </w:t>
      </w:r>
      <w:r>
        <w:t>0.2</w:t>
      </w:r>
      <w:r>
        <w:rPr>
          <w:spacing w:val="-18"/>
        </w:rPr>
        <w:t xml:space="preserve"> 级，电流互感器 </w:t>
      </w:r>
      <w:r>
        <w:t>0.2S</w:t>
      </w:r>
      <w:r>
        <w:rPr>
          <w:spacing w:val="-6"/>
        </w:rPr>
        <w:t xml:space="preserve"> 级。</w:t>
      </w:r>
    </w:p>
    <w:p>
      <w:pPr>
        <w:pStyle w:val="BodyText"/>
        <w:spacing w:line="355" w:lineRule="auto"/>
        <w:ind w:right="815"/>
      </w:pPr>
      <w:r>
        <w:rPr>
          <w:spacing w:val="-15"/>
        </w:rPr>
        <w:t>风电场配备一套电能量远方终端，以串口方式采集各电能表信息；</w:t>
      </w:r>
      <w:r>
        <w:rPr>
          <w:spacing w:val="-2"/>
        </w:rPr>
        <w:t>含有对电能量计量信息采集、数据解决、分时存储、长时间保存、远</w:t>
      </w:r>
    </w:p>
    <w:p>
      <w:pPr>
        <w:spacing w:after="0" w:line="355" w:lineRule="auto"/>
        <w:sectPr>
          <w:pgSz w:w="11910" w:h="16840"/>
          <w:pgMar w:top="1480" w:right="820" w:bottom="280" w:left="1320" w:header="708" w:footer="708"/>
          <w:pgNumType w:start="40"/>
          <w:cols w:space="708"/>
        </w:sectPr>
      </w:pPr>
    </w:p>
    <w:p>
      <w:pPr>
        <w:pStyle w:val="BodyText"/>
        <w:spacing w:before="10"/>
        <w:ind w:firstLine="0"/>
      </w:pPr>
      <w:r>
        <w:rPr>
          <w:spacing w:val="-1"/>
        </w:rPr>
        <w:t>方传输、同时对时等功效。</w:t>
      </w:r>
    </w:p>
    <w:p>
      <w:pPr>
        <w:pStyle w:val="ListParagraph"/>
        <w:numPr>
          <w:ilvl w:val="0"/>
          <w:numId w:val="72"/>
        </w:numPr>
        <w:tabs>
          <w:tab w:val="left" w:pos="1749"/>
        </w:tabs>
        <w:spacing w:before="202" w:after="0" w:line="240" w:lineRule="auto"/>
        <w:ind w:left="1748" w:right="0" w:hanging="709"/>
        <w:jc w:val="left"/>
        <w:rPr>
          <w:sz w:val="28"/>
        </w:rPr>
      </w:pPr>
      <w:r>
        <w:rPr>
          <w:spacing w:val="-2"/>
          <w:sz w:val="28"/>
        </w:rPr>
        <w:t>电能量信息传输</w:t>
      </w:r>
    </w:p>
    <w:p>
      <w:pPr>
        <w:pStyle w:val="BodyText"/>
        <w:spacing w:before="203" w:line="355" w:lineRule="auto"/>
        <w:ind w:right="978"/>
        <w:jc w:val="both"/>
      </w:pPr>
      <w:r>
        <w:rPr>
          <w:spacing w:val="-7"/>
        </w:rPr>
        <w:t>电能量计量系统子站通过电力调度数据网、电话拨号方式或运用</w:t>
      </w:r>
      <w:r>
        <w:rPr>
          <w:spacing w:val="-2"/>
        </w:rPr>
        <w:t>专线通道将电能量数据传送至各级电网调度中心的电能量计费系统</w:t>
      </w:r>
      <w:r>
        <w:t>主站，通信应采用《远动设备及系统 电力系统电能累计量传输配套</w:t>
      </w:r>
      <w:r>
        <w:rPr>
          <w:spacing w:val="11"/>
        </w:rPr>
        <w:t>原则》</w:t>
      </w:r>
      <w:r>
        <w:t>DL/T</w:t>
      </w:r>
      <w:r>
        <w:rPr>
          <w:spacing w:val="-2"/>
        </w:rPr>
        <w:t xml:space="preserve"> </w:t>
      </w:r>
      <w:r>
        <w:t>719</w:t>
      </w:r>
      <w:r>
        <w:rPr>
          <w:spacing w:val="8"/>
        </w:rPr>
        <w:t>-或《多功效电能表通信合同》</w:t>
      </w:r>
      <w:r>
        <w:t>DL/T</w:t>
      </w:r>
      <w:r>
        <w:rPr>
          <w:spacing w:val="-2"/>
        </w:rPr>
        <w:t xml:space="preserve"> </w:t>
      </w:r>
      <w:r>
        <w:t>645</w:t>
      </w:r>
      <w:r>
        <w:rPr>
          <w:spacing w:val="6"/>
        </w:rPr>
        <w:t>-通信规约</w:t>
      </w:r>
      <w:r>
        <w:t>和 TCP/IP 网络通信合同。</w:t>
      </w:r>
    </w:p>
    <w:p>
      <w:pPr>
        <w:pStyle w:val="ListParagraph"/>
        <w:numPr>
          <w:ilvl w:val="0"/>
          <w:numId w:val="72"/>
        </w:numPr>
        <w:tabs>
          <w:tab w:val="left" w:pos="1749"/>
        </w:tabs>
        <w:spacing w:before="0" w:after="0" w:line="240" w:lineRule="auto"/>
        <w:ind w:left="1748" w:right="0" w:hanging="709"/>
        <w:jc w:val="left"/>
        <w:rPr>
          <w:sz w:val="28"/>
        </w:rPr>
      </w:pPr>
      <w:r>
        <w:rPr>
          <w:spacing w:val="-1"/>
          <w:sz w:val="28"/>
        </w:rPr>
        <w:t>电能计量装置接线方式</w:t>
      </w:r>
    </w:p>
    <w:p>
      <w:pPr>
        <w:pStyle w:val="BodyText"/>
        <w:spacing w:before="202" w:line="355" w:lineRule="auto"/>
        <w:ind w:right="885"/>
        <w:jc w:val="both"/>
      </w:pPr>
      <w:r>
        <w:rPr>
          <w:spacing w:val="-2"/>
        </w:rPr>
        <w:t>接入中性点非绝缘系统（中性点直接接地）的电能计量装置应采</w:t>
      </w:r>
      <w:r>
        <w:rPr>
          <w:spacing w:val="-2"/>
        </w:rPr>
        <w:t>用三相四线电能表，接入中性点绝缘系统（中性点经赔偿设备接地</w:t>
      </w:r>
      <w:r>
        <w:rPr>
          <w:spacing w:val="-2"/>
        </w:rPr>
        <w:t>）</w:t>
      </w:r>
      <w:r>
        <w:rPr>
          <w:spacing w:val="-2"/>
        </w:rPr>
        <w:t>的电能计量装置，宜采用三相三线电能表。</w:t>
      </w:r>
    </w:p>
    <w:p>
      <w:pPr>
        <w:pStyle w:val="ListParagraph"/>
        <w:numPr>
          <w:ilvl w:val="0"/>
          <w:numId w:val="72"/>
        </w:numPr>
        <w:tabs>
          <w:tab w:val="left" w:pos="1931"/>
        </w:tabs>
        <w:spacing w:before="0" w:after="0" w:line="240" w:lineRule="auto"/>
        <w:ind w:left="1930" w:right="0" w:hanging="891"/>
        <w:jc w:val="left"/>
        <w:rPr>
          <w:sz w:val="28"/>
        </w:rPr>
      </w:pPr>
      <w:r>
        <w:rPr>
          <w:spacing w:val="-2"/>
          <w:sz w:val="28"/>
        </w:rPr>
        <w:t>调度数据网接入设备</w:t>
      </w:r>
    </w:p>
    <w:p>
      <w:pPr>
        <w:pStyle w:val="BodyText"/>
        <w:spacing w:before="202"/>
        <w:ind w:left="1040" w:firstLine="0"/>
      </w:pPr>
      <w:r>
        <w:rPr>
          <w:spacing w:val="3"/>
        </w:rPr>
        <w:t>① 调度数据网接入原则</w:t>
      </w:r>
    </w:p>
    <w:p>
      <w:pPr>
        <w:pStyle w:val="BodyText"/>
        <w:spacing w:before="202"/>
        <w:ind w:left="1040" w:firstLine="0"/>
      </w:pPr>
      <w:r>
        <w:rPr>
          <w:spacing w:val="-1"/>
        </w:rPr>
        <w:t>风电场升压站宜一点就近接入有关电力调度数据网。</w:t>
      </w:r>
    </w:p>
    <w:p>
      <w:pPr>
        <w:pStyle w:val="BodyText"/>
        <w:spacing w:before="203"/>
        <w:ind w:left="1040" w:firstLine="0"/>
      </w:pPr>
      <w:r>
        <w:rPr>
          <w:spacing w:val="8"/>
        </w:rPr>
        <w:t>② 配备原则</w:t>
      </w:r>
    </w:p>
    <w:p>
      <w:pPr>
        <w:pStyle w:val="BodyText"/>
        <w:spacing w:before="202" w:line="355" w:lineRule="auto"/>
        <w:ind w:right="978"/>
      </w:pPr>
      <w:r>
        <w:rPr>
          <w:spacing w:val="-4"/>
        </w:rPr>
        <w:t>风电场升压站应配备一套调度数据网接入设备，涉及交换机、路</w:t>
      </w:r>
      <w:r>
        <w:rPr>
          <w:spacing w:val="-2"/>
        </w:rPr>
        <w:t>由器等设备。</w:t>
      </w:r>
    </w:p>
    <w:p>
      <w:pPr>
        <w:pStyle w:val="Heading1"/>
        <w:numPr>
          <w:ilvl w:val="1"/>
          <w:numId w:val="66"/>
        </w:numPr>
        <w:tabs>
          <w:tab w:val="left" w:pos="1559"/>
        </w:tabs>
        <w:spacing w:before="0" w:after="0" w:line="240" w:lineRule="auto"/>
        <w:ind w:left="1558" w:right="0" w:hanging="519"/>
        <w:jc w:val="left"/>
      </w:pPr>
      <w:r>
        <w:rPr>
          <w:spacing w:val="-1"/>
        </w:rPr>
        <w:t>风电场升压站通信系统设计</w:t>
      </w:r>
    </w:p>
    <w:p>
      <w:pPr>
        <w:pStyle w:val="BodyText"/>
        <w:spacing w:before="203" w:line="355" w:lineRule="auto"/>
        <w:ind w:right="978"/>
      </w:pPr>
      <w:r>
        <w:rPr>
          <w:spacing w:val="-2"/>
        </w:rPr>
        <w:t>根据接入系统设计报告和接入系统设计审查意见进行风电场升</w:t>
      </w:r>
      <w:r>
        <w:rPr>
          <w:spacing w:val="-2"/>
        </w:rPr>
        <w:t>压站的通信系统设计。</w:t>
      </w:r>
    </w:p>
    <w:p>
      <w:pPr>
        <w:pStyle w:val="ListParagraph"/>
        <w:numPr>
          <w:ilvl w:val="0"/>
          <w:numId w:val="44"/>
        </w:numPr>
        <w:tabs>
          <w:tab w:val="left" w:pos="1781"/>
        </w:tabs>
        <w:spacing w:before="0" w:after="0" w:line="240" w:lineRule="auto"/>
        <w:ind w:left="1780" w:right="0" w:hanging="741"/>
        <w:jc w:val="left"/>
        <w:rPr>
          <w:sz w:val="28"/>
        </w:rPr>
      </w:pPr>
      <w:r>
        <w:rPr>
          <w:spacing w:val="-2"/>
          <w:sz w:val="28"/>
        </w:rPr>
        <w:t>系统通信设计</w:t>
      </w:r>
    </w:p>
    <w:p>
      <w:pPr>
        <w:pStyle w:val="BodyText"/>
        <w:spacing w:before="202"/>
        <w:ind w:left="1040" w:firstLine="0"/>
      </w:pPr>
      <w:r>
        <w:rPr>
          <w:spacing w:val="-2"/>
        </w:rPr>
        <w:t>① 风电场升压站</w:t>
      </w:r>
      <w:r>
        <w:t>（100MW</w:t>
      </w:r>
      <w:r>
        <w:rPr>
          <w:spacing w:val="-3"/>
        </w:rPr>
        <w:t xml:space="preserve"> 规模以上</w:t>
      </w:r>
      <w:r>
        <w:rPr>
          <w:spacing w:val="-67"/>
        </w:rPr>
        <w:t>）</w:t>
      </w:r>
      <w:r>
        <w:rPr>
          <w:spacing w:val="-2"/>
        </w:rPr>
        <w:t xml:space="preserve">应最少配备 </w:t>
      </w:r>
      <w:r>
        <w:t>2</w:t>
      </w:r>
      <w:r>
        <w:rPr>
          <w:spacing w:val="-5"/>
        </w:rPr>
        <w:t xml:space="preserve"> 级传输网设</w:t>
      </w:r>
    </w:p>
    <w:p>
      <w:pPr>
        <w:spacing w:after="0"/>
        <w:sectPr>
          <w:pgSz w:w="11910" w:h="16840"/>
          <w:pgMar w:top="1480" w:right="820" w:bottom="280" w:left="1320" w:header="708" w:footer="708"/>
          <w:pgNumType w:start="41"/>
          <w:cols w:space="708"/>
        </w:sectPr>
      </w:pPr>
    </w:p>
    <w:p>
      <w:pPr>
        <w:pStyle w:val="BodyText"/>
        <w:spacing w:before="10" w:line="355" w:lineRule="auto"/>
        <w:ind w:right="978" w:firstLine="0"/>
      </w:pPr>
      <w:r>
        <w:rPr>
          <w:spacing w:val="-4"/>
        </w:rPr>
        <w:t>备，分别接入省、地通信传输网，其它传输设备可根据具体工程组网</w:t>
      </w:r>
      <w:r>
        <w:rPr>
          <w:spacing w:val="-2"/>
        </w:rPr>
        <w:t>需要配备。</w:t>
      </w:r>
    </w:p>
    <w:p>
      <w:pPr>
        <w:pStyle w:val="BodyText"/>
        <w:spacing w:line="355" w:lineRule="auto"/>
        <w:ind w:right="977"/>
        <w:jc w:val="both"/>
      </w:pPr>
      <w:r>
        <w:rPr>
          <w:spacing w:val="-6"/>
        </w:rPr>
        <w:t xml:space="preserve">② 光纤通信传输干线电路速率为 </w:t>
      </w:r>
      <w:r>
        <w:t>622Mbit/s～2.5Gbit/s，支线电</w:t>
      </w:r>
      <w:r>
        <w:t>路速率为 155Mbit/s～622Gbit/s。</w:t>
      </w:r>
    </w:p>
    <w:p>
      <w:pPr>
        <w:pStyle w:val="BodyText"/>
        <w:spacing w:line="355" w:lineRule="auto"/>
        <w:ind w:right="978"/>
        <w:jc w:val="both"/>
      </w:pPr>
      <w:r>
        <w:t>③ 在进行初步设计时，通信传输网应按照通过审批的接入系统</w:t>
      </w:r>
      <w:r>
        <w:rPr>
          <w:spacing w:val="-4"/>
        </w:rPr>
        <w:t>报告设计，SDH</w:t>
      </w:r>
      <w:r>
        <w:rPr>
          <w:spacing w:val="-8"/>
        </w:rPr>
        <w:t xml:space="preserve"> 设备型号应与原传输网保持一致，软件版本应保持兼</w:t>
      </w:r>
      <w:r>
        <w:rPr>
          <w:spacing w:val="-2"/>
        </w:rPr>
        <w:t>容，重要板卡宜冗余配备。</w:t>
      </w:r>
    </w:p>
    <w:p>
      <w:pPr>
        <w:pStyle w:val="BodyText"/>
        <w:ind w:left="1040" w:firstLine="0"/>
        <w:jc w:val="both"/>
      </w:pPr>
      <w:r>
        <w:rPr>
          <w:spacing w:val="-1"/>
        </w:rPr>
        <w:t xml:space="preserve">➃ 光纤链路的设备群路光口宜采用 </w:t>
      </w:r>
      <w:r>
        <w:t>1+1</w:t>
      </w:r>
      <w:r>
        <w:rPr>
          <w:spacing w:val="-5"/>
        </w:rPr>
        <w:t xml:space="preserve"> 配备。</w:t>
      </w:r>
    </w:p>
    <w:p>
      <w:pPr>
        <w:pStyle w:val="BodyText"/>
        <w:spacing w:before="202"/>
        <w:ind w:left="1040" w:firstLine="0"/>
        <w:jc w:val="both"/>
      </w:pPr>
      <w:r>
        <w:rPr>
          <w:spacing w:val="-1"/>
        </w:rPr>
        <w:t xml:space="preserve">⑤ 复用保护的光通信设备，保护宜用 </w:t>
      </w:r>
      <w:r>
        <w:t>2Mbit/s</w:t>
      </w:r>
      <w:r>
        <w:rPr>
          <w:spacing w:val="-5"/>
        </w:rPr>
        <w:t xml:space="preserve"> 接口。</w:t>
      </w:r>
    </w:p>
    <w:p>
      <w:pPr>
        <w:pStyle w:val="BodyText"/>
        <w:spacing w:before="202" w:line="355" w:lineRule="auto"/>
        <w:ind w:right="978"/>
        <w:jc w:val="both"/>
      </w:pPr>
      <w:r>
        <w:t>⑥ 一回线路的两套纵联保护均复用通信专用光端机时，应通过</w:t>
      </w:r>
      <w:r>
        <w:rPr>
          <w:spacing w:val="-10"/>
        </w:rPr>
        <w:t xml:space="preserve">两套独立光通信设备传输，每套光通信设备按照最多传送 </w:t>
      </w:r>
      <w:r>
        <w:t>8</w:t>
      </w:r>
      <w:r>
        <w:rPr>
          <w:spacing w:val="-5"/>
        </w:rPr>
        <w:t xml:space="preserve"> 套线路保</w:t>
      </w:r>
      <w:r>
        <w:rPr>
          <w:spacing w:val="-2"/>
        </w:rPr>
        <w:t>护信息设计。</w:t>
      </w:r>
    </w:p>
    <w:p>
      <w:pPr>
        <w:pStyle w:val="BodyText"/>
        <w:ind w:left="1040" w:firstLine="0"/>
      </w:pPr>
      <w:r>
        <w:rPr>
          <w:spacing w:val="5"/>
        </w:rPr>
        <w:t xml:space="preserve">⑦ 光缆类型以 </w:t>
      </w:r>
      <w:r>
        <w:t>OPGW</w:t>
      </w:r>
      <w:r>
        <w:rPr>
          <w:spacing w:val="-4"/>
        </w:rPr>
        <w:t xml:space="preserve"> 为主，光缆纤芯类型宜采用 </w:t>
      </w:r>
      <w:r>
        <w:t>G.625</w:t>
      </w:r>
      <w:r>
        <w:rPr>
          <w:spacing w:val="-5"/>
        </w:rPr>
        <w:t xml:space="preserve"> 光纤。</w:t>
      </w:r>
    </w:p>
    <w:p>
      <w:pPr>
        <w:pStyle w:val="ListParagraph"/>
        <w:numPr>
          <w:ilvl w:val="0"/>
          <w:numId w:val="44"/>
        </w:numPr>
        <w:tabs>
          <w:tab w:val="left" w:pos="1781"/>
        </w:tabs>
        <w:spacing w:before="203" w:after="0" w:line="240" w:lineRule="auto"/>
        <w:ind w:left="1780" w:right="0" w:hanging="741"/>
        <w:jc w:val="left"/>
        <w:rPr>
          <w:sz w:val="28"/>
        </w:rPr>
      </w:pPr>
      <w:r>
        <w:rPr>
          <w:spacing w:val="-2"/>
          <w:sz w:val="28"/>
        </w:rPr>
        <w:t>电力线载波设备设计</w:t>
      </w:r>
    </w:p>
    <w:p>
      <w:pPr>
        <w:pStyle w:val="BodyText"/>
        <w:spacing w:before="202"/>
        <w:ind w:left="1040" w:firstLine="0"/>
      </w:pPr>
      <w:r>
        <w:rPr>
          <w:spacing w:val="-1"/>
        </w:rPr>
        <w:t>① 风电场升压站不开设通信用电力载波通道。</w:t>
      </w:r>
    </w:p>
    <w:p>
      <w:pPr>
        <w:pStyle w:val="BodyText"/>
        <w:spacing w:before="202" w:line="355" w:lineRule="auto"/>
        <w:ind w:right="978"/>
      </w:pPr>
      <w:r>
        <w:t>② 当保护只有一路独立光纤通道时，可配备一路保护专用高频</w:t>
      </w:r>
      <w:r>
        <w:rPr>
          <w:spacing w:val="-4"/>
        </w:rPr>
        <w:t>通道。</w:t>
      </w:r>
    </w:p>
    <w:p>
      <w:pPr>
        <w:pStyle w:val="ListParagraph"/>
        <w:numPr>
          <w:ilvl w:val="0"/>
          <w:numId w:val="44"/>
        </w:numPr>
        <w:tabs>
          <w:tab w:val="left" w:pos="1781"/>
        </w:tabs>
        <w:spacing w:before="0" w:after="0" w:line="240" w:lineRule="auto"/>
        <w:ind w:left="1780" w:right="0" w:hanging="741"/>
        <w:jc w:val="left"/>
        <w:rPr>
          <w:sz w:val="28"/>
        </w:rPr>
      </w:pPr>
      <w:r>
        <w:rPr>
          <w:spacing w:val="-2"/>
          <w:sz w:val="28"/>
        </w:rPr>
        <w:t>调度交换通信系统</w:t>
      </w:r>
    </w:p>
    <w:p>
      <w:pPr>
        <w:pStyle w:val="BodyText"/>
        <w:spacing w:before="203" w:line="355" w:lineRule="auto"/>
        <w:ind w:right="978"/>
      </w:pPr>
      <w:r>
        <w:rPr>
          <w:spacing w:val="-7"/>
        </w:rPr>
        <w:t>风电场升压站应配备一套程控调度交换系统，满足电力系统调度</w:t>
      </w:r>
      <w:r>
        <w:rPr>
          <w:spacing w:val="-2"/>
        </w:rPr>
        <w:t>管理需要。</w:t>
      </w:r>
    </w:p>
    <w:p>
      <w:pPr>
        <w:pStyle w:val="ListParagraph"/>
        <w:numPr>
          <w:ilvl w:val="0"/>
          <w:numId w:val="44"/>
        </w:numPr>
        <w:tabs>
          <w:tab w:val="left" w:pos="1781"/>
        </w:tabs>
        <w:spacing w:before="0" w:after="0" w:line="240" w:lineRule="auto"/>
        <w:ind w:left="1780" w:right="0" w:hanging="741"/>
        <w:jc w:val="left"/>
        <w:rPr>
          <w:sz w:val="28"/>
        </w:rPr>
      </w:pPr>
      <w:r>
        <w:rPr>
          <w:spacing w:val="-2"/>
          <w:sz w:val="28"/>
        </w:rPr>
        <w:t>综合数据通信网设备</w:t>
      </w:r>
    </w:p>
    <w:p>
      <w:pPr>
        <w:pStyle w:val="BodyText"/>
        <w:spacing w:before="202"/>
        <w:ind w:left="1040" w:firstLine="0"/>
      </w:pPr>
      <w:r>
        <w:rPr>
          <w:spacing w:val="-1"/>
        </w:rPr>
        <w:t>风电场升压站可根据地市电力数据网的建设规定配备一套综合</w:t>
      </w:r>
    </w:p>
    <w:p>
      <w:pPr>
        <w:spacing w:after="0"/>
        <w:sectPr>
          <w:pgSz w:w="11910" w:h="16840"/>
          <w:pgMar w:top="1480" w:right="820" w:bottom="280" w:left="1320" w:header="708" w:footer="708"/>
          <w:pgNumType w:start="42"/>
          <w:cols w:space="708"/>
        </w:sectPr>
      </w:pPr>
    </w:p>
    <w:p>
      <w:pPr>
        <w:pStyle w:val="BodyText"/>
        <w:spacing w:before="10"/>
        <w:ind w:firstLine="0"/>
      </w:pPr>
      <w:r>
        <w:rPr>
          <w:spacing w:val="-1"/>
        </w:rPr>
        <w:t>数据网接入设备，满足电力系统数据通信网规划管理需要。</w:t>
      </w:r>
    </w:p>
    <w:p>
      <w:pPr>
        <w:pStyle w:val="ListParagraph"/>
        <w:numPr>
          <w:ilvl w:val="0"/>
          <w:numId w:val="73"/>
        </w:numPr>
        <w:tabs>
          <w:tab w:val="left" w:pos="1781"/>
        </w:tabs>
        <w:spacing w:before="202" w:after="0" w:line="240" w:lineRule="auto"/>
        <w:ind w:left="1780" w:right="0" w:hanging="741"/>
        <w:jc w:val="left"/>
        <w:rPr>
          <w:sz w:val="28"/>
        </w:rPr>
      </w:pPr>
      <w:r>
        <w:rPr>
          <w:spacing w:val="-3"/>
          <w:sz w:val="28"/>
        </w:rPr>
        <w:t>通信电源</w:t>
      </w:r>
    </w:p>
    <w:p>
      <w:pPr>
        <w:pStyle w:val="BodyText"/>
        <w:spacing w:before="203" w:line="355" w:lineRule="auto"/>
        <w:ind w:right="838"/>
      </w:pPr>
      <w:r>
        <w:rPr>
          <w:spacing w:val="5"/>
        </w:rPr>
        <w:t>① 普通风电场升压站</w:t>
      </w:r>
      <w:r>
        <w:t>（50MW 规模）通信电源系统按照两套高</w:t>
      </w:r>
      <w:r>
        <w:rPr>
          <w:spacing w:val="-4"/>
        </w:rPr>
        <w:t>频开关电源、一组蓄电池组考虑。重要风电场升压站（100MW</w:t>
      </w:r>
      <w:r>
        <w:rPr>
          <w:spacing w:val="-8"/>
        </w:rPr>
        <w:t xml:space="preserve"> 规模</w:t>
      </w:r>
      <w:r>
        <w:rPr>
          <w:spacing w:val="-4"/>
        </w:rPr>
        <w:t>）</w:t>
      </w:r>
      <w:r>
        <w:rPr>
          <w:spacing w:val="-2"/>
        </w:rPr>
        <w:t>通信电源系统按照两套高频开关电源、两组蓄电池组考虑配备。</w:t>
      </w:r>
    </w:p>
    <w:p>
      <w:pPr>
        <w:pStyle w:val="BodyText"/>
        <w:spacing w:line="355" w:lineRule="auto"/>
        <w:ind w:right="978"/>
      </w:pPr>
      <w:r>
        <w:t>② 每组专用蓄电池容量应满足按照实际负荷放电不少于 8h 的</w:t>
      </w:r>
      <w:r>
        <w:rPr>
          <w:spacing w:val="-2"/>
        </w:rPr>
        <w:t>规定，高频开关电源的容量和蓄电池的容量根据工程计算配备。</w:t>
      </w:r>
    </w:p>
    <w:p>
      <w:pPr>
        <w:pStyle w:val="BodyText"/>
        <w:spacing w:line="355" w:lineRule="auto"/>
        <w:ind w:right="978"/>
        <w:jc w:val="both"/>
      </w:pPr>
      <w:r>
        <w:t>③ 通信电源的交流电应由能自动切换的、可靠的、来自不同所</w:t>
      </w:r>
      <w:r>
        <w:rPr>
          <w:spacing w:val="-4"/>
        </w:rPr>
        <w:t>用电母线段的双回路交流电源供电，当所用电母线只有一段时，通信</w:t>
      </w:r>
      <w:r>
        <w:rPr>
          <w:spacing w:val="-2"/>
        </w:rPr>
        <w:t>电源可引自站内不同回路的两个电源。</w:t>
      </w:r>
    </w:p>
    <w:p>
      <w:pPr>
        <w:pStyle w:val="BodyText"/>
        <w:spacing w:line="355" w:lineRule="auto"/>
        <w:ind w:right="978"/>
        <w:jc w:val="both"/>
      </w:pPr>
      <w:r>
        <w:t>➃ 高频开关电源设备应含有完整的防雷方法、智能监控接口、</w:t>
      </w:r>
      <w:r>
        <w:rPr>
          <w:spacing w:val="-2"/>
        </w:rPr>
        <w:t>主告警输🎧空接点。</w:t>
      </w:r>
    </w:p>
    <w:p>
      <w:pPr>
        <w:pStyle w:val="BodyText"/>
        <w:spacing w:line="355" w:lineRule="auto"/>
        <w:ind w:right="978"/>
        <w:jc w:val="both"/>
      </w:pPr>
      <w:r>
        <w:t>⑤ 传输同一输电线路的同一套继电保护信号的全部通信设备，</w:t>
      </w:r>
      <w:r>
        <w:rPr>
          <w:spacing w:val="-2"/>
        </w:rPr>
        <w:t>应接入同一套电源系统。</w:t>
      </w:r>
    </w:p>
    <w:p>
      <w:pPr>
        <w:pStyle w:val="BodyText"/>
        <w:spacing w:line="355" w:lineRule="auto"/>
        <w:ind w:right="978"/>
        <w:jc w:val="both"/>
      </w:pPr>
      <w:r>
        <w:t>⑥ 传输同一输电线路的两套继电保护信号的两组通信设备，应</w:t>
      </w:r>
      <w:r>
        <w:rPr>
          <w:spacing w:val="-2"/>
        </w:rPr>
        <w:t>接入两套电源系统。</w:t>
      </w:r>
    </w:p>
    <w:p>
      <w:pPr>
        <w:pStyle w:val="Heading1"/>
        <w:numPr>
          <w:ilvl w:val="1"/>
          <w:numId w:val="66"/>
        </w:numPr>
        <w:tabs>
          <w:tab w:val="left" w:pos="1559"/>
        </w:tabs>
        <w:spacing w:before="0" w:after="0" w:line="240" w:lineRule="auto"/>
        <w:ind w:left="1558" w:right="0" w:hanging="519"/>
        <w:jc w:val="both"/>
      </w:pPr>
      <w:r>
        <w:rPr>
          <w:spacing w:val="-1"/>
        </w:rPr>
        <w:t>风电场电气二次系统设计</w:t>
      </w:r>
    </w:p>
    <w:p>
      <w:pPr>
        <w:pStyle w:val="BodyText"/>
        <w:spacing w:before="202" w:line="355" w:lineRule="auto"/>
        <w:ind w:right="978"/>
      </w:pPr>
      <w:r>
        <w:rPr>
          <w:spacing w:val="-4"/>
        </w:rPr>
        <w:t>风电场电气二次设计按照安全可靠、技术先进、经济合用的原则</w:t>
      </w:r>
      <w:r>
        <w:rPr>
          <w:spacing w:val="-4"/>
        </w:rPr>
        <w:t>设计。</w:t>
      </w:r>
    </w:p>
    <w:p>
      <w:pPr>
        <w:pStyle w:val="BodyText"/>
        <w:spacing w:line="355" w:lineRule="auto"/>
        <w:ind w:right="978"/>
      </w:pPr>
      <w:r>
        <w:rPr>
          <w:spacing w:val="-6"/>
        </w:rPr>
        <w:t>风电场监控系统涉及风机监控系统和升压站监控系统，监控系统</w:t>
      </w:r>
      <w:r>
        <w:rPr>
          <w:spacing w:val="-2"/>
        </w:rPr>
        <w:t>按照“无人值班，少人值守”的原则进行设计。</w:t>
      </w:r>
    </w:p>
    <w:p>
      <w:pPr>
        <w:pStyle w:val="ListParagraph"/>
        <w:numPr>
          <w:ilvl w:val="2"/>
          <w:numId w:val="66"/>
        </w:numPr>
        <w:tabs>
          <w:tab w:val="left" w:pos="1733"/>
        </w:tabs>
        <w:spacing w:before="0" w:after="0" w:line="240" w:lineRule="auto"/>
        <w:ind w:left="1732" w:right="0" w:hanging="636"/>
        <w:jc w:val="left"/>
        <w:rPr>
          <w:sz w:val="28"/>
        </w:rPr>
      </w:pPr>
      <w:r>
        <w:rPr>
          <w:spacing w:val="-2"/>
          <w:sz w:val="28"/>
        </w:rPr>
        <w:t>风机监控系统</w:t>
      </w:r>
    </w:p>
    <w:p>
      <w:pPr>
        <w:spacing w:after="0" w:line="240" w:lineRule="auto"/>
        <w:jc w:val="left"/>
        <w:rPr>
          <w:sz w:val="28"/>
        </w:rPr>
        <w:sectPr>
          <w:pgSz w:w="11910" w:h="16840"/>
          <w:pgMar w:top="1480" w:right="820" w:bottom="280" w:left="1320" w:header="708" w:footer="708"/>
          <w:pgNumType w:start="43"/>
          <w:cols w:space="708"/>
        </w:sectPr>
      </w:pPr>
    </w:p>
    <w:p>
      <w:pPr>
        <w:pStyle w:val="BodyText"/>
        <w:spacing w:before="10" w:line="355" w:lineRule="auto"/>
        <w:ind w:right="977"/>
        <w:jc w:val="both"/>
      </w:pPr>
      <w:r>
        <w:rPr>
          <w:spacing w:val="-2"/>
        </w:rPr>
        <w:t>风电场风机监控系统涉及风电机组现地控制单元和风电场集中</w:t>
      </w:r>
      <w:r>
        <w:rPr>
          <w:spacing w:val="-13"/>
        </w:rPr>
        <w:t xml:space="preserve">控制系统，风电机组现地控制单元布置在风机塔筒内，重要有 </w:t>
      </w:r>
      <w:r>
        <w:t>PLC</w:t>
      </w:r>
      <w:r>
        <w:rPr>
          <w:spacing w:val="-10"/>
        </w:rPr>
        <w:t xml:space="preserve"> 或</w:t>
      </w:r>
      <w:r>
        <w:rPr>
          <w:spacing w:val="-2"/>
        </w:rPr>
        <w:t>工业防护等级的智能控制模块、变频控制设备构成。</w:t>
      </w:r>
    </w:p>
    <w:p>
      <w:pPr>
        <w:pStyle w:val="BodyText"/>
        <w:spacing w:line="355" w:lineRule="auto"/>
        <w:ind w:right="978"/>
      </w:pPr>
      <w:r>
        <w:rPr>
          <w:spacing w:val="-4"/>
        </w:rPr>
        <w:t>风电场集中控制系统涉及风场光纤以太网、以太网交换机、风机</w:t>
      </w:r>
      <w:r>
        <w:rPr>
          <w:spacing w:val="-2"/>
        </w:rPr>
        <w:t>通讯环网柜、后台集中控制计算机构成。</w:t>
      </w:r>
    </w:p>
    <w:p>
      <w:pPr>
        <w:pStyle w:val="ListParagraph"/>
        <w:numPr>
          <w:ilvl w:val="0"/>
          <w:numId w:val="43"/>
        </w:numPr>
        <w:tabs>
          <w:tab w:val="left" w:pos="1749"/>
        </w:tabs>
        <w:spacing w:before="0" w:after="0" w:line="240" w:lineRule="auto"/>
        <w:ind w:left="1748" w:right="0" w:hanging="709"/>
        <w:jc w:val="left"/>
        <w:rPr>
          <w:sz w:val="28"/>
        </w:rPr>
      </w:pPr>
      <w:r>
        <w:rPr>
          <w:spacing w:val="-1"/>
          <w:sz w:val="28"/>
        </w:rPr>
        <w:t>风电机组现地控制设备重要功效：</w:t>
      </w:r>
    </w:p>
    <w:p>
      <w:pPr>
        <w:pStyle w:val="BodyText"/>
        <w:spacing w:before="202" w:line="355" w:lineRule="auto"/>
        <w:ind w:right="978"/>
      </w:pPr>
      <w:r>
        <w:rPr>
          <w:spacing w:val="-4"/>
        </w:rPr>
        <w:t>① 控制风力发电机组开/停机，以及对风力发电机组紧急停机控</w:t>
      </w:r>
      <w:r>
        <w:rPr>
          <w:spacing w:val="-6"/>
        </w:rPr>
        <w:t>制；</w:t>
      </w:r>
    </w:p>
    <w:p>
      <w:pPr>
        <w:pStyle w:val="BodyText"/>
        <w:ind w:left="1040" w:firstLine="0"/>
      </w:pPr>
      <w:r>
        <w:t>② 控制风力发电机组同期并网；</w:t>
      </w:r>
    </w:p>
    <w:p>
      <w:pPr>
        <w:pStyle w:val="BodyText"/>
        <w:spacing w:before="202"/>
        <w:ind w:left="1040" w:firstLine="0"/>
      </w:pPr>
      <w:r>
        <w:t>③ 对风力发电机组的功率控制；</w:t>
      </w:r>
    </w:p>
    <w:p>
      <w:pPr>
        <w:pStyle w:val="BodyText"/>
        <w:spacing w:before="203"/>
        <w:ind w:left="1040" w:firstLine="0"/>
      </w:pPr>
      <w:r>
        <w:rPr>
          <w:spacing w:val="-1"/>
        </w:rPr>
        <w:t>➃ 对风力发电机组机头进行偏航操作、控制；</w:t>
      </w:r>
    </w:p>
    <w:p>
      <w:pPr>
        <w:pStyle w:val="BodyText"/>
        <w:spacing w:before="202"/>
        <w:ind w:left="1040" w:firstLine="0"/>
      </w:pPr>
      <w:r>
        <w:t>⑤ 对风力发电机组的风速计投入/切🎧</w:t>
      </w:r>
      <w:r>
        <w:rPr>
          <w:spacing w:val="-3"/>
        </w:rPr>
        <w:t>的控制；</w:t>
      </w:r>
    </w:p>
    <w:p>
      <w:pPr>
        <w:pStyle w:val="BodyText"/>
        <w:spacing w:before="203"/>
        <w:ind w:left="1040" w:firstLine="0"/>
      </w:pPr>
      <w:r>
        <w:rPr>
          <w:spacing w:val="-1"/>
        </w:rPr>
        <w:t>⑥ 监视风力发电机组的运行状态。</w:t>
      </w:r>
    </w:p>
    <w:p>
      <w:pPr>
        <w:pStyle w:val="ListParagraph"/>
        <w:numPr>
          <w:ilvl w:val="0"/>
          <w:numId w:val="43"/>
        </w:numPr>
        <w:tabs>
          <w:tab w:val="left" w:pos="1749"/>
        </w:tabs>
        <w:spacing w:before="202" w:after="0" w:line="240" w:lineRule="auto"/>
        <w:ind w:left="1748" w:right="0" w:hanging="709"/>
        <w:jc w:val="left"/>
        <w:rPr>
          <w:sz w:val="28"/>
        </w:rPr>
      </w:pPr>
      <w:r>
        <w:rPr>
          <w:spacing w:val="-1"/>
          <w:sz w:val="28"/>
        </w:rPr>
        <w:t>风电场风机集中控制系统重要功效：</w:t>
      </w:r>
    </w:p>
    <w:p>
      <w:pPr>
        <w:pStyle w:val="BodyText"/>
        <w:spacing w:before="202"/>
        <w:ind w:left="1040" w:firstLine="0"/>
      </w:pPr>
      <w:r>
        <w:rPr>
          <w:spacing w:val="-4"/>
        </w:rPr>
        <w:t>① 风力发电机组现地控制单元与风电场集中控制系统通信功效；</w:t>
      </w:r>
    </w:p>
    <w:p>
      <w:pPr>
        <w:pStyle w:val="BodyText"/>
        <w:spacing w:before="203"/>
        <w:ind w:left="1040" w:firstLine="0"/>
      </w:pPr>
      <w:r>
        <w:rPr>
          <w:spacing w:val="-1"/>
        </w:rPr>
        <w:t>② 风场内风力发电机组集中监控功效；</w:t>
      </w:r>
    </w:p>
    <w:p>
      <w:pPr>
        <w:pStyle w:val="BodyText"/>
        <w:spacing w:before="202"/>
        <w:ind w:left="1040" w:firstLine="0"/>
      </w:pPr>
      <w:r>
        <w:rPr>
          <w:spacing w:val="-1"/>
        </w:rPr>
        <w:t>③ 风场内风力发电机组及箱变的“四遥”功效；</w:t>
      </w:r>
    </w:p>
    <w:p>
      <w:pPr>
        <w:pStyle w:val="BodyText"/>
        <w:spacing w:before="202"/>
        <w:ind w:left="1040" w:firstLine="0"/>
      </w:pPr>
      <w:r>
        <w:rPr>
          <w:spacing w:val="1"/>
        </w:rPr>
        <w:t>➃ 与远方调度系统的通信功效</w:t>
      </w:r>
    </w:p>
    <w:p>
      <w:pPr>
        <w:pStyle w:val="ListParagraph"/>
        <w:numPr>
          <w:ilvl w:val="0"/>
          <w:numId w:val="43"/>
        </w:numPr>
        <w:tabs>
          <w:tab w:val="left" w:pos="1749"/>
        </w:tabs>
        <w:spacing w:before="203" w:after="0" w:line="240" w:lineRule="auto"/>
        <w:ind w:left="1748" w:right="0" w:hanging="709"/>
        <w:jc w:val="left"/>
        <w:rPr>
          <w:sz w:val="28"/>
        </w:rPr>
      </w:pPr>
      <w:r>
        <w:rPr>
          <w:spacing w:val="-2"/>
          <w:sz w:val="28"/>
        </w:rPr>
        <w:t>风机监控系统配备</w:t>
      </w:r>
    </w:p>
    <w:p>
      <w:pPr>
        <w:pStyle w:val="BodyText"/>
        <w:spacing w:before="202" w:line="355" w:lineRule="auto"/>
        <w:ind w:right="978"/>
      </w:pPr>
      <w:r>
        <w:rPr>
          <w:spacing w:val="-13"/>
        </w:rPr>
        <w:t>现在，风电场风力发电机组的监控系统由风力发电机组厂家配套</w:t>
      </w:r>
      <w:r>
        <w:rPr>
          <w:spacing w:val="-4"/>
        </w:rPr>
        <w:t>配备。</w:t>
      </w:r>
    </w:p>
    <w:p>
      <w:pPr>
        <w:pStyle w:val="ListParagraph"/>
        <w:numPr>
          <w:ilvl w:val="0"/>
          <w:numId w:val="43"/>
        </w:numPr>
        <w:tabs>
          <w:tab w:val="left" w:pos="1749"/>
        </w:tabs>
        <w:spacing w:before="0" w:after="0" w:line="240" w:lineRule="auto"/>
        <w:ind w:left="1748" w:right="0" w:hanging="709"/>
        <w:jc w:val="left"/>
        <w:rPr>
          <w:sz w:val="28"/>
        </w:rPr>
      </w:pPr>
      <w:r>
        <w:rPr>
          <w:spacing w:val="-2"/>
          <w:sz w:val="28"/>
        </w:rPr>
        <w:t>风机变压器监控配备</w:t>
      </w:r>
    </w:p>
    <w:p>
      <w:pPr>
        <w:spacing w:after="0" w:line="240" w:lineRule="auto"/>
        <w:jc w:val="left"/>
        <w:rPr>
          <w:sz w:val="28"/>
        </w:rPr>
        <w:sectPr>
          <w:pgSz w:w="11910" w:h="16840"/>
          <w:pgMar w:top="1480" w:right="820" w:bottom="280" w:left="1320" w:header="708" w:footer="708"/>
          <w:pgNumType w:start="44"/>
          <w:cols w:space="708"/>
        </w:sectPr>
      </w:pPr>
    </w:p>
    <w:p>
      <w:pPr>
        <w:pStyle w:val="BodyText"/>
        <w:spacing w:before="10" w:line="355" w:lineRule="auto"/>
        <w:ind w:right="978"/>
        <w:jc w:val="both"/>
      </w:pPr>
      <w:r>
        <w:rPr>
          <w:spacing w:val="-7"/>
        </w:rPr>
        <w:t>风电场风力发电机组的变压器应配备监控保护设备，能对风力发</w:t>
      </w:r>
      <w:r>
        <w:rPr>
          <w:spacing w:val="-4"/>
        </w:rPr>
        <w:t>电机组的变压器进行遥测、保护、遥控等功效，监控系统通信采用光</w:t>
      </w:r>
      <w:r>
        <w:rPr>
          <w:spacing w:val="-4"/>
        </w:rPr>
        <w:t>纤通信。</w:t>
      </w:r>
    </w:p>
    <w:p>
      <w:pPr>
        <w:pStyle w:val="ListParagraph"/>
        <w:numPr>
          <w:ilvl w:val="0"/>
          <w:numId w:val="43"/>
        </w:numPr>
        <w:tabs>
          <w:tab w:val="left" w:pos="1750"/>
        </w:tabs>
        <w:spacing w:before="0" w:after="0" w:line="240" w:lineRule="auto"/>
        <w:ind w:left="1749" w:right="0" w:hanging="710"/>
        <w:jc w:val="left"/>
        <w:rPr>
          <w:sz w:val="28"/>
        </w:rPr>
      </w:pPr>
      <w:r>
        <w:rPr>
          <w:spacing w:val="-1"/>
          <w:sz w:val="28"/>
        </w:rPr>
        <w:t>升压站计算机监控系统配备</w:t>
      </w:r>
    </w:p>
    <w:p>
      <w:pPr>
        <w:pStyle w:val="BodyText"/>
        <w:spacing w:before="202" w:line="355" w:lineRule="auto"/>
        <w:ind w:right="978"/>
        <w:jc w:val="both"/>
      </w:pPr>
      <w:r>
        <w:rPr>
          <w:spacing w:val="-4"/>
        </w:rPr>
        <w:t>计算机监控系统宜采用分层、分布、开放式网络构造，重要由站</w:t>
      </w:r>
      <w:r>
        <w:rPr>
          <w:spacing w:val="-4"/>
        </w:rPr>
        <w:t>控层设备、间隔层设备和网络设备等构成。站控层设备按风场升压站</w:t>
      </w:r>
      <w:r>
        <w:rPr>
          <w:spacing w:val="-2"/>
        </w:rPr>
        <w:t>远景规模配备、间隔层设备按风电场阶段实际建设工程规模配备。</w:t>
      </w:r>
    </w:p>
    <w:p>
      <w:pPr>
        <w:pStyle w:val="ListParagraph"/>
        <w:numPr>
          <w:ilvl w:val="0"/>
          <w:numId w:val="43"/>
        </w:numPr>
        <w:tabs>
          <w:tab w:val="left" w:pos="1666"/>
        </w:tabs>
        <w:spacing w:before="0" w:after="0" w:line="240" w:lineRule="auto"/>
        <w:ind w:left="1665" w:right="0" w:hanging="709"/>
        <w:jc w:val="left"/>
        <w:rPr>
          <w:sz w:val="28"/>
        </w:rPr>
      </w:pPr>
      <w:r>
        <w:rPr>
          <w:spacing w:val="-2"/>
          <w:sz w:val="28"/>
        </w:rPr>
        <w:t>站控层设备</w:t>
      </w:r>
    </w:p>
    <w:p>
      <w:pPr>
        <w:pStyle w:val="BodyText"/>
        <w:spacing w:before="202" w:line="355" w:lineRule="auto"/>
        <w:ind w:right="885"/>
        <w:jc w:val="both"/>
      </w:pPr>
      <w:r>
        <w:rPr>
          <w:spacing w:val="-2"/>
        </w:rPr>
        <w:t>主机兼主操作员工作站、备用操作员工作站兼“五防”工作站、工</w:t>
      </w:r>
      <w:r>
        <w:rPr>
          <w:spacing w:val="-2"/>
        </w:rPr>
        <w:t>程师工作站、远动通信设备、公共接口装置、网络设备、打印机等，</w:t>
      </w:r>
      <w:r>
        <w:rPr>
          <w:spacing w:val="-2"/>
        </w:rPr>
        <w:t>其中远动通信设备按双套冗余配备。</w:t>
      </w:r>
    </w:p>
    <w:p>
      <w:pPr>
        <w:pStyle w:val="ListParagraph"/>
        <w:numPr>
          <w:ilvl w:val="0"/>
          <w:numId w:val="43"/>
        </w:numPr>
        <w:tabs>
          <w:tab w:val="left" w:pos="1749"/>
        </w:tabs>
        <w:spacing w:before="0" w:after="0" w:line="240" w:lineRule="auto"/>
        <w:ind w:left="1748" w:right="0" w:hanging="709"/>
        <w:jc w:val="left"/>
        <w:rPr>
          <w:sz w:val="28"/>
        </w:rPr>
      </w:pPr>
      <w:r>
        <w:rPr>
          <w:spacing w:val="-3"/>
          <w:sz w:val="28"/>
        </w:rPr>
        <w:t>网络设备</w:t>
      </w:r>
    </w:p>
    <w:p>
      <w:pPr>
        <w:pStyle w:val="BodyText"/>
        <w:spacing w:before="203" w:line="355" w:lineRule="auto"/>
        <w:ind w:right="977"/>
        <w:jc w:val="both"/>
      </w:pPr>
      <w:r>
        <w:rPr>
          <w:spacing w:val="-2"/>
        </w:rPr>
        <w:t>网络交换机、光/电转器、接口设备和网络连接线、电缆、光缆</w:t>
      </w:r>
      <w:r>
        <w:t>及网络安全设备。100MW</w:t>
      </w:r>
      <w:r>
        <w:rPr>
          <w:spacing w:val="-7"/>
        </w:rPr>
        <w:t xml:space="preserve"> 容量风场或风场升压站为 </w:t>
      </w:r>
      <w:r>
        <w:t>220kV</w:t>
      </w:r>
      <w:r>
        <w:rPr>
          <w:spacing w:val="-5"/>
        </w:rPr>
        <w:t xml:space="preserve"> 电压升压</w:t>
      </w:r>
      <w:r>
        <w:rPr>
          <w:spacing w:val="-2"/>
        </w:rPr>
        <w:t>站时，计算机监控网应采用双网配备。</w:t>
      </w:r>
    </w:p>
    <w:p>
      <w:pPr>
        <w:pStyle w:val="ListParagraph"/>
        <w:numPr>
          <w:ilvl w:val="0"/>
          <w:numId w:val="43"/>
        </w:numPr>
        <w:tabs>
          <w:tab w:val="left" w:pos="1666"/>
        </w:tabs>
        <w:spacing w:before="0" w:after="0" w:line="240" w:lineRule="auto"/>
        <w:ind w:left="1665" w:right="0" w:hanging="709"/>
        <w:jc w:val="left"/>
        <w:rPr>
          <w:sz w:val="28"/>
        </w:rPr>
      </w:pPr>
      <w:r>
        <w:rPr>
          <w:spacing w:val="-2"/>
          <w:sz w:val="28"/>
        </w:rPr>
        <w:t>间隔层设备</w:t>
      </w:r>
    </w:p>
    <w:p>
      <w:pPr>
        <w:pStyle w:val="BodyText"/>
        <w:spacing w:before="202"/>
        <w:ind w:left="1040" w:firstLine="0"/>
      </w:pPr>
      <w:r>
        <w:rPr>
          <w:spacing w:val="-3"/>
        </w:rPr>
        <w:t xml:space="preserve">涉及 </w:t>
      </w:r>
      <w:r>
        <w:t>I/O</w:t>
      </w:r>
      <w:r>
        <w:rPr>
          <w:spacing w:val="-4"/>
        </w:rPr>
        <w:t xml:space="preserve"> 测控装置、网络接口等。</w:t>
      </w:r>
    </w:p>
    <w:p>
      <w:pPr>
        <w:pStyle w:val="ListParagraph"/>
        <w:numPr>
          <w:ilvl w:val="0"/>
          <w:numId w:val="43"/>
        </w:numPr>
        <w:tabs>
          <w:tab w:val="left" w:pos="1666"/>
        </w:tabs>
        <w:spacing w:before="202" w:after="0" w:line="240" w:lineRule="auto"/>
        <w:ind w:left="1665" w:right="0" w:hanging="709"/>
        <w:jc w:val="left"/>
        <w:rPr>
          <w:sz w:val="28"/>
        </w:rPr>
      </w:pPr>
      <w:r>
        <w:rPr>
          <w:spacing w:val="-2"/>
          <w:sz w:val="28"/>
        </w:rPr>
        <w:t>系统网络构造设计</w:t>
      </w:r>
    </w:p>
    <w:p>
      <w:pPr>
        <w:pStyle w:val="BodyText"/>
        <w:spacing w:before="203" w:line="355" w:lineRule="auto"/>
        <w:ind w:right="978"/>
      </w:pPr>
      <w:r>
        <w:rPr>
          <w:spacing w:val="-12"/>
        </w:rPr>
        <w:t>采用工业以太网构造，监控系统间隔层的测控设备直接上站控层</w:t>
      </w:r>
      <w:r>
        <w:rPr>
          <w:spacing w:val="-2"/>
        </w:rPr>
        <w:t>网络，测控装置直接与站控层通信。</w:t>
      </w:r>
    </w:p>
    <w:p>
      <w:pPr>
        <w:pStyle w:val="BodyText"/>
        <w:spacing w:line="355" w:lineRule="auto"/>
        <w:ind w:right="978"/>
      </w:pPr>
      <w:r>
        <w:rPr>
          <w:spacing w:val="-9"/>
        </w:rPr>
        <w:t>监控系统站控层及网络失效时，间隔层应能独立完毕就地数据采</w:t>
      </w:r>
      <w:r>
        <w:rPr>
          <w:spacing w:val="-2"/>
        </w:rPr>
        <w:t>集和测控功效。</w:t>
      </w:r>
    </w:p>
    <w:p>
      <w:pPr>
        <w:spacing w:after="0" w:line="355" w:lineRule="auto"/>
      </w:pPr>
      <w:r>
        <w:br/>
      </w:r>
      <w: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https://d.book118.com/215202010101011113</w:t>
        </w:r>
      </w:hyperlink>
    </w:p>
    <w:p>
      <w:pPr>
        <w:spacing w:after="0" w:line="355" w:lineRule="auto"/>
      </w:pPr>
    </w:p>
    <w:sectPr>
      <w:pgSz w:w="11910" w:h="16840"/>
      <w:pgMar w:top="1480" w:right="820" w:bottom="280" w:left="1320" w:header="708" w:footer="708"/>
      <w:pgNumType w:start="45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Malgun Gothic">
    <w:altName w:val="Malgun Gothic"/>
    <w:charset w:val="00"/>
    <w:family w:val="swiss"/>
    <w:pitch w:val="variable"/>
    <w:sig w:usb0="00000000" w:usb1="00000000" w:usb2="00000000" w:usb3="00000000" w:csb0="00000001" w:csb1="00000000"/>
  </w:font>
  <w:font w:name="等线">
    <w:altName w:val="等线"/>
    <w:charset w:val="86"/>
    <w:family w:val="auto"/>
    <w:pitch w:val="variable"/>
    <w:sig w:usb0="00000000" w:usb1="00000000" w:usb2="00000000" w:usb3="00000000" w:csb0="00040000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仿宋">
    <w:altName w:val="仿宋"/>
    <w:charset w:val="86"/>
    <w:family w:val="modern"/>
    <w:pitch w:val="fixed"/>
    <w:sig w:usb0="00000000" w:usb1="00000000" w:usb2="00000000" w:usb3="00000000" w:csb0="00040000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000B1631"/>
    <w:multiLevelType w:val="hybridMultilevel"/>
    <w:tmpl w:val="00000000"/>
    <w:lvl w:ilvl="0">
      <w:start w:val="1"/>
      <w:numFmt w:val="decimal"/>
      <w:lvlText w:val="（%1）"/>
      <w:lvlJc w:val="left"/>
      <w:pPr>
        <w:ind w:left="1780" w:hanging="741"/>
        <w:jc w:val="left"/>
      </w:pPr>
      <w:rPr>
        <w:rFonts w:ascii="等线" w:eastAsia="等线" w:hAnsi="等线" w:cs="等线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2578" w:hanging="741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3377" w:hanging="741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4175" w:hanging="741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974" w:hanging="741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773" w:hanging="741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6571" w:hanging="741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7370" w:hanging="741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8168" w:hanging="741"/>
      </w:pPr>
      <w:rPr>
        <w:rFonts w:hint="default"/>
        <w:lang w:val="en-US" w:eastAsia="zh-CN" w:bidi="ar-SA"/>
      </w:rPr>
    </w:lvl>
  </w:abstractNum>
  <w:abstractNum w:abstractNumId="1">
    <w:nsid w:val="01200978"/>
    <w:multiLevelType w:val="hybridMultilevel"/>
    <w:tmpl w:val="00000000"/>
    <w:lvl w:ilvl="0">
      <w:start w:val="1"/>
      <w:numFmt w:val="decimal"/>
      <w:lvlText w:val="（%1）"/>
      <w:lvlJc w:val="left"/>
      <w:pPr>
        <w:ind w:left="480" w:hanging="711"/>
        <w:jc w:val="left"/>
      </w:pPr>
      <w:rPr>
        <w:rFonts w:ascii="等线" w:eastAsia="等线" w:hAnsi="等线" w:cs="等线" w:hint="default"/>
        <w:b w:val="0"/>
        <w:bCs w:val="0"/>
        <w:i w:val="0"/>
        <w:iCs w:val="0"/>
        <w:spacing w:val="0"/>
        <w:w w:val="100"/>
        <w:sz w:val="26"/>
        <w:szCs w:val="26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408" w:hanging="711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337" w:hanging="711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265" w:hanging="711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194" w:hanging="711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123" w:hanging="711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6051" w:hanging="711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980" w:hanging="711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908" w:hanging="711"/>
      </w:pPr>
      <w:rPr>
        <w:rFonts w:hint="default"/>
        <w:lang w:val="en-US" w:eastAsia="zh-CN" w:bidi="ar-SA"/>
      </w:rPr>
    </w:lvl>
  </w:abstractNum>
  <w:abstractNum w:abstractNumId="2">
    <w:nsid w:val="01CF8713"/>
    <w:multiLevelType w:val="hybridMultilevel"/>
    <w:tmpl w:val="00000000"/>
    <w:lvl w:ilvl="0">
      <w:start w:val="1"/>
      <w:numFmt w:val="decimal"/>
      <w:lvlText w:val="（%1）"/>
      <w:lvlJc w:val="left"/>
      <w:pPr>
        <w:ind w:left="1780" w:hanging="741"/>
        <w:jc w:val="left"/>
      </w:pPr>
      <w:rPr>
        <w:rFonts w:ascii="等线" w:eastAsia="等线" w:hAnsi="等线" w:cs="等线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2578" w:hanging="741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3377" w:hanging="741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4175" w:hanging="741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974" w:hanging="741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773" w:hanging="741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6571" w:hanging="741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7370" w:hanging="741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8168" w:hanging="741"/>
      </w:pPr>
      <w:rPr>
        <w:rFonts w:hint="default"/>
        <w:lang w:val="en-US" w:eastAsia="zh-CN" w:bidi="ar-SA"/>
      </w:rPr>
    </w:lvl>
  </w:abstractNum>
  <w:abstractNum w:abstractNumId="3">
    <w:nsid w:val="03BDDA1D"/>
    <w:multiLevelType w:val="hybridMultilevel"/>
    <w:tmpl w:val="00000000"/>
    <w:lvl w:ilvl="0">
      <w:start w:val="1"/>
      <w:numFmt w:val="decimal"/>
      <w:lvlText w:val="（%1）"/>
      <w:lvlJc w:val="left"/>
      <w:pPr>
        <w:ind w:left="1780" w:hanging="741"/>
        <w:jc w:val="left"/>
      </w:pPr>
      <w:rPr>
        <w:rFonts w:ascii="等线" w:eastAsia="等线" w:hAnsi="等线" w:cs="等线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2578" w:hanging="741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3377" w:hanging="741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4175" w:hanging="741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974" w:hanging="741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773" w:hanging="741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6571" w:hanging="741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7370" w:hanging="741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8168" w:hanging="741"/>
      </w:pPr>
      <w:rPr>
        <w:rFonts w:hint="default"/>
        <w:lang w:val="en-US" w:eastAsia="zh-CN" w:bidi="ar-SA"/>
      </w:rPr>
    </w:lvl>
  </w:abstractNum>
  <w:abstractNum w:abstractNumId="4">
    <w:nsid w:val="04AFAC7A"/>
    <w:multiLevelType w:val="hybridMultilevel"/>
    <w:tmpl w:val="00000000"/>
    <w:lvl w:ilvl="0">
      <w:start w:val="1"/>
      <w:numFmt w:val="decimal"/>
      <w:lvlText w:val="（%1）"/>
      <w:lvlJc w:val="left"/>
      <w:pPr>
        <w:ind w:left="1750" w:hanging="711"/>
        <w:jc w:val="left"/>
      </w:pPr>
      <w:rPr>
        <w:rFonts w:ascii="等线" w:eastAsia="等线" w:hAnsi="等线" w:cs="等线" w:hint="default"/>
        <w:b w:val="0"/>
        <w:bCs w:val="0"/>
        <w:i w:val="0"/>
        <w:iCs w:val="0"/>
        <w:spacing w:val="0"/>
        <w:w w:val="100"/>
        <w:sz w:val="26"/>
        <w:szCs w:val="26"/>
        <w:lang w:val="en-US" w:eastAsia="zh-CN" w:bidi="ar-SA"/>
      </w:rPr>
    </w:lvl>
    <w:lvl w:ilvl="1">
      <w:start w:val="0"/>
      <w:numFmt w:val="bullet"/>
      <w:lvlText w:val="•"/>
      <w:lvlJc w:val="left"/>
      <w:pPr>
        <w:ind w:left="2560" w:hanging="711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3361" w:hanging="711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4161" w:hanging="711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962" w:hanging="711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763" w:hanging="711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6563" w:hanging="711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7364" w:hanging="711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8164" w:hanging="711"/>
      </w:pPr>
      <w:rPr>
        <w:rFonts w:hint="default"/>
        <w:lang w:val="en-US" w:eastAsia="zh-CN" w:bidi="ar-SA"/>
      </w:rPr>
    </w:lvl>
  </w:abstractNum>
  <w:abstractNum w:abstractNumId="5">
    <w:nsid w:val="07516B0F"/>
    <w:multiLevelType w:val="hybridMultilevel"/>
    <w:tmpl w:val="00000000"/>
    <w:lvl w:ilvl="0">
      <w:start w:val="1"/>
      <w:numFmt w:val="decimal"/>
      <w:lvlText w:val="（%1）"/>
      <w:lvlJc w:val="left"/>
      <w:pPr>
        <w:ind w:left="1748" w:hanging="709"/>
        <w:jc w:val="left"/>
      </w:pPr>
      <w:rPr>
        <w:rFonts w:ascii="等线" w:eastAsia="等线" w:hAnsi="等线" w:cs="等线" w:hint="default"/>
        <w:b w:val="0"/>
        <w:bCs w:val="0"/>
        <w:i w:val="0"/>
        <w:iCs w:val="0"/>
        <w:w w:val="100"/>
        <w:sz w:val="26"/>
        <w:szCs w:val="26"/>
        <w:lang w:val="en-US" w:eastAsia="zh-CN" w:bidi="ar-SA"/>
      </w:rPr>
    </w:lvl>
    <w:lvl w:ilvl="1">
      <w:start w:val="0"/>
      <w:numFmt w:val="bullet"/>
      <w:lvlText w:val="•"/>
      <w:lvlJc w:val="left"/>
      <w:pPr>
        <w:ind w:left="2542" w:hanging="709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3345" w:hanging="709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4147" w:hanging="709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950" w:hanging="709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753" w:hanging="709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6555" w:hanging="709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7358" w:hanging="709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8160" w:hanging="709"/>
      </w:pPr>
      <w:rPr>
        <w:rFonts w:hint="default"/>
        <w:lang w:val="en-US" w:eastAsia="zh-CN" w:bidi="ar-SA"/>
      </w:rPr>
    </w:lvl>
  </w:abstractNum>
  <w:abstractNum w:abstractNumId="6">
    <w:nsid w:val="0A9CE4B9"/>
    <w:multiLevelType w:val="hybridMultilevel"/>
    <w:tmpl w:val="00000000"/>
    <w:lvl w:ilvl="0">
      <w:start w:val="1"/>
      <w:numFmt w:val="decimal"/>
      <w:lvlText w:val="（%1）"/>
      <w:lvlJc w:val="left"/>
      <w:pPr>
        <w:ind w:left="1750" w:hanging="711"/>
        <w:jc w:val="left"/>
      </w:pPr>
      <w:rPr>
        <w:rFonts w:ascii="等线" w:eastAsia="等线" w:hAnsi="等线" w:cs="等线" w:hint="default"/>
        <w:b w:val="0"/>
        <w:bCs w:val="0"/>
        <w:i w:val="0"/>
        <w:iCs w:val="0"/>
        <w:spacing w:val="0"/>
        <w:w w:val="100"/>
        <w:sz w:val="26"/>
        <w:szCs w:val="26"/>
        <w:lang w:val="en-US" w:eastAsia="zh-CN" w:bidi="ar-SA"/>
      </w:rPr>
    </w:lvl>
    <w:lvl w:ilvl="1">
      <w:start w:val="0"/>
      <w:numFmt w:val="bullet"/>
      <w:lvlText w:val="•"/>
      <w:lvlJc w:val="left"/>
      <w:pPr>
        <w:ind w:left="2560" w:hanging="711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3361" w:hanging="711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4161" w:hanging="711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962" w:hanging="711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763" w:hanging="711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6563" w:hanging="711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7364" w:hanging="711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8164" w:hanging="711"/>
      </w:pPr>
      <w:rPr>
        <w:rFonts w:hint="default"/>
        <w:lang w:val="en-US" w:eastAsia="zh-CN" w:bidi="ar-SA"/>
      </w:rPr>
    </w:lvl>
  </w:abstractNum>
  <w:abstractNum w:abstractNumId="7">
    <w:nsid w:val="0B0CCD4F"/>
    <w:multiLevelType w:val="hybridMultilevel"/>
    <w:tmpl w:val="00000000"/>
    <w:lvl w:ilvl="0">
      <w:start w:val="1"/>
      <w:numFmt w:val="decimal"/>
      <w:lvlText w:val="（%1）"/>
      <w:lvlJc w:val="left"/>
      <w:pPr>
        <w:ind w:left="1748" w:hanging="709"/>
        <w:jc w:val="left"/>
      </w:pPr>
      <w:rPr>
        <w:rFonts w:ascii="等线" w:eastAsia="等线" w:hAnsi="等线" w:cs="等线" w:hint="default"/>
        <w:b w:val="0"/>
        <w:bCs w:val="0"/>
        <w:i w:val="0"/>
        <w:iCs w:val="0"/>
        <w:w w:val="100"/>
        <w:sz w:val="26"/>
        <w:szCs w:val="26"/>
        <w:lang w:val="en-US" w:eastAsia="zh-CN" w:bidi="ar-SA"/>
      </w:rPr>
    </w:lvl>
    <w:lvl w:ilvl="1">
      <w:start w:val="0"/>
      <w:numFmt w:val="bullet"/>
      <w:lvlText w:val="•"/>
      <w:lvlJc w:val="left"/>
      <w:pPr>
        <w:ind w:left="2542" w:hanging="709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3345" w:hanging="709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4147" w:hanging="709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950" w:hanging="709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753" w:hanging="709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6555" w:hanging="709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7358" w:hanging="709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8160" w:hanging="709"/>
      </w:pPr>
      <w:rPr>
        <w:rFonts w:hint="default"/>
        <w:lang w:val="en-US" w:eastAsia="zh-CN" w:bidi="ar-SA"/>
      </w:rPr>
    </w:lvl>
  </w:abstractNum>
  <w:abstractNum w:abstractNumId="8">
    <w:nsid w:val="0C10AB9E"/>
    <w:multiLevelType w:val="hybridMultilevel"/>
    <w:tmpl w:val="00000000"/>
    <w:lvl w:ilvl="0">
      <w:start w:val="1"/>
      <w:numFmt w:val="decimal"/>
      <w:lvlText w:val="（%1）"/>
      <w:lvlJc w:val="left"/>
      <w:pPr>
        <w:ind w:left="1748" w:hanging="709"/>
        <w:jc w:val="left"/>
      </w:pPr>
      <w:rPr>
        <w:rFonts w:ascii="等线" w:eastAsia="等线" w:hAnsi="等线" w:cs="等线" w:hint="default"/>
        <w:b w:val="0"/>
        <w:bCs w:val="0"/>
        <w:i w:val="0"/>
        <w:iCs w:val="0"/>
        <w:w w:val="100"/>
        <w:sz w:val="26"/>
        <w:szCs w:val="26"/>
        <w:lang w:val="en-US" w:eastAsia="zh-CN" w:bidi="ar-SA"/>
      </w:rPr>
    </w:lvl>
    <w:lvl w:ilvl="1">
      <w:start w:val="0"/>
      <w:numFmt w:val="bullet"/>
      <w:lvlText w:val="•"/>
      <w:lvlJc w:val="left"/>
      <w:pPr>
        <w:ind w:left="2542" w:hanging="709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3345" w:hanging="709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4147" w:hanging="709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950" w:hanging="709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753" w:hanging="709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6555" w:hanging="709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7358" w:hanging="709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8160" w:hanging="709"/>
      </w:pPr>
      <w:rPr>
        <w:rFonts w:hint="default"/>
        <w:lang w:val="en-US" w:eastAsia="zh-CN" w:bidi="ar-SA"/>
      </w:rPr>
    </w:lvl>
  </w:abstractNum>
  <w:abstractNum w:abstractNumId="9">
    <w:nsid w:val="0C17E426"/>
    <w:multiLevelType w:val="hybridMultilevel"/>
    <w:tmpl w:val="00000000"/>
    <w:lvl w:ilvl="0">
      <w:start w:val="1"/>
      <w:numFmt w:val="decimal"/>
      <w:lvlText w:val="%1）"/>
      <w:lvlJc w:val="left"/>
      <w:pPr>
        <w:ind w:left="1468" w:hanging="429"/>
        <w:jc w:val="left"/>
      </w:pPr>
      <w:rPr>
        <w:rFonts w:ascii="等线" w:eastAsia="等线" w:hAnsi="等线" w:cs="等线" w:hint="default"/>
        <w:b w:val="0"/>
        <w:bCs w:val="0"/>
        <w:i w:val="0"/>
        <w:iCs w:val="0"/>
        <w:w w:val="100"/>
        <w:sz w:val="26"/>
        <w:szCs w:val="26"/>
        <w:lang w:val="en-US" w:eastAsia="zh-CN" w:bidi="ar-SA"/>
      </w:rPr>
    </w:lvl>
    <w:lvl w:ilvl="1">
      <w:start w:val="0"/>
      <w:numFmt w:val="bullet"/>
      <w:lvlText w:val="•"/>
      <w:lvlJc w:val="left"/>
      <w:pPr>
        <w:ind w:left="2290" w:hanging="429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3121" w:hanging="429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951" w:hanging="429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782" w:hanging="429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613" w:hanging="429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6443" w:hanging="429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7274" w:hanging="429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8104" w:hanging="429"/>
      </w:pPr>
      <w:rPr>
        <w:rFonts w:hint="default"/>
        <w:lang w:val="en-US" w:eastAsia="zh-CN" w:bidi="ar-SA"/>
      </w:rPr>
    </w:lvl>
  </w:abstractNum>
  <w:abstractNum w:abstractNumId="10">
    <w:nsid w:val="0CC131E9"/>
    <w:multiLevelType w:val="hybridMultilevel"/>
    <w:tmpl w:val="00000000"/>
    <w:lvl w:ilvl="0">
      <w:start w:val="1"/>
      <w:numFmt w:val="decimal"/>
      <w:lvlText w:val="（%1）"/>
      <w:lvlJc w:val="left"/>
      <w:pPr>
        <w:ind w:left="480" w:hanging="711"/>
        <w:jc w:val="left"/>
      </w:pPr>
      <w:rPr>
        <w:rFonts w:ascii="等线" w:eastAsia="等线" w:hAnsi="等线" w:cs="等线" w:hint="default"/>
        <w:b w:val="0"/>
        <w:bCs w:val="0"/>
        <w:i w:val="0"/>
        <w:iCs w:val="0"/>
        <w:spacing w:val="0"/>
        <w:w w:val="100"/>
        <w:sz w:val="26"/>
        <w:szCs w:val="26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408" w:hanging="711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337" w:hanging="711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265" w:hanging="711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194" w:hanging="711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123" w:hanging="711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6051" w:hanging="711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980" w:hanging="711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908" w:hanging="711"/>
      </w:pPr>
      <w:rPr>
        <w:rFonts w:hint="default"/>
        <w:lang w:val="en-US" w:eastAsia="zh-CN" w:bidi="ar-SA"/>
      </w:rPr>
    </w:lvl>
  </w:abstractNum>
  <w:abstractNum w:abstractNumId="11">
    <w:nsid w:val="0DB10950"/>
    <w:multiLevelType w:val="hybridMultilevel"/>
    <w:tmpl w:val="00000000"/>
    <w:lvl w:ilvl="0">
      <w:start w:val="1"/>
      <w:numFmt w:val="decimal"/>
      <w:lvlText w:val="（%1）"/>
      <w:lvlJc w:val="left"/>
      <w:pPr>
        <w:ind w:left="480" w:hanging="709"/>
        <w:jc w:val="left"/>
      </w:pPr>
      <w:rPr>
        <w:rFonts w:ascii="等线" w:eastAsia="等线" w:hAnsi="等线" w:cs="等线" w:hint="default"/>
        <w:b w:val="0"/>
        <w:bCs w:val="0"/>
        <w:i w:val="0"/>
        <w:iCs w:val="0"/>
        <w:spacing w:val="-50"/>
        <w:w w:val="100"/>
        <w:sz w:val="26"/>
        <w:szCs w:val="26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408" w:hanging="709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337" w:hanging="709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265" w:hanging="709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194" w:hanging="709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123" w:hanging="709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6051" w:hanging="709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980" w:hanging="709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908" w:hanging="709"/>
      </w:pPr>
      <w:rPr>
        <w:rFonts w:hint="default"/>
        <w:lang w:val="en-US" w:eastAsia="zh-CN" w:bidi="ar-SA"/>
      </w:rPr>
    </w:lvl>
  </w:abstractNum>
  <w:abstractNum w:abstractNumId="12">
    <w:nsid w:val="0DC338A9"/>
    <w:multiLevelType w:val="hybridMultilevel"/>
    <w:tmpl w:val="00000000"/>
    <w:lvl w:ilvl="0">
      <w:start w:val="1"/>
      <w:numFmt w:val="decimal"/>
      <w:lvlText w:val="%1）"/>
      <w:lvlJc w:val="left"/>
      <w:pPr>
        <w:ind w:left="1468" w:hanging="429"/>
        <w:jc w:val="left"/>
      </w:pPr>
      <w:rPr>
        <w:rFonts w:ascii="等线" w:eastAsia="等线" w:hAnsi="等线" w:cs="等线" w:hint="default"/>
        <w:b w:val="0"/>
        <w:bCs w:val="0"/>
        <w:i w:val="0"/>
        <w:iCs w:val="0"/>
        <w:w w:val="100"/>
        <w:sz w:val="26"/>
        <w:szCs w:val="26"/>
        <w:lang w:val="en-US" w:eastAsia="zh-CN" w:bidi="ar-SA"/>
      </w:rPr>
    </w:lvl>
    <w:lvl w:ilvl="1">
      <w:start w:val="0"/>
      <w:numFmt w:val="bullet"/>
      <w:lvlText w:val="•"/>
      <w:lvlJc w:val="left"/>
      <w:pPr>
        <w:ind w:left="2290" w:hanging="429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3121" w:hanging="429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951" w:hanging="429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782" w:hanging="429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613" w:hanging="429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6443" w:hanging="429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7274" w:hanging="429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8104" w:hanging="429"/>
      </w:pPr>
      <w:rPr>
        <w:rFonts w:hint="default"/>
        <w:lang w:val="en-US" w:eastAsia="zh-CN" w:bidi="ar-SA"/>
      </w:rPr>
    </w:lvl>
  </w:abstractNum>
  <w:abstractNum w:abstractNumId="13">
    <w:nsid w:val="0F6CB9F2"/>
    <w:multiLevelType w:val="hybridMultilevel"/>
    <w:tmpl w:val="00000000"/>
    <w:lvl w:ilvl="0">
      <w:start w:val="1"/>
      <w:numFmt w:val="decimal"/>
      <w:lvlText w:val="（%1）"/>
      <w:lvlJc w:val="left"/>
      <w:pPr>
        <w:ind w:left="480" w:hanging="717"/>
        <w:jc w:val="left"/>
      </w:pPr>
      <w:rPr>
        <w:rFonts w:ascii="等线" w:eastAsia="等线" w:hAnsi="等线" w:cs="等线" w:hint="default"/>
        <w:b w:val="0"/>
        <w:bCs w:val="0"/>
        <w:i w:val="0"/>
        <w:iCs w:val="0"/>
        <w:spacing w:val="0"/>
        <w:w w:val="100"/>
        <w:sz w:val="26"/>
        <w:szCs w:val="26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408" w:hanging="717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337" w:hanging="717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265" w:hanging="717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194" w:hanging="717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123" w:hanging="717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6051" w:hanging="717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980" w:hanging="717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908" w:hanging="717"/>
      </w:pPr>
      <w:rPr>
        <w:rFonts w:hint="default"/>
        <w:lang w:val="en-US" w:eastAsia="zh-CN" w:bidi="ar-SA"/>
      </w:rPr>
    </w:lvl>
  </w:abstractNum>
  <w:abstractNum w:abstractNumId="14">
    <w:nsid w:val="145BDD66"/>
    <w:multiLevelType w:val="hybridMultilevel"/>
    <w:tmpl w:val="00000000"/>
    <w:lvl w:ilvl="0">
      <w:start w:val="1"/>
      <w:numFmt w:val="decimal"/>
      <w:lvlText w:val="（%1）"/>
      <w:lvlJc w:val="left"/>
      <w:pPr>
        <w:ind w:left="1780" w:hanging="741"/>
        <w:jc w:val="left"/>
      </w:pPr>
      <w:rPr>
        <w:rFonts w:ascii="等线" w:eastAsia="等线" w:hAnsi="等线" w:cs="等线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2578" w:hanging="741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3377" w:hanging="741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4175" w:hanging="741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974" w:hanging="741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773" w:hanging="741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6571" w:hanging="741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7370" w:hanging="741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8168" w:hanging="741"/>
      </w:pPr>
      <w:rPr>
        <w:rFonts w:hint="default"/>
        <w:lang w:val="en-US" w:eastAsia="zh-CN" w:bidi="ar-SA"/>
      </w:rPr>
    </w:lvl>
  </w:abstractNum>
  <w:abstractNum w:abstractNumId="15">
    <w:nsid w:val="15106124"/>
    <w:multiLevelType w:val="hybridMultilevel"/>
    <w:tmpl w:val="00000000"/>
    <w:lvl w:ilvl="0">
      <w:start w:val="1"/>
      <w:numFmt w:val="decimal"/>
      <w:lvlText w:val="%1）"/>
      <w:lvlJc w:val="left"/>
      <w:pPr>
        <w:ind w:left="1468" w:hanging="429"/>
        <w:jc w:val="left"/>
      </w:pPr>
      <w:rPr>
        <w:rFonts w:ascii="等线" w:eastAsia="等线" w:hAnsi="等线" w:cs="等线" w:hint="default"/>
        <w:b w:val="0"/>
        <w:bCs w:val="0"/>
        <w:i w:val="0"/>
        <w:iCs w:val="0"/>
        <w:w w:val="100"/>
        <w:sz w:val="26"/>
        <w:szCs w:val="26"/>
        <w:lang w:val="en-US" w:eastAsia="zh-CN" w:bidi="ar-SA"/>
      </w:rPr>
    </w:lvl>
    <w:lvl w:ilvl="1">
      <w:start w:val="0"/>
      <w:numFmt w:val="bullet"/>
      <w:lvlText w:val="•"/>
      <w:lvlJc w:val="left"/>
      <w:pPr>
        <w:ind w:left="2290" w:hanging="429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3121" w:hanging="429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951" w:hanging="429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782" w:hanging="429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613" w:hanging="429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6443" w:hanging="429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7274" w:hanging="429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8104" w:hanging="429"/>
      </w:pPr>
      <w:rPr>
        <w:rFonts w:hint="default"/>
        <w:lang w:val="en-US" w:eastAsia="zh-CN" w:bidi="ar-SA"/>
      </w:rPr>
    </w:lvl>
  </w:abstractNum>
  <w:abstractNum w:abstractNumId="16">
    <w:nsid w:val="17E24CF0"/>
    <w:multiLevelType w:val="hybridMultilevel"/>
    <w:tmpl w:val="00000000"/>
    <w:lvl w:ilvl="0">
      <w:start w:val="1"/>
      <w:numFmt w:val="decimal"/>
      <w:lvlText w:val="%1）"/>
      <w:lvlJc w:val="left"/>
      <w:pPr>
        <w:ind w:left="1468" w:hanging="429"/>
        <w:jc w:val="left"/>
      </w:pPr>
      <w:rPr>
        <w:rFonts w:ascii="等线" w:eastAsia="等线" w:hAnsi="等线" w:cs="等线" w:hint="default"/>
        <w:b w:val="0"/>
        <w:bCs w:val="0"/>
        <w:i w:val="0"/>
        <w:iCs w:val="0"/>
        <w:w w:val="100"/>
        <w:sz w:val="26"/>
        <w:szCs w:val="26"/>
        <w:lang w:val="en-US" w:eastAsia="zh-CN" w:bidi="ar-SA"/>
      </w:rPr>
    </w:lvl>
    <w:lvl w:ilvl="1">
      <w:start w:val="0"/>
      <w:numFmt w:val="bullet"/>
      <w:lvlText w:val="•"/>
      <w:lvlJc w:val="left"/>
      <w:pPr>
        <w:ind w:left="2290" w:hanging="429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3121" w:hanging="429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951" w:hanging="429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782" w:hanging="429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613" w:hanging="429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6443" w:hanging="429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7274" w:hanging="429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8104" w:hanging="429"/>
      </w:pPr>
      <w:rPr>
        <w:rFonts w:hint="default"/>
        <w:lang w:val="en-US" w:eastAsia="zh-CN" w:bidi="ar-SA"/>
      </w:rPr>
    </w:lvl>
  </w:abstractNum>
  <w:abstractNum w:abstractNumId="17">
    <w:nsid w:val="19E34EB9"/>
    <w:multiLevelType w:val="hybridMultilevel"/>
    <w:tmpl w:val="00000000"/>
    <w:lvl w:ilvl="0">
      <w:start w:val="1"/>
      <w:numFmt w:val="decimal"/>
      <w:lvlText w:val="%1)"/>
      <w:lvlJc w:val="left"/>
      <w:pPr>
        <w:ind w:left="1280" w:hanging="240"/>
        <w:jc w:val="left"/>
      </w:pPr>
      <w:rPr>
        <w:rFonts w:ascii="等线" w:eastAsia="等线" w:hAnsi="等线" w:cs="等线" w:hint="default"/>
        <w:b w:val="0"/>
        <w:bCs w:val="0"/>
        <w:i w:val="0"/>
        <w:iCs w:val="0"/>
        <w:w w:val="100"/>
        <w:sz w:val="26"/>
        <w:szCs w:val="26"/>
        <w:lang w:val="en-US" w:eastAsia="zh-CN" w:bidi="ar-SA"/>
      </w:rPr>
    </w:lvl>
    <w:lvl w:ilvl="1">
      <w:start w:val="0"/>
      <w:numFmt w:val="bullet"/>
      <w:lvlText w:val="•"/>
      <w:lvlJc w:val="left"/>
      <w:pPr>
        <w:ind w:left="2128" w:hanging="24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977" w:hanging="24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825" w:hanging="24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674" w:hanging="24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523" w:hanging="24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6371" w:hanging="24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7220" w:hanging="24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8068" w:hanging="240"/>
      </w:pPr>
      <w:rPr>
        <w:rFonts w:hint="default"/>
        <w:lang w:val="en-US" w:eastAsia="zh-CN" w:bidi="ar-SA"/>
      </w:rPr>
    </w:lvl>
  </w:abstractNum>
  <w:abstractNum w:abstractNumId="18">
    <w:nsid w:val="1A7BDAB5"/>
    <w:multiLevelType w:val="hybridMultilevel"/>
    <w:tmpl w:val="00000000"/>
    <w:lvl w:ilvl="0">
      <w:start w:val="1"/>
      <w:numFmt w:val="decimal"/>
      <w:lvlText w:val="%1）"/>
      <w:lvlJc w:val="left"/>
      <w:pPr>
        <w:ind w:left="1468" w:hanging="429"/>
        <w:jc w:val="left"/>
      </w:pPr>
      <w:rPr>
        <w:rFonts w:ascii="等线" w:eastAsia="等线" w:hAnsi="等线" w:cs="等线" w:hint="default"/>
        <w:b w:val="0"/>
        <w:bCs w:val="0"/>
        <w:i w:val="0"/>
        <w:iCs w:val="0"/>
        <w:w w:val="100"/>
        <w:sz w:val="26"/>
        <w:szCs w:val="26"/>
        <w:lang w:val="en-US" w:eastAsia="zh-CN" w:bidi="ar-SA"/>
      </w:rPr>
    </w:lvl>
    <w:lvl w:ilvl="1">
      <w:start w:val="0"/>
      <w:numFmt w:val="bullet"/>
      <w:lvlText w:val="•"/>
      <w:lvlJc w:val="left"/>
      <w:pPr>
        <w:ind w:left="2290" w:hanging="429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3121" w:hanging="429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951" w:hanging="429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782" w:hanging="429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613" w:hanging="429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6443" w:hanging="429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7274" w:hanging="429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8104" w:hanging="429"/>
      </w:pPr>
      <w:rPr>
        <w:rFonts w:hint="default"/>
        <w:lang w:val="en-US" w:eastAsia="zh-CN" w:bidi="ar-SA"/>
      </w:rPr>
    </w:lvl>
  </w:abstractNum>
  <w:abstractNum w:abstractNumId="19">
    <w:nsid w:val="1B99B54E"/>
    <w:multiLevelType w:val="hybridMultilevel"/>
    <w:tmpl w:val="00000000"/>
    <w:lvl w:ilvl="0">
      <w:start w:val="1"/>
      <w:numFmt w:val="decimal"/>
      <w:lvlText w:val="（%1）"/>
      <w:lvlJc w:val="left"/>
      <w:pPr>
        <w:ind w:left="480" w:hanging="713"/>
        <w:jc w:val="right"/>
      </w:pPr>
      <w:rPr>
        <w:rFonts w:ascii="等线" w:eastAsia="等线" w:hAnsi="等线" w:cs="等线" w:hint="default"/>
        <w:b w:val="0"/>
        <w:bCs w:val="0"/>
        <w:i w:val="0"/>
        <w:iCs w:val="0"/>
        <w:spacing w:val="0"/>
        <w:w w:val="100"/>
        <w:sz w:val="26"/>
        <w:szCs w:val="26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408" w:hanging="71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337" w:hanging="71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265" w:hanging="71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194" w:hanging="71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123" w:hanging="71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6051" w:hanging="71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980" w:hanging="71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908" w:hanging="713"/>
      </w:pPr>
      <w:rPr>
        <w:rFonts w:hint="default"/>
        <w:lang w:val="en-US" w:eastAsia="zh-CN" w:bidi="ar-SA"/>
      </w:rPr>
    </w:lvl>
  </w:abstractNum>
  <w:abstractNum w:abstractNumId="20">
    <w:nsid w:val="1D4308B3"/>
    <w:multiLevelType w:val="hybridMultilevel"/>
    <w:tmpl w:val="00000000"/>
    <w:lvl w:ilvl="0">
      <w:start w:val="1"/>
      <w:numFmt w:val="decimal"/>
      <w:lvlText w:val="（%1）"/>
      <w:lvlJc w:val="left"/>
      <w:pPr>
        <w:ind w:left="480" w:hanging="711"/>
        <w:jc w:val="right"/>
      </w:pPr>
      <w:rPr>
        <w:rFonts w:ascii="等线" w:eastAsia="等线" w:hAnsi="等线" w:cs="等线" w:hint="default"/>
        <w:b w:val="0"/>
        <w:bCs w:val="0"/>
        <w:i w:val="0"/>
        <w:iCs w:val="0"/>
        <w:spacing w:val="0"/>
        <w:w w:val="100"/>
        <w:sz w:val="26"/>
        <w:szCs w:val="26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408" w:hanging="711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337" w:hanging="711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265" w:hanging="711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194" w:hanging="711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123" w:hanging="711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6051" w:hanging="711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980" w:hanging="711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908" w:hanging="711"/>
      </w:pPr>
      <w:rPr>
        <w:rFonts w:hint="default"/>
        <w:lang w:val="en-US" w:eastAsia="zh-CN" w:bidi="ar-SA"/>
      </w:rPr>
    </w:lvl>
  </w:abstractNum>
  <w:abstractNum w:abstractNumId="21">
    <w:nsid w:val="1DFEB74A"/>
    <w:multiLevelType w:val="hybridMultilevel"/>
    <w:tmpl w:val="00000000"/>
    <w:lvl w:ilvl="0">
      <w:start w:val="1"/>
      <w:numFmt w:val="decimal"/>
      <w:lvlText w:val="%1）"/>
      <w:lvlJc w:val="left"/>
      <w:pPr>
        <w:ind w:left="1468" w:hanging="429"/>
        <w:jc w:val="left"/>
      </w:pPr>
      <w:rPr>
        <w:rFonts w:ascii="等线" w:eastAsia="等线" w:hAnsi="等线" w:cs="等线" w:hint="default"/>
        <w:b w:val="0"/>
        <w:bCs w:val="0"/>
        <w:i w:val="0"/>
        <w:iCs w:val="0"/>
        <w:w w:val="100"/>
        <w:sz w:val="26"/>
        <w:szCs w:val="26"/>
        <w:lang w:val="en-US" w:eastAsia="zh-CN" w:bidi="ar-SA"/>
      </w:rPr>
    </w:lvl>
    <w:lvl w:ilvl="1">
      <w:start w:val="0"/>
      <w:numFmt w:val="bullet"/>
      <w:lvlText w:val="•"/>
      <w:lvlJc w:val="left"/>
      <w:pPr>
        <w:ind w:left="2290" w:hanging="429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3121" w:hanging="429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951" w:hanging="429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782" w:hanging="429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613" w:hanging="429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6443" w:hanging="429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7274" w:hanging="429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8104" w:hanging="429"/>
      </w:pPr>
      <w:rPr>
        <w:rFonts w:hint="default"/>
        <w:lang w:val="en-US" w:eastAsia="zh-CN" w:bidi="ar-SA"/>
      </w:rPr>
    </w:lvl>
  </w:abstractNum>
  <w:abstractNum w:abstractNumId="22">
    <w:nsid w:val="1E710311"/>
    <w:multiLevelType w:val="hybridMultilevel"/>
    <w:tmpl w:val="00000000"/>
    <w:lvl w:ilvl="0">
      <w:start w:val="1"/>
      <w:numFmt w:val="decimal"/>
      <w:lvlText w:val="（%1）"/>
      <w:lvlJc w:val="left"/>
      <w:pPr>
        <w:ind w:left="1748" w:hanging="709"/>
        <w:jc w:val="right"/>
      </w:pPr>
      <w:rPr>
        <w:rFonts w:ascii="等线" w:eastAsia="等线" w:hAnsi="等线" w:cs="等线" w:hint="default"/>
        <w:b w:val="0"/>
        <w:bCs w:val="0"/>
        <w:i w:val="0"/>
        <w:iCs w:val="0"/>
        <w:w w:val="100"/>
        <w:sz w:val="26"/>
        <w:szCs w:val="26"/>
        <w:lang w:val="en-US" w:eastAsia="zh-CN" w:bidi="ar-SA"/>
      </w:rPr>
    </w:lvl>
    <w:lvl w:ilvl="1">
      <w:start w:val="0"/>
      <w:numFmt w:val="bullet"/>
      <w:lvlText w:val="•"/>
      <w:lvlJc w:val="left"/>
      <w:pPr>
        <w:ind w:left="2542" w:hanging="709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3345" w:hanging="709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4147" w:hanging="709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950" w:hanging="709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753" w:hanging="709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6555" w:hanging="709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7358" w:hanging="709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8160" w:hanging="709"/>
      </w:pPr>
      <w:rPr>
        <w:rFonts w:hint="default"/>
        <w:lang w:val="en-US" w:eastAsia="zh-CN" w:bidi="ar-SA"/>
      </w:rPr>
    </w:lvl>
  </w:abstractNum>
  <w:abstractNum w:abstractNumId="23">
    <w:nsid w:val="21BB6F70"/>
    <w:multiLevelType w:val="hybridMultilevel"/>
    <w:tmpl w:val="00000000"/>
    <w:lvl w:ilvl="0">
      <w:start w:val="1"/>
      <w:numFmt w:val="decimal"/>
      <w:lvlText w:val="（%1）"/>
      <w:lvlJc w:val="left"/>
      <w:pPr>
        <w:ind w:left="1679" w:hanging="723"/>
        <w:jc w:val="left"/>
      </w:pPr>
      <w:rPr>
        <w:rFonts w:ascii="等线" w:eastAsia="等线" w:hAnsi="等线" w:cs="等线" w:hint="default"/>
        <w:b w:val="0"/>
        <w:bCs w:val="0"/>
        <w:i w:val="0"/>
        <w:iCs w:val="0"/>
        <w:w w:val="100"/>
        <w:sz w:val="26"/>
        <w:szCs w:val="26"/>
        <w:lang w:val="en-US" w:eastAsia="zh-CN" w:bidi="ar-SA"/>
      </w:rPr>
    </w:lvl>
    <w:lvl w:ilvl="1">
      <w:start w:val="0"/>
      <w:numFmt w:val="bullet"/>
      <w:lvlText w:val="•"/>
      <w:lvlJc w:val="left"/>
      <w:pPr>
        <w:ind w:left="2488" w:hanging="72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3297" w:hanging="72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4105" w:hanging="72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914" w:hanging="72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723" w:hanging="72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6531" w:hanging="72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7340" w:hanging="72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8148" w:hanging="723"/>
      </w:pPr>
      <w:rPr>
        <w:rFonts w:hint="default"/>
        <w:lang w:val="en-US" w:eastAsia="zh-CN" w:bidi="ar-SA"/>
      </w:rPr>
    </w:lvl>
  </w:abstractNum>
  <w:abstractNum w:abstractNumId="24">
    <w:nsid w:val="22A473E8"/>
    <w:multiLevelType w:val="hybridMultilevel"/>
    <w:tmpl w:val="00000000"/>
    <w:lvl w:ilvl="0">
      <w:start w:val="1"/>
      <w:numFmt w:val="decimal"/>
      <w:lvlText w:val="（%1）"/>
      <w:lvlJc w:val="left"/>
      <w:pPr>
        <w:ind w:left="480" w:hanging="711"/>
        <w:jc w:val="left"/>
      </w:pPr>
      <w:rPr>
        <w:rFonts w:ascii="等线" w:eastAsia="等线" w:hAnsi="等线" w:cs="等线" w:hint="default"/>
        <w:b w:val="0"/>
        <w:bCs w:val="0"/>
        <w:i w:val="0"/>
        <w:iCs w:val="0"/>
        <w:spacing w:val="0"/>
        <w:w w:val="100"/>
        <w:sz w:val="26"/>
        <w:szCs w:val="26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408" w:hanging="711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337" w:hanging="711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265" w:hanging="711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194" w:hanging="711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123" w:hanging="711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6051" w:hanging="711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980" w:hanging="711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908" w:hanging="711"/>
      </w:pPr>
      <w:rPr>
        <w:rFonts w:hint="default"/>
        <w:lang w:val="en-US" w:eastAsia="zh-CN" w:bidi="ar-SA"/>
      </w:rPr>
    </w:lvl>
  </w:abstractNum>
  <w:abstractNum w:abstractNumId="25">
    <w:nsid w:val="240A9183"/>
    <w:multiLevelType w:val="hybridMultilevel"/>
    <w:tmpl w:val="00000000"/>
    <w:lvl w:ilvl="0">
      <w:start w:val="1"/>
      <w:numFmt w:val="decimal"/>
      <w:lvlText w:val="（%1）"/>
      <w:lvlJc w:val="left"/>
      <w:pPr>
        <w:ind w:left="480" w:hanging="711"/>
        <w:jc w:val="left"/>
      </w:pPr>
      <w:rPr>
        <w:rFonts w:ascii="等线" w:eastAsia="等线" w:hAnsi="等线" w:cs="等线" w:hint="default"/>
        <w:b w:val="0"/>
        <w:bCs w:val="0"/>
        <w:i w:val="0"/>
        <w:iCs w:val="0"/>
        <w:spacing w:val="0"/>
        <w:w w:val="100"/>
        <w:sz w:val="26"/>
        <w:szCs w:val="26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408" w:hanging="711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337" w:hanging="711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265" w:hanging="711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194" w:hanging="711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123" w:hanging="711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6051" w:hanging="711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980" w:hanging="711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908" w:hanging="711"/>
      </w:pPr>
      <w:rPr>
        <w:rFonts w:hint="default"/>
        <w:lang w:val="en-US" w:eastAsia="zh-CN" w:bidi="ar-SA"/>
      </w:rPr>
    </w:lvl>
  </w:abstractNum>
  <w:abstractNum w:abstractNumId="26">
    <w:nsid w:val="28FE6056"/>
    <w:multiLevelType w:val="hybridMultilevel"/>
    <w:tmpl w:val="00000000"/>
    <w:lvl w:ilvl="0">
      <w:start w:val="1"/>
      <w:numFmt w:val="decimal"/>
      <w:lvlText w:val="（%1）"/>
      <w:lvlJc w:val="left"/>
      <w:pPr>
        <w:ind w:left="1748" w:hanging="709"/>
        <w:jc w:val="left"/>
      </w:pPr>
      <w:rPr>
        <w:rFonts w:ascii="等线" w:eastAsia="等线" w:hAnsi="等线" w:cs="等线" w:hint="default"/>
        <w:b w:val="0"/>
        <w:bCs w:val="0"/>
        <w:i w:val="0"/>
        <w:iCs w:val="0"/>
        <w:w w:val="100"/>
        <w:sz w:val="26"/>
        <w:szCs w:val="26"/>
        <w:lang w:val="en-US" w:eastAsia="zh-CN" w:bidi="ar-SA"/>
      </w:rPr>
    </w:lvl>
    <w:lvl w:ilvl="1">
      <w:start w:val="0"/>
      <w:numFmt w:val="bullet"/>
      <w:lvlText w:val="•"/>
      <w:lvlJc w:val="left"/>
      <w:pPr>
        <w:ind w:left="2542" w:hanging="709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3345" w:hanging="709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4147" w:hanging="709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950" w:hanging="709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753" w:hanging="709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6555" w:hanging="709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7358" w:hanging="709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8160" w:hanging="709"/>
      </w:pPr>
      <w:rPr>
        <w:rFonts w:hint="default"/>
        <w:lang w:val="en-US" w:eastAsia="zh-CN" w:bidi="ar-SA"/>
      </w:rPr>
    </w:lvl>
  </w:abstractNum>
  <w:abstractNum w:abstractNumId="27">
    <w:nsid w:val="291AE405"/>
    <w:multiLevelType w:val="hybridMultilevel"/>
    <w:tmpl w:val="00000000"/>
    <w:lvl w:ilvl="0">
      <w:start w:val="1"/>
      <w:numFmt w:val="decimal"/>
      <w:lvlText w:val="%1"/>
      <w:lvlJc w:val="left"/>
      <w:pPr>
        <w:ind w:left="775" w:hanging="296"/>
        <w:jc w:val="right"/>
      </w:pPr>
      <w:rPr>
        <w:rFonts w:ascii="等线" w:eastAsia="等线" w:hAnsi="等线" w:cs="等线" w:hint="default"/>
        <w:b/>
        <w:bCs/>
        <w:i w:val="0"/>
        <w:iCs w:val="0"/>
        <w:w w:val="100"/>
        <w:sz w:val="28"/>
        <w:szCs w:val="28"/>
        <w:lang w:val="en-US" w:eastAsia="zh-CN" w:bidi="ar-SA"/>
      </w:rPr>
    </w:lvl>
    <w:lvl w:ilvl="1">
      <w:start w:val="1"/>
      <w:numFmt w:val="decimal"/>
      <w:lvlText w:val="%1.%2"/>
      <w:lvlJc w:val="left"/>
      <w:pPr>
        <w:ind w:left="480" w:hanging="649"/>
        <w:jc w:val="left"/>
      </w:pPr>
      <w:rPr>
        <w:rFonts w:hint="default"/>
        <w:w w:val="100"/>
        <w:lang w:val="en-US" w:eastAsia="zh-CN" w:bidi="ar-SA"/>
      </w:rPr>
    </w:lvl>
    <w:lvl w:ilvl="2">
      <w:start w:val="1"/>
      <w:numFmt w:val="decimal"/>
      <w:lvlText w:val="%1.%2.%3"/>
      <w:lvlJc w:val="left"/>
      <w:pPr>
        <w:ind w:left="1675" w:hanging="649"/>
        <w:jc w:val="left"/>
      </w:pPr>
      <w:rPr>
        <w:rFonts w:ascii="等线" w:eastAsia="等线" w:hAnsi="等线" w:cs="等线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3">
      <w:start w:val="1"/>
      <w:numFmt w:val="decimal"/>
      <w:lvlText w:val="%1.%2.%3.%4"/>
      <w:lvlJc w:val="left"/>
      <w:pPr>
        <w:ind w:left="1884" w:hanging="649"/>
        <w:jc w:val="left"/>
      </w:pPr>
      <w:rPr>
        <w:rFonts w:ascii="等线" w:eastAsia="等线" w:hAnsi="等线" w:cs="等线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4">
      <w:start w:val="0"/>
      <w:numFmt w:val="bullet"/>
      <w:lvlText w:val="•"/>
      <w:lvlJc w:val="left"/>
      <w:pPr>
        <w:ind w:left="1640" w:hanging="649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1680" w:hanging="649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1720" w:hanging="649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1740" w:hanging="649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1820" w:hanging="649"/>
      </w:pPr>
      <w:rPr>
        <w:rFonts w:hint="default"/>
        <w:lang w:val="en-US" w:eastAsia="zh-CN" w:bidi="ar-SA"/>
      </w:rPr>
    </w:lvl>
  </w:abstractNum>
  <w:abstractNum w:abstractNumId="28">
    <w:nsid w:val="29E686E5"/>
    <w:multiLevelType w:val="hybridMultilevel"/>
    <w:tmpl w:val="00000000"/>
    <w:lvl w:ilvl="0">
      <w:start w:val="1"/>
      <w:numFmt w:val="decimal"/>
      <w:lvlText w:val="%1）"/>
      <w:lvlJc w:val="left"/>
      <w:pPr>
        <w:ind w:left="1468" w:hanging="429"/>
        <w:jc w:val="left"/>
      </w:pPr>
      <w:rPr>
        <w:rFonts w:ascii="等线" w:eastAsia="等线" w:hAnsi="等线" w:cs="等线" w:hint="default"/>
        <w:b w:val="0"/>
        <w:bCs w:val="0"/>
        <w:i w:val="0"/>
        <w:iCs w:val="0"/>
        <w:w w:val="100"/>
        <w:sz w:val="26"/>
        <w:szCs w:val="26"/>
        <w:lang w:val="en-US" w:eastAsia="zh-CN" w:bidi="ar-SA"/>
      </w:rPr>
    </w:lvl>
    <w:lvl w:ilvl="1">
      <w:start w:val="0"/>
      <w:numFmt w:val="bullet"/>
      <w:lvlText w:val="•"/>
      <w:lvlJc w:val="left"/>
      <w:pPr>
        <w:ind w:left="2290" w:hanging="429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3121" w:hanging="429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951" w:hanging="429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782" w:hanging="429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613" w:hanging="429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6443" w:hanging="429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7274" w:hanging="429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8104" w:hanging="429"/>
      </w:pPr>
      <w:rPr>
        <w:rFonts w:hint="default"/>
        <w:lang w:val="en-US" w:eastAsia="zh-CN" w:bidi="ar-SA"/>
      </w:rPr>
    </w:lvl>
  </w:abstractNum>
  <w:abstractNum w:abstractNumId="29">
    <w:nsid w:val="2B8C57A1"/>
    <w:multiLevelType w:val="hybridMultilevel"/>
    <w:tmpl w:val="00000000"/>
    <w:lvl w:ilvl="0">
      <w:start w:val="1"/>
      <w:numFmt w:val="decimal"/>
      <w:lvlText w:val="（%1）"/>
      <w:lvlJc w:val="left"/>
      <w:pPr>
        <w:ind w:left="480" w:hanging="709"/>
        <w:jc w:val="left"/>
      </w:pPr>
      <w:rPr>
        <w:rFonts w:ascii="等线" w:eastAsia="等线" w:hAnsi="等线" w:cs="等线" w:hint="default"/>
        <w:b w:val="0"/>
        <w:bCs w:val="0"/>
        <w:i w:val="0"/>
        <w:iCs w:val="0"/>
        <w:spacing w:val="-34"/>
        <w:w w:val="100"/>
        <w:sz w:val="26"/>
        <w:szCs w:val="26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408" w:hanging="709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337" w:hanging="709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265" w:hanging="709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194" w:hanging="709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123" w:hanging="709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6051" w:hanging="709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980" w:hanging="709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908" w:hanging="709"/>
      </w:pPr>
      <w:rPr>
        <w:rFonts w:hint="default"/>
        <w:lang w:val="en-US" w:eastAsia="zh-CN" w:bidi="ar-SA"/>
      </w:rPr>
    </w:lvl>
  </w:abstractNum>
  <w:abstractNum w:abstractNumId="30">
    <w:nsid w:val="2C2C3BD8"/>
    <w:multiLevelType w:val="hybridMultilevel"/>
    <w:tmpl w:val="00000000"/>
    <w:lvl w:ilvl="0">
      <w:start w:val="1"/>
      <w:numFmt w:val="decimal"/>
      <w:lvlText w:val="（%1）"/>
      <w:lvlJc w:val="left"/>
      <w:pPr>
        <w:ind w:left="480" w:hanging="711"/>
        <w:jc w:val="left"/>
      </w:pPr>
      <w:rPr>
        <w:rFonts w:ascii="等线" w:eastAsia="等线" w:hAnsi="等线" w:cs="等线" w:hint="default"/>
        <w:b w:val="0"/>
        <w:bCs w:val="0"/>
        <w:i w:val="0"/>
        <w:iCs w:val="0"/>
        <w:spacing w:val="0"/>
        <w:w w:val="100"/>
        <w:sz w:val="26"/>
        <w:szCs w:val="26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408" w:hanging="711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337" w:hanging="711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265" w:hanging="711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194" w:hanging="711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123" w:hanging="711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6051" w:hanging="711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980" w:hanging="711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908" w:hanging="711"/>
      </w:pPr>
      <w:rPr>
        <w:rFonts w:hint="default"/>
        <w:lang w:val="en-US" w:eastAsia="zh-CN" w:bidi="ar-SA"/>
      </w:rPr>
    </w:lvl>
  </w:abstractNum>
  <w:abstractNum w:abstractNumId="31">
    <w:nsid w:val="2CB674C8"/>
    <w:multiLevelType w:val="hybridMultilevel"/>
    <w:tmpl w:val="00000000"/>
    <w:lvl w:ilvl="0">
      <w:start w:val="1"/>
      <w:numFmt w:val="decimal"/>
      <w:lvlText w:val="%1）"/>
      <w:lvlJc w:val="left"/>
      <w:pPr>
        <w:ind w:left="1468" w:hanging="429"/>
        <w:jc w:val="left"/>
      </w:pPr>
      <w:rPr>
        <w:rFonts w:ascii="等线" w:eastAsia="等线" w:hAnsi="等线" w:cs="等线" w:hint="default"/>
        <w:b w:val="0"/>
        <w:bCs w:val="0"/>
        <w:i w:val="0"/>
        <w:iCs w:val="0"/>
        <w:w w:val="100"/>
        <w:sz w:val="26"/>
        <w:szCs w:val="26"/>
        <w:lang w:val="en-US" w:eastAsia="zh-CN" w:bidi="ar-SA"/>
      </w:rPr>
    </w:lvl>
    <w:lvl w:ilvl="1">
      <w:start w:val="0"/>
      <w:numFmt w:val="bullet"/>
      <w:lvlText w:val="•"/>
      <w:lvlJc w:val="left"/>
      <w:pPr>
        <w:ind w:left="2290" w:hanging="429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3121" w:hanging="429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951" w:hanging="429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782" w:hanging="429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613" w:hanging="429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6443" w:hanging="429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7274" w:hanging="429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8104" w:hanging="429"/>
      </w:pPr>
      <w:rPr>
        <w:rFonts w:hint="default"/>
        <w:lang w:val="en-US" w:eastAsia="zh-CN" w:bidi="ar-SA"/>
      </w:rPr>
    </w:lvl>
  </w:abstractNum>
  <w:abstractNum w:abstractNumId="32">
    <w:nsid w:val="2DA14A1C"/>
    <w:multiLevelType w:val="hybridMultilevel"/>
    <w:tmpl w:val="00000000"/>
    <w:lvl w:ilvl="0">
      <w:start w:val="1"/>
      <w:numFmt w:val="decimal"/>
      <w:lvlText w:val="（%1）"/>
      <w:lvlJc w:val="left"/>
      <w:pPr>
        <w:ind w:left="480" w:hanging="713"/>
        <w:jc w:val="left"/>
      </w:pPr>
      <w:rPr>
        <w:rFonts w:ascii="等线" w:eastAsia="等线" w:hAnsi="等线" w:cs="等线" w:hint="default"/>
        <w:b w:val="0"/>
        <w:bCs w:val="0"/>
        <w:i w:val="0"/>
        <w:iCs w:val="0"/>
        <w:spacing w:val="0"/>
        <w:w w:val="100"/>
        <w:sz w:val="26"/>
        <w:szCs w:val="26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408" w:hanging="71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337" w:hanging="71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265" w:hanging="71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194" w:hanging="71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123" w:hanging="71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6051" w:hanging="71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980" w:hanging="71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908" w:hanging="713"/>
      </w:pPr>
      <w:rPr>
        <w:rFonts w:hint="default"/>
        <w:lang w:val="en-US" w:eastAsia="zh-CN" w:bidi="ar-SA"/>
      </w:rPr>
    </w:lvl>
  </w:abstractNum>
  <w:abstractNum w:abstractNumId="33">
    <w:nsid w:val="30AA0A00"/>
    <w:multiLevelType w:val="hybridMultilevel"/>
    <w:tmpl w:val="00000000"/>
    <w:lvl w:ilvl="0">
      <w:start w:val="5"/>
      <w:numFmt w:val="decimal"/>
      <w:lvlText w:val="（%1）"/>
      <w:lvlJc w:val="left"/>
      <w:pPr>
        <w:ind w:left="1748" w:hanging="709"/>
        <w:jc w:val="left"/>
      </w:pPr>
      <w:rPr>
        <w:rFonts w:ascii="等线" w:eastAsia="等线" w:hAnsi="等线" w:cs="等线" w:hint="default"/>
        <w:b w:val="0"/>
        <w:bCs w:val="0"/>
        <w:i w:val="0"/>
        <w:iCs w:val="0"/>
        <w:w w:val="100"/>
        <w:sz w:val="26"/>
        <w:szCs w:val="26"/>
        <w:lang w:val="en-US" w:eastAsia="zh-CN" w:bidi="ar-SA"/>
      </w:rPr>
    </w:lvl>
    <w:lvl w:ilvl="1">
      <w:start w:val="0"/>
      <w:numFmt w:val="bullet"/>
      <w:lvlText w:val="•"/>
      <w:lvlJc w:val="left"/>
      <w:pPr>
        <w:ind w:left="2542" w:hanging="709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3345" w:hanging="709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4147" w:hanging="709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950" w:hanging="709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753" w:hanging="709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6555" w:hanging="709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7358" w:hanging="709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8160" w:hanging="709"/>
      </w:pPr>
      <w:rPr>
        <w:rFonts w:hint="default"/>
        <w:lang w:val="en-US" w:eastAsia="zh-CN" w:bidi="ar-SA"/>
      </w:rPr>
    </w:lvl>
  </w:abstractNum>
  <w:abstractNum w:abstractNumId="34">
    <w:nsid w:val="30DE8F4C"/>
    <w:multiLevelType w:val="hybridMultilevel"/>
    <w:tmpl w:val="00000000"/>
    <w:lvl w:ilvl="0">
      <w:start w:val="12"/>
      <w:numFmt w:val="decimal"/>
      <w:lvlText w:val="%1）"/>
      <w:lvlJc w:val="left"/>
      <w:pPr>
        <w:ind w:left="1616" w:hanging="577"/>
        <w:jc w:val="left"/>
      </w:pPr>
      <w:rPr>
        <w:rFonts w:ascii="等线" w:eastAsia="等线" w:hAnsi="等线" w:cs="等线" w:hint="default"/>
        <w:b w:val="0"/>
        <w:bCs w:val="0"/>
        <w:i w:val="0"/>
        <w:iCs w:val="0"/>
        <w:w w:val="100"/>
        <w:sz w:val="26"/>
        <w:szCs w:val="26"/>
        <w:lang w:val="en-US" w:eastAsia="zh-CN" w:bidi="ar-SA"/>
      </w:rPr>
    </w:lvl>
    <w:lvl w:ilvl="1">
      <w:start w:val="0"/>
      <w:numFmt w:val="bullet"/>
      <w:lvlText w:val="•"/>
      <w:lvlJc w:val="left"/>
      <w:pPr>
        <w:ind w:left="2434" w:hanging="577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3249" w:hanging="577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4063" w:hanging="577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878" w:hanging="577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693" w:hanging="577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6507" w:hanging="577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7322" w:hanging="577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8136" w:hanging="577"/>
      </w:pPr>
      <w:rPr>
        <w:rFonts w:hint="default"/>
        <w:lang w:val="en-US" w:eastAsia="zh-CN" w:bidi="ar-SA"/>
      </w:rPr>
    </w:lvl>
  </w:abstractNum>
  <w:abstractNum w:abstractNumId="35">
    <w:nsid w:val="3151D552"/>
    <w:multiLevelType w:val="hybridMultilevel"/>
    <w:tmpl w:val="00000000"/>
    <w:lvl w:ilvl="0">
      <w:start w:val="1"/>
      <w:numFmt w:val="decimal"/>
      <w:lvlText w:val="（%1）"/>
      <w:lvlJc w:val="left"/>
      <w:pPr>
        <w:ind w:left="1780" w:hanging="741"/>
        <w:jc w:val="left"/>
      </w:pPr>
      <w:rPr>
        <w:rFonts w:ascii="等线" w:eastAsia="等线" w:hAnsi="等线" w:cs="等线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2578" w:hanging="741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3377" w:hanging="741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4175" w:hanging="741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974" w:hanging="741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773" w:hanging="741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6571" w:hanging="741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7370" w:hanging="741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8168" w:hanging="741"/>
      </w:pPr>
      <w:rPr>
        <w:rFonts w:hint="default"/>
        <w:lang w:val="en-US" w:eastAsia="zh-CN" w:bidi="ar-SA"/>
      </w:rPr>
    </w:lvl>
  </w:abstractNum>
  <w:abstractNum w:abstractNumId="36">
    <w:nsid w:val="31FB870E"/>
    <w:multiLevelType w:val="hybridMultilevel"/>
    <w:tmpl w:val="00000000"/>
    <w:lvl w:ilvl="0">
      <w:start w:val="1"/>
      <w:numFmt w:val="decimal"/>
      <w:lvlText w:val="（%1）"/>
      <w:lvlJc w:val="left"/>
      <w:pPr>
        <w:ind w:left="480" w:hanging="711"/>
        <w:jc w:val="left"/>
      </w:pPr>
      <w:rPr>
        <w:rFonts w:ascii="等线" w:eastAsia="等线" w:hAnsi="等线" w:cs="等线" w:hint="default"/>
        <w:b w:val="0"/>
        <w:bCs w:val="0"/>
        <w:i w:val="0"/>
        <w:iCs w:val="0"/>
        <w:spacing w:val="0"/>
        <w:w w:val="100"/>
        <w:sz w:val="26"/>
        <w:szCs w:val="26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408" w:hanging="711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337" w:hanging="711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265" w:hanging="711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194" w:hanging="711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123" w:hanging="711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6051" w:hanging="711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980" w:hanging="711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908" w:hanging="711"/>
      </w:pPr>
      <w:rPr>
        <w:rFonts w:hint="default"/>
        <w:lang w:val="en-US" w:eastAsia="zh-CN" w:bidi="ar-SA"/>
      </w:rPr>
    </w:lvl>
  </w:abstractNum>
  <w:abstractNum w:abstractNumId="37">
    <w:nsid w:val="32A06F35"/>
    <w:multiLevelType w:val="hybridMultilevel"/>
    <w:tmpl w:val="00000000"/>
    <w:lvl w:ilvl="0">
      <w:start w:val="1"/>
      <w:numFmt w:val="decimal"/>
      <w:lvlText w:val="（%1）"/>
      <w:lvlJc w:val="left"/>
      <w:pPr>
        <w:ind w:left="1748" w:hanging="709"/>
        <w:jc w:val="left"/>
      </w:pPr>
      <w:rPr>
        <w:rFonts w:ascii="等线" w:eastAsia="等线" w:hAnsi="等线" w:cs="等线" w:hint="default"/>
        <w:b w:val="0"/>
        <w:bCs w:val="0"/>
        <w:i w:val="0"/>
        <w:iCs w:val="0"/>
        <w:w w:val="100"/>
        <w:sz w:val="26"/>
        <w:szCs w:val="26"/>
        <w:lang w:val="en-US" w:eastAsia="zh-CN" w:bidi="ar-SA"/>
      </w:rPr>
    </w:lvl>
    <w:lvl w:ilvl="1">
      <w:start w:val="0"/>
      <w:numFmt w:val="bullet"/>
      <w:lvlText w:val="•"/>
      <w:lvlJc w:val="left"/>
      <w:pPr>
        <w:ind w:left="2542" w:hanging="709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3345" w:hanging="709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4147" w:hanging="709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950" w:hanging="709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753" w:hanging="709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6555" w:hanging="709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7358" w:hanging="709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8160" w:hanging="709"/>
      </w:pPr>
      <w:rPr>
        <w:rFonts w:hint="default"/>
        <w:lang w:val="en-US" w:eastAsia="zh-CN" w:bidi="ar-SA"/>
      </w:rPr>
    </w:lvl>
  </w:abstractNum>
  <w:abstractNum w:abstractNumId="38">
    <w:nsid w:val="363A0D94"/>
    <w:multiLevelType w:val="hybridMultilevel"/>
    <w:tmpl w:val="00000000"/>
    <w:lvl w:ilvl="0">
      <w:start w:val="1"/>
      <w:numFmt w:val="decimal"/>
      <w:lvlText w:val="（%1）"/>
      <w:lvlJc w:val="left"/>
      <w:pPr>
        <w:ind w:left="1775" w:hanging="735"/>
        <w:jc w:val="left"/>
      </w:pPr>
      <w:rPr>
        <w:rFonts w:ascii="等线" w:eastAsia="等线" w:hAnsi="等线" w:cs="等线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2578" w:hanging="735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3377" w:hanging="735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4175" w:hanging="735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974" w:hanging="735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773" w:hanging="735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6571" w:hanging="735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7370" w:hanging="735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8168" w:hanging="735"/>
      </w:pPr>
      <w:rPr>
        <w:rFonts w:hint="default"/>
        <w:lang w:val="en-US" w:eastAsia="zh-CN" w:bidi="ar-SA"/>
      </w:rPr>
    </w:lvl>
  </w:abstractNum>
  <w:abstractNum w:abstractNumId="39">
    <w:nsid w:val="3A5915A7"/>
    <w:multiLevelType w:val="hybridMultilevel"/>
    <w:tmpl w:val="00000000"/>
    <w:lvl w:ilvl="0">
      <w:start w:val="1"/>
      <w:numFmt w:val="decimal"/>
      <w:lvlText w:val="（%1）"/>
      <w:lvlJc w:val="left"/>
      <w:pPr>
        <w:ind w:left="480" w:hanging="711"/>
        <w:jc w:val="left"/>
      </w:pPr>
      <w:rPr>
        <w:rFonts w:ascii="等线" w:eastAsia="等线" w:hAnsi="等线" w:cs="等线" w:hint="default"/>
        <w:b w:val="0"/>
        <w:bCs w:val="0"/>
        <w:i w:val="0"/>
        <w:iCs w:val="0"/>
        <w:spacing w:val="0"/>
        <w:w w:val="100"/>
        <w:sz w:val="26"/>
        <w:szCs w:val="26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408" w:hanging="711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337" w:hanging="711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265" w:hanging="711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194" w:hanging="711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123" w:hanging="711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6051" w:hanging="711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980" w:hanging="711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908" w:hanging="711"/>
      </w:pPr>
      <w:rPr>
        <w:rFonts w:hint="default"/>
        <w:lang w:val="en-US" w:eastAsia="zh-CN" w:bidi="ar-SA"/>
      </w:rPr>
    </w:lvl>
  </w:abstractNum>
  <w:abstractNum w:abstractNumId="40">
    <w:nsid w:val="3DF3B929"/>
    <w:multiLevelType w:val="hybridMultilevel"/>
    <w:tmpl w:val="00000000"/>
    <w:lvl w:ilvl="0">
      <w:start w:val="1"/>
      <w:numFmt w:val="decimal"/>
      <w:lvlText w:val="（%1）"/>
      <w:lvlJc w:val="left"/>
      <w:pPr>
        <w:ind w:left="1748" w:hanging="709"/>
        <w:jc w:val="left"/>
      </w:pPr>
      <w:rPr>
        <w:rFonts w:ascii="等线" w:eastAsia="等线" w:hAnsi="等线" w:cs="等线" w:hint="default"/>
        <w:b w:val="0"/>
        <w:bCs w:val="0"/>
        <w:i w:val="0"/>
        <w:iCs w:val="0"/>
        <w:w w:val="100"/>
        <w:sz w:val="26"/>
        <w:szCs w:val="26"/>
        <w:lang w:val="en-US" w:eastAsia="zh-CN" w:bidi="ar-SA"/>
      </w:rPr>
    </w:lvl>
    <w:lvl w:ilvl="1">
      <w:start w:val="0"/>
      <w:numFmt w:val="bullet"/>
      <w:lvlText w:val="•"/>
      <w:lvlJc w:val="left"/>
      <w:pPr>
        <w:ind w:left="2542" w:hanging="709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3345" w:hanging="709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4147" w:hanging="709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950" w:hanging="709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753" w:hanging="709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6555" w:hanging="709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7358" w:hanging="709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8160" w:hanging="709"/>
      </w:pPr>
      <w:rPr>
        <w:rFonts w:hint="default"/>
        <w:lang w:val="en-US" w:eastAsia="zh-CN" w:bidi="ar-SA"/>
      </w:rPr>
    </w:lvl>
  </w:abstractNum>
  <w:abstractNum w:abstractNumId="41">
    <w:nsid w:val="42F9667E"/>
    <w:multiLevelType w:val="hybridMultilevel"/>
    <w:tmpl w:val="00000000"/>
    <w:lvl w:ilvl="0">
      <w:start w:val="1"/>
      <w:numFmt w:val="decimal"/>
      <w:lvlText w:val="%1）"/>
      <w:lvlJc w:val="left"/>
      <w:pPr>
        <w:ind w:left="1468" w:hanging="429"/>
        <w:jc w:val="left"/>
      </w:pPr>
      <w:rPr>
        <w:rFonts w:ascii="等线" w:eastAsia="等线" w:hAnsi="等线" w:cs="等线" w:hint="default"/>
        <w:b w:val="0"/>
        <w:bCs w:val="0"/>
        <w:i w:val="0"/>
        <w:iCs w:val="0"/>
        <w:w w:val="100"/>
        <w:sz w:val="26"/>
        <w:szCs w:val="26"/>
        <w:lang w:val="en-US" w:eastAsia="zh-CN" w:bidi="ar-SA"/>
      </w:rPr>
    </w:lvl>
    <w:lvl w:ilvl="1">
      <w:start w:val="0"/>
      <w:numFmt w:val="bullet"/>
      <w:lvlText w:val="•"/>
      <w:lvlJc w:val="left"/>
      <w:pPr>
        <w:ind w:left="2290" w:hanging="429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3121" w:hanging="429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951" w:hanging="429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782" w:hanging="429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613" w:hanging="429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6443" w:hanging="429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7274" w:hanging="429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8104" w:hanging="429"/>
      </w:pPr>
      <w:rPr>
        <w:rFonts w:hint="default"/>
        <w:lang w:val="en-US" w:eastAsia="zh-CN" w:bidi="ar-SA"/>
      </w:rPr>
    </w:lvl>
  </w:abstractNum>
  <w:abstractNum w:abstractNumId="42">
    <w:nsid w:val="443395AA"/>
    <w:multiLevelType w:val="hybridMultilevel"/>
    <w:tmpl w:val="00000000"/>
    <w:lvl w:ilvl="0">
      <w:start w:val="1"/>
      <w:numFmt w:val="decimal"/>
      <w:lvlText w:val="（%1）"/>
      <w:lvlJc w:val="left"/>
      <w:pPr>
        <w:ind w:left="1748" w:hanging="709"/>
        <w:jc w:val="left"/>
      </w:pPr>
      <w:rPr>
        <w:rFonts w:ascii="等线" w:eastAsia="等线" w:hAnsi="等线" w:cs="等线" w:hint="default"/>
        <w:b w:val="0"/>
        <w:bCs w:val="0"/>
        <w:i w:val="0"/>
        <w:iCs w:val="0"/>
        <w:w w:val="100"/>
        <w:sz w:val="26"/>
        <w:szCs w:val="26"/>
        <w:lang w:val="en-US" w:eastAsia="zh-CN" w:bidi="ar-SA"/>
      </w:rPr>
    </w:lvl>
    <w:lvl w:ilvl="1">
      <w:start w:val="0"/>
      <w:numFmt w:val="bullet"/>
      <w:lvlText w:val="•"/>
      <w:lvlJc w:val="left"/>
      <w:pPr>
        <w:ind w:left="2542" w:hanging="709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3345" w:hanging="709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4147" w:hanging="709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950" w:hanging="709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753" w:hanging="709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6555" w:hanging="709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7358" w:hanging="709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8160" w:hanging="709"/>
      </w:pPr>
      <w:rPr>
        <w:rFonts w:hint="default"/>
        <w:lang w:val="en-US" w:eastAsia="zh-CN" w:bidi="ar-SA"/>
      </w:rPr>
    </w:lvl>
  </w:abstractNum>
  <w:abstractNum w:abstractNumId="43">
    <w:nsid w:val="465A05A5"/>
    <w:multiLevelType w:val="hybridMultilevel"/>
    <w:tmpl w:val="00000000"/>
    <w:lvl w:ilvl="0">
      <w:start w:val="1"/>
      <w:numFmt w:val="decimal"/>
      <w:lvlText w:val="（%1）"/>
      <w:lvlJc w:val="left"/>
      <w:pPr>
        <w:ind w:left="480" w:hanging="711"/>
        <w:jc w:val="left"/>
      </w:pPr>
      <w:rPr>
        <w:rFonts w:ascii="等线" w:eastAsia="等线" w:hAnsi="等线" w:cs="等线" w:hint="default"/>
        <w:b w:val="0"/>
        <w:bCs w:val="0"/>
        <w:i w:val="0"/>
        <w:iCs w:val="0"/>
        <w:spacing w:val="0"/>
        <w:w w:val="100"/>
        <w:sz w:val="26"/>
        <w:szCs w:val="26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408" w:hanging="711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337" w:hanging="711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265" w:hanging="711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194" w:hanging="711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123" w:hanging="711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6051" w:hanging="711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980" w:hanging="711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908" w:hanging="711"/>
      </w:pPr>
      <w:rPr>
        <w:rFonts w:hint="default"/>
        <w:lang w:val="en-US" w:eastAsia="zh-CN" w:bidi="ar-SA"/>
      </w:rPr>
    </w:lvl>
  </w:abstractNum>
  <w:abstractNum w:abstractNumId="44">
    <w:nsid w:val="46FC3AC4"/>
    <w:multiLevelType w:val="hybridMultilevel"/>
    <w:tmpl w:val="00000000"/>
    <w:lvl w:ilvl="0">
      <w:start w:val="1"/>
      <w:numFmt w:val="decimal"/>
      <w:lvlText w:val="（%1）"/>
      <w:lvlJc w:val="left"/>
      <w:pPr>
        <w:ind w:left="1748" w:hanging="709"/>
        <w:jc w:val="left"/>
      </w:pPr>
      <w:rPr>
        <w:rFonts w:ascii="等线" w:eastAsia="等线" w:hAnsi="等线" w:cs="等线" w:hint="default"/>
        <w:b w:val="0"/>
        <w:bCs w:val="0"/>
        <w:i w:val="0"/>
        <w:iCs w:val="0"/>
        <w:w w:val="100"/>
        <w:sz w:val="26"/>
        <w:szCs w:val="26"/>
        <w:lang w:val="en-US" w:eastAsia="zh-CN" w:bidi="ar-SA"/>
      </w:rPr>
    </w:lvl>
    <w:lvl w:ilvl="1">
      <w:start w:val="0"/>
      <w:numFmt w:val="bullet"/>
      <w:lvlText w:val="•"/>
      <w:lvlJc w:val="left"/>
      <w:pPr>
        <w:ind w:left="2542" w:hanging="709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3345" w:hanging="709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4147" w:hanging="709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950" w:hanging="709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753" w:hanging="709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6555" w:hanging="709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7358" w:hanging="709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8160" w:hanging="709"/>
      </w:pPr>
      <w:rPr>
        <w:rFonts w:hint="default"/>
        <w:lang w:val="en-US" w:eastAsia="zh-CN" w:bidi="ar-SA"/>
      </w:rPr>
    </w:lvl>
  </w:abstractNum>
  <w:abstractNum w:abstractNumId="45">
    <w:nsid w:val="49063F4B"/>
    <w:multiLevelType w:val="hybridMultilevel"/>
    <w:tmpl w:val="00000000"/>
    <w:lvl w:ilvl="0">
      <w:start w:val="1"/>
      <w:numFmt w:val="decimal"/>
      <w:lvlText w:val="%1）"/>
      <w:lvlJc w:val="left"/>
      <w:pPr>
        <w:ind w:left="1468" w:hanging="429"/>
        <w:jc w:val="left"/>
      </w:pPr>
      <w:rPr>
        <w:rFonts w:ascii="等线" w:eastAsia="等线" w:hAnsi="等线" w:cs="等线" w:hint="default"/>
        <w:b w:val="0"/>
        <w:bCs w:val="0"/>
        <w:i w:val="0"/>
        <w:iCs w:val="0"/>
        <w:w w:val="100"/>
        <w:sz w:val="26"/>
        <w:szCs w:val="26"/>
        <w:lang w:val="en-US" w:eastAsia="zh-CN" w:bidi="ar-SA"/>
      </w:rPr>
    </w:lvl>
    <w:lvl w:ilvl="1">
      <w:start w:val="0"/>
      <w:numFmt w:val="bullet"/>
      <w:lvlText w:val="•"/>
      <w:lvlJc w:val="left"/>
      <w:pPr>
        <w:ind w:left="2290" w:hanging="429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3121" w:hanging="429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951" w:hanging="429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782" w:hanging="429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613" w:hanging="429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6443" w:hanging="429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7274" w:hanging="429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8104" w:hanging="429"/>
      </w:pPr>
      <w:rPr>
        <w:rFonts w:hint="default"/>
        <w:lang w:val="en-US" w:eastAsia="zh-CN" w:bidi="ar-SA"/>
      </w:rPr>
    </w:lvl>
  </w:abstractNum>
  <w:abstractNum w:abstractNumId="46">
    <w:nsid w:val="4CCD647E"/>
    <w:multiLevelType w:val="hybridMultilevel"/>
    <w:tmpl w:val="00000000"/>
    <w:lvl w:ilvl="0">
      <w:start w:val="1"/>
      <w:numFmt w:val="decimal"/>
      <w:lvlText w:val="%1）"/>
      <w:lvlJc w:val="left"/>
      <w:pPr>
        <w:ind w:left="1468" w:hanging="429"/>
        <w:jc w:val="left"/>
      </w:pPr>
      <w:rPr>
        <w:rFonts w:ascii="等线" w:eastAsia="等线" w:hAnsi="等线" w:cs="等线" w:hint="default"/>
        <w:b w:val="0"/>
        <w:bCs w:val="0"/>
        <w:i w:val="0"/>
        <w:iCs w:val="0"/>
        <w:w w:val="100"/>
        <w:sz w:val="26"/>
        <w:szCs w:val="26"/>
        <w:lang w:val="en-US" w:eastAsia="zh-CN" w:bidi="ar-SA"/>
      </w:rPr>
    </w:lvl>
    <w:lvl w:ilvl="1">
      <w:start w:val="0"/>
      <w:numFmt w:val="bullet"/>
      <w:lvlText w:val="•"/>
      <w:lvlJc w:val="left"/>
      <w:pPr>
        <w:ind w:left="2290" w:hanging="429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3121" w:hanging="429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951" w:hanging="429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782" w:hanging="429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613" w:hanging="429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6443" w:hanging="429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7274" w:hanging="429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8104" w:hanging="429"/>
      </w:pPr>
      <w:rPr>
        <w:rFonts w:hint="default"/>
        <w:lang w:val="en-US" w:eastAsia="zh-CN" w:bidi="ar-SA"/>
      </w:rPr>
    </w:lvl>
  </w:abstractNum>
  <w:abstractNum w:abstractNumId="47">
    <w:nsid w:val="4F74D2CE"/>
    <w:multiLevelType w:val="hybridMultilevel"/>
    <w:tmpl w:val="00000000"/>
    <w:lvl w:ilvl="0">
      <w:start w:val="1"/>
      <w:numFmt w:val="decimal"/>
      <w:lvlText w:val="（%1）"/>
      <w:lvlJc w:val="left"/>
      <w:pPr>
        <w:ind w:left="480" w:hanging="711"/>
        <w:jc w:val="left"/>
      </w:pPr>
      <w:rPr>
        <w:rFonts w:ascii="等线" w:eastAsia="等线" w:hAnsi="等线" w:cs="等线" w:hint="default"/>
        <w:b w:val="0"/>
        <w:bCs w:val="0"/>
        <w:i w:val="0"/>
        <w:iCs w:val="0"/>
        <w:spacing w:val="0"/>
        <w:w w:val="100"/>
        <w:sz w:val="26"/>
        <w:szCs w:val="26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408" w:hanging="711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337" w:hanging="711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265" w:hanging="711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194" w:hanging="711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123" w:hanging="711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6051" w:hanging="711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980" w:hanging="711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908" w:hanging="711"/>
      </w:pPr>
      <w:rPr>
        <w:rFonts w:hint="default"/>
        <w:lang w:val="en-US" w:eastAsia="zh-CN" w:bidi="ar-SA"/>
      </w:rPr>
    </w:lvl>
  </w:abstractNum>
  <w:abstractNum w:abstractNumId="48">
    <w:nsid w:val="570804CD"/>
    <w:multiLevelType w:val="hybridMultilevel"/>
    <w:tmpl w:val="00000000"/>
    <w:lvl w:ilvl="0">
      <w:start w:val="1"/>
      <w:numFmt w:val="decimal"/>
      <w:lvlText w:val="（%1）"/>
      <w:lvlJc w:val="left"/>
      <w:pPr>
        <w:ind w:left="1748" w:hanging="709"/>
        <w:jc w:val="left"/>
      </w:pPr>
      <w:rPr>
        <w:rFonts w:ascii="等线" w:eastAsia="等线" w:hAnsi="等线" w:cs="等线" w:hint="default"/>
        <w:b w:val="0"/>
        <w:bCs w:val="0"/>
        <w:i w:val="0"/>
        <w:iCs w:val="0"/>
        <w:w w:val="100"/>
        <w:sz w:val="26"/>
        <w:szCs w:val="26"/>
        <w:lang w:val="en-US" w:eastAsia="zh-CN" w:bidi="ar-SA"/>
      </w:rPr>
    </w:lvl>
    <w:lvl w:ilvl="1">
      <w:start w:val="0"/>
      <w:numFmt w:val="bullet"/>
      <w:lvlText w:val="•"/>
      <w:lvlJc w:val="left"/>
      <w:pPr>
        <w:ind w:left="2542" w:hanging="709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3345" w:hanging="709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4147" w:hanging="709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950" w:hanging="709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753" w:hanging="709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6555" w:hanging="709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7358" w:hanging="709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8160" w:hanging="709"/>
      </w:pPr>
      <w:rPr>
        <w:rFonts w:hint="default"/>
        <w:lang w:val="en-US" w:eastAsia="zh-CN" w:bidi="ar-SA"/>
      </w:rPr>
    </w:lvl>
  </w:abstractNum>
  <w:abstractNum w:abstractNumId="49">
    <w:nsid w:val="586B0E15"/>
    <w:multiLevelType w:val="hybridMultilevel"/>
    <w:tmpl w:val="00000000"/>
    <w:lvl w:ilvl="0">
      <w:start w:val="1"/>
      <w:numFmt w:val="decimal"/>
      <w:lvlText w:val="%1）"/>
      <w:lvlJc w:val="left"/>
      <w:pPr>
        <w:ind w:left="1468" w:hanging="429"/>
        <w:jc w:val="left"/>
      </w:pPr>
      <w:rPr>
        <w:rFonts w:ascii="等线" w:eastAsia="等线" w:hAnsi="等线" w:cs="等线" w:hint="default"/>
        <w:b w:val="0"/>
        <w:bCs w:val="0"/>
        <w:i w:val="0"/>
        <w:iCs w:val="0"/>
        <w:w w:val="100"/>
        <w:sz w:val="26"/>
        <w:szCs w:val="26"/>
        <w:lang w:val="en-US" w:eastAsia="zh-CN" w:bidi="ar-SA"/>
      </w:rPr>
    </w:lvl>
    <w:lvl w:ilvl="1">
      <w:start w:val="0"/>
      <w:numFmt w:val="bullet"/>
      <w:lvlText w:val="•"/>
      <w:lvlJc w:val="left"/>
      <w:pPr>
        <w:ind w:left="2290" w:hanging="429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3121" w:hanging="429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951" w:hanging="429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782" w:hanging="429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613" w:hanging="429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6443" w:hanging="429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7274" w:hanging="429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8104" w:hanging="429"/>
      </w:pPr>
      <w:rPr>
        <w:rFonts w:hint="default"/>
        <w:lang w:val="en-US" w:eastAsia="zh-CN" w:bidi="ar-SA"/>
      </w:rPr>
    </w:lvl>
  </w:abstractNum>
  <w:abstractNum w:abstractNumId="50">
    <w:nsid w:val="58FCC40A"/>
    <w:multiLevelType w:val="hybridMultilevel"/>
    <w:tmpl w:val="00000000"/>
    <w:lvl w:ilvl="0">
      <w:start w:val="1"/>
      <w:numFmt w:val="decimal"/>
      <w:lvlText w:val="（%1）"/>
      <w:lvlJc w:val="left"/>
      <w:pPr>
        <w:ind w:left="1748" w:hanging="709"/>
        <w:jc w:val="left"/>
      </w:pPr>
      <w:rPr>
        <w:rFonts w:ascii="等线" w:eastAsia="等线" w:hAnsi="等线" w:cs="等线" w:hint="default"/>
        <w:b w:val="0"/>
        <w:bCs w:val="0"/>
        <w:i w:val="0"/>
        <w:iCs w:val="0"/>
        <w:w w:val="100"/>
        <w:sz w:val="26"/>
        <w:szCs w:val="26"/>
        <w:lang w:val="en-US" w:eastAsia="zh-CN" w:bidi="ar-SA"/>
      </w:rPr>
    </w:lvl>
    <w:lvl w:ilvl="1">
      <w:start w:val="0"/>
      <w:numFmt w:val="bullet"/>
      <w:lvlText w:val="•"/>
      <w:lvlJc w:val="left"/>
      <w:pPr>
        <w:ind w:left="2542" w:hanging="709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3345" w:hanging="709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4147" w:hanging="709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950" w:hanging="709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753" w:hanging="709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6555" w:hanging="709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7358" w:hanging="709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8160" w:hanging="709"/>
      </w:pPr>
      <w:rPr>
        <w:rFonts w:hint="default"/>
        <w:lang w:val="en-US" w:eastAsia="zh-CN" w:bidi="ar-SA"/>
      </w:rPr>
    </w:lvl>
  </w:abstractNum>
  <w:abstractNum w:abstractNumId="51">
    <w:nsid w:val="5B84DB60"/>
    <w:multiLevelType w:val="hybridMultilevel"/>
    <w:tmpl w:val="00000000"/>
    <w:lvl w:ilvl="0">
      <w:start w:val="2"/>
      <w:numFmt w:val="decimal"/>
      <w:lvlText w:val="%1）"/>
      <w:lvlJc w:val="left"/>
      <w:pPr>
        <w:ind w:left="1468" w:hanging="429"/>
        <w:jc w:val="left"/>
      </w:pPr>
      <w:rPr>
        <w:rFonts w:ascii="等线" w:eastAsia="等线" w:hAnsi="等线" w:cs="等线" w:hint="default"/>
        <w:b w:val="0"/>
        <w:bCs w:val="0"/>
        <w:i w:val="0"/>
        <w:iCs w:val="0"/>
        <w:w w:val="100"/>
        <w:sz w:val="26"/>
        <w:szCs w:val="26"/>
        <w:lang w:val="en-US" w:eastAsia="zh-CN" w:bidi="ar-SA"/>
      </w:rPr>
    </w:lvl>
    <w:lvl w:ilvl="1">
      <w:start w:val="0"/>
      <w:numFmt w:val="bullet"/>
      <w:lvlText w:val="•"/>
      <w:lvlJc w:val="left"/>
      <w:pPr>
        <w:ind w:left="2290" w:hanging="429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3121" w:hanging="429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951" w:hanging="429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782" w:hanging="429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613" w:hanging="429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6443" w:hanging="429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7274" w:hanging="429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8104" w:hanging="429"/>
      </w:pPr>
      <w:rPr>
        <w:rFonts w:hint="default"/>
        <w:lang w:val="en-US" w:eastAsia="zh-CN" w:bidi="ar-SA"/>
      </w:rPr>
    </w:lvl>
  </w:abstractNum>
  <w:abstractNum w:abstractNumId="52">
    <w:nsid w:val="5C2F3B5F"/>
    <w:multiLevelType w:val="hybridMultilevel"/>
    <w:tmpl w:val="00000000"/>
    <w:lvl w:ilvl="0">
      <w:start w:val="1"/>
      <w:numFmt w:val="decimal"/>
      <w:lvlText w:val="（%1）"/>
      <w:lvlJc w:val="left"/>
      <w:pPr>
        <w:ind w:left="480" w:hanging="711"/>
        <w:jc w:val="left"/>
      </w:pPr>
      <w:rPr>
        <w:rFonts w:ascii="等线" w:eastAsia="等线" w:hAnsi="等线" w:cs="等线" w:hint="default"/>
        <w:b w:val="0"/>
        <w:bCs w:val="0"/>
        <w:i w:val="0"/>
        <w:iCs w:val="0"/>
        <w:spacing w:val="0"/>
        <w:w w:val="100"/>
        <w:sz w:val="26"/>
        <w:szCs w:val="26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408" w:hanging="711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337" w:hanging="711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265" w:hanging="711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194" w:hanging="711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123" w:hanging="711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6051" w:hanging="711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980" w:hanging="711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908" w:hanging="711"/>
      </w:pPr>
      <w:rPr>
        <w:rFonts w:hint="default"/>
        <w:lang w:val="en-US" w:eastAsia="zh-CN" w:bidi="ar-SA"/>
      </w:rPr>
    </w:lvl>
  </w:abstractNum>
  <w:abstractNum w:abstractNumId="53">
    <w:nsid w:val="5CA8DAA3"/>
    <w:multiLevelType w:val="hybridMultilevel"/>
    <w:tmpl w:val="00000000"/>
    <w:lvl w:ilvl="0">
      <w:start w:val="1"/>
      <w:numFmt w:val="decimal"/>
      <w:lvlText w:val="%1"/>
      <w:lvlJc w:val="left"/>
      <w:pPr>
        <w:ind w:left="775" w:hanging="296"/>
        <w:jc w:val="right"/>
      </w:pPr>
      <w:rPr>
        <w:rFonts w:ascii="等线" w:eastAsia="等线" w:hAnsi="等线" w:cs="等线" w:hint="default"/>
        <w:b/>
        <w:bCs/>
        <w:i w:val="0"/>
        <w:iCs w:val="0"/>
        <w:w w:val="100"/>
        <w:sz w:val="28"/>
        <w:szCs w:val="28"/>
        <w:lang w:val="en-US" w:eastAsia="zh-CN" w:bidi="ar-SA"/>
      </w:rPr>
    </w:lvl>
    <w:lvl w:ilvl="1">
      <w:start w:val="1"/>
      <w:numFmt w:val="decimal"/>
      <w:lvlText w:val="%1.%2"/>
      <w:lvlJc w:val="left"/>
      <w:pPr>
        <w:ind w:left="480" w:hanging="649"/>
        <w:jc w:val="left"/>
      </w:pPr>
      <w:rPr>
        <w:rFonts w:hint="default"/>
        <w:w w:val="100"/>
        <w:lang w:val="en-US" w:eastAsia="zh-CN" w:bidi="ar-SA"/>
      </w:rPr>
    </w:lvl>
    <w:lvl w:ilvl="2">
      <w:start w:val="1"/>
      <w:numFmt w:val="decimal"/>
      <w:lvlText w:val="%1.%2.%3"/>
      <w:lvlJc w:val="left"/>
      <w:pPr>
        <w:ind w:left="1675" w:hanging="649"/>
        <w:jc w:val="left"/>
      </w:pPr>
      <w:rPr>
        <w:rFonts w:ascii="等线" w:eastAsia="等线" w:hAnsi="等线" w:cs="等线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3">
      <w:start w:val="1"/>
      <w:numFmt w:val="decimal"/>
      <w:lvlText w:val="%1.%2.%3.%4"/>
      <w:lvlJc w:val="left"/>
      <w:pPr>
        <w:ind w:left="1884" w:hanging="649"/>
        <w:jc w:val="left"/>
      </w:pPr>
      <w:rPr>
        <w:rFonts w:ascii="等线" w:eastAsia="等线" w:hAnsi="等线" w:cs="等线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4">
      <w:start w:val="0"/>
      <w:numFmt w:val="bullet"/>
      <w:lvlText w:val="•"/>
      <w:lvlJc w:val="left"/>
      <w:pPr>
        <w:ind w:left="1640" w:hanging="649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1680" w:hanging="649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1720" w:hanging="649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1740" w:hanging="649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1820" w:hanging="649"/>
      </w:pPr>
      <w:rPr>
        <w:rFonts w:hint="default"/>
        <w:lang w:val="en-US" w:eastAsia="zh-CN" w:bidi="ar-SA"/>
      </w:rPr>
    </w:lvl>
  </w:abstractNum>
  <w:abstractNum w:abstractNumId="54">
    <w:nsid w:val="5D51A11D"/>
    <w:multiLevelType w:val="hybridMultilevel"/>
    <w:tmpl w:val="00000000"/>
    <w:lvl w:ilvl="0">
      <w:start w:val="1"/>
      <w:numFmt w:val="decimal"/>
      <w:lvlText w:val="（%1）"/>
      <w:lvlJc w:val="left"/>
      <w:pPr>
        <w:ind w:left="1748" w:hanging="709"/>
        <w:jc w:val="left"/>
      </w:pPr>
      <w:rPr>
        <w:rFonts w:ascii="等线" w:eastAsia="等线" w:hAnsi="等线" w:cs="等线" w:hint="default"/>
        <w:b w:val="0"/>
        <w:bCs w:val="0"/>
        <w:i w:val="0"/>
        <w:iCs w:val="0"/>
        <w:w w:val="100"/>
        <w:sz w:val="26"/>
        <w:szCs w:val="26"/>
        <w:lang w:val="en-US" w:eastAsia="zh-CN" w:bidi="ar-SA"/>
      </w:rPr>
    </w:lvl>
    <w:lvl w:ilvl="1">
      <w:start w:val="0"/>
      <w:numFmt w:val="bullet"/>
      <w:lvlText w:val="•"/>
      <w:lvlJc w:val="left"/>
      <w:pPr>
        <w:ind w:left="2542" w:hanging="709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3345" w:hanging="709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4147" w:hanging="709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950" w:hanging="709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753" w:hanging="709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6555" w:hanging="709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7358" w:hanging="709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8160" w:hanging="709"/>
      </w:pPr>
      <w:rPr>
        <w:rFonts w:hint="default"/>
        <w:lang w:val="en-US" w:eastAsia="zh-CN" w:bidi="ar-SA"/>
      </w:rPr>
    </w:lvl>
  </w:abstractNum>
  <w:abstractNum w:abstractNumId="55">
    <w:nsid w:val="5DF5DDB1"/>
    <w:multiLevelType w:val="hybridMultilevel"/>
    <w:tmpl w:val="00000000"/>
    <w:lvl w:ilvl="0">
      <w:start w:val="1"/>
      <w:numFmt w:val="decimal"/>
      <w:lvlText w:val="（%1）"/>
      <w:lvlJc w:val="left"/>
      <w:pPr>
        <w:ind w:left="1748" w:hanging="709"/>
        <w:jc w:val="left"/>
      </w:pPr>
      <w:rPr>
        <w:rFonts w:ascii="等线" w:eastAsia="等线" w:hAnsi="等线" w:cs="等线" w:hint="default"/>
        <w:b w:val="0"/>
        <w:bCs w:val="0"/>
        <w:i w:val="0"/>
        <w:iCs w:val="0"/>
        <w:w w:val="100"/>
        <w:sz w:val="26"/>
        <w:szCs w:val="26"/>
        <w:lang w:val="en-US" w:eastAsia="zh-CN" w:bidi="ar-SA"/>
      </w:rPr>
    </w:lvl>
    <w:lvl w:ilvl="1">
      <w:start w:val="0"/>
      <w:numFmt w:val="bullet"/>
      <w:lvlText w:val="•"/>
      <w:lvlJc w:val="left"/>
      <w:pPr>
        <w:ind w:left="2542" w:hanging="709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3345" w:hanging="709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4147" w:hanging="709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950" w:hanging="709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753" w:hanging="709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6555" w:hanging="709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7358" w:hanging="709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8160" w:hanging="709"/>
      </w:pPr>
      <w:rPr>
        <w:rFonts w:hint="default"/>
        <w:lang w:val="en-US" w:eastAsia="zh-CN" w:bidi="ar-SA"/>
      </w:rPr>
    </w:lvl>
  </w:abstractNum>
  <w:abstractNum w:abstractNumId="56">
    <w:nsid w:val="5E732033"/>
    <w:multiLevelType w:val="hybridMultilevel"/>
    <w:tmpl w:val="00000000"/>
    <w:lvl w:ilvl="0">
      <w:start w:val="1"/>
      <w:numFmt w:val="decimal"/>
      <w:lvlText w:val="%1）"/>
      <w:lvlJc w:val="left"/>
      <w:pPr>
        <w:ind w:left="1468" w:hanging="429"/>
        <w:jc w:val="left"/>
      </w:pPr>
      <w:rPr>
        <w:rFonts w:ascii="等线" w:eastAsia="等线" w:hAnsi="等线" w:cs="等线" w:hint="default"/>
        <w:b w:val="0"/>
        <w:bCs w:val="0"/>
        <w:i w:val="0"/>
        <w:iCs w:val="0"/>
        <w:w w:val="100"/>
        <w:sz w:val="26"/>
        <w:szCs w:val="26"/>
        <w:lang w:val="en-US" w:eastAsia="zh-CN" w:bidi="ar-SA"/>
      </w:rPr>
    </w:lvl>
    <w:lvl w:ilvl="1">
      <w:start w:val="0"/>
      <w:numFmt w:val="bullet"/>
      <w:lvlText w:val="•"/>
      <w:lvlJc w:val="left"/>
      <w:pPr>
        <w:ind w:left="2290" w:hanging="429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3121" w:hanging="429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951" w:hanging="429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782" w:hanging="429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613" w:hanging="429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6443" w:hanging="429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7274" w:hanging="429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8104" w:hanging="429"/>
      </w:pPr>
      <w:rPr>
        <w:rFonts w:hint="default"/>
        <w:lang w:val="en-US" w:eastAsia="zh-CN" w:bidi="ar-SA"/>
      </w:rPr>
    </w:lvl>
  </w:abstractNum>
  <w:abstractNum w:abstractNumId="57">
    <w:nsid w:val="643CCC00"/>
    <w:multiLevelType w:val="hybridMultilevel"/>
    <w:tmpl w:val="00000000"/>
    <w:lvl w:ilvl="0">
      <w:start w:val="1"/>
      <w:numFmt w:val="decimal"/>
      <w:lvlText w:val="（%1）"/>
      <w:lvlJc w:val="left"/>
      <w:pPr>
        <w:ind w:left="480" w:hanging="711"/>
        <w:jc w:val="left"/>
      </w:pPr>
      <w:rPr>
        <w:rFonts w:ascii="等线" w:eastAsia="等线" w:hAnsi="等线" w:cs="等线" w:hint="default"/>
        <w:b w:val="0"/>
        <w:bCs w:val="0"/>
        <w:i w:val="0"/>
        <w:iCs w:val="0"/>
        <w:spacing w:val="0"/>
        <w:w w:val="100"/>
        <w:sz w:val="26"/>
        <w:szCs w:val="26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408" w:hanging="711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337" w:hanging="711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265" w:hanging="711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194" w:hanging="711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123" w:hanging="711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6051" w:hanging="711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980" w:hanging="711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908" w:hanging="711"/>
      </w:pPr>
      <w:rPr>
        <w:rFonts w:hint="default"/>
        <w:lang w:val="en-US" w:eastAsia="zh-CN" w:bidi="ar-SA"/>
      </w:rPr>
    </w:lvl>
  </w:abstractNum>
  <w:abstractNum w:abstractNumId="58">
    <w:nsid w:val="64420351"/>
    <w:multiLevelType w:val="hybridMultilevel"/>
    <w:tmpl w:val="00000000"/>
    <w:lvl w:ilvl="0">
      <w:start w:val="1"/>
      <w:numFmt w:val="decimal"/>
      <w:lvlText w:val="（%1）"/>
      <w:lvlJc w:val="left"/>
      <w:pPr>
        <w:ind w:left="480" w:hanging="711"/>
        <w:jc w:val="left"/>
      </w:pPr>
      <w:rPr>
        <w:rFonts w:ascii="等线" w:eastAsia="等线" w:hAnsi="等线" w:cs="等线" w:hint="default"/>
        <w:b w:val="0"/>
        <w:bCs w:val="0"/>
        <w:i w:val="0"/>
        <w:iCs w:val="0"/>
        <w:spacing w:val="0"/>
        <w:w w:val="100"/>
        <w:sz w:val="26"/>
        <w:szCs w:val="26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408" w:hanging="711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337" w:hanging="711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265" w:hanging="711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194" w:hanging="711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123" w:hanging="711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6051" w:hanging="711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980" w:hanging="711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908" w:hanging="711"/>
      </w:pPr>
      <w:rPr>
        <w:rFonts w:hint="default"/>
        <w:lang w:val="en-US" w:eastAsia="zh-CN" w:bidi="ar-SA"/>
      </w:rPr>
    </w:lvl>
  </w:abstractNum>
  <w:abstractNum w:abstractNumId="59">
    <w:nsid w:val="67DA8537"/>
    <w:multiLevelType w:val="hybridMultilevel"/>
    <w:tmpl w:val="00000000"/>
    <w:lvl w:ilvl="0">
      <w:start w:val="1"/>
      <w:numFmt w:val="decimal"/>
      <w:lvlText w:val="（%1）"/>
      <w:lvlJc w:val="left"/>
      <w:pPr>
        <w:ind w:left="480" w:hanging="711"/>
        <w:jc w:val="left"/>
      </w:pPr>
      <w:rPr>
        <w:rFonts w:ascii="等线" w:eastAsia="等线" w:hAnsi="等线" w:cs="等线" w:hint="default"/>
        <w:b w:val="0"/>
        <w:bCs w:val="0"/>
        <w:i w:val="0"/>
        <w:iCs w:val="0"/>
        <w:spacing w:val="0"/>
        <w:w w:val="100"/>
        <w:sz w:val="26"/>
        <w:szCs w:val="26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408" w:hanging="711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337" w:hanging="711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265" w:hanging="711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194" w:hanging="711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123" w:hanging="711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6051" w:hanging="711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980" w:hanging="711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908" w:hanging="711"/>
      </w:pPr>
      <w:rPr>
        <w:rFonts w:hint="default"/>
        <w:lang w:val="en-US" w:eastAsia="zh-CN" w:bidi="ar-SA"/>
      </w:rPr>
    </w:lvl>
  </w:abstractNum>
  <w:abstractNum w:abstractNumId="60">
    <w:nsid w:val="6A5C1375"/>
    <w:multiLevelType w:val="hybridMultilevel"/>
    <w:tmpl w:val="00000000"/>
    <w:lvl w:ilvl="0">
      <w:start w:val="1"/>
      <w:numFmt w:val="decimal"/>
      <w:lvlText w:val="%1）"/>
      <w:lvlJc w:val="left"/>
      <w:pPr>
        <w:ind w:left="1468" w:hanging="429"/>
        <w:jc w:val="left"/>
      </w:pPr>
      <w:rPr>
        <w:rFonts w:ascii="等线" w:eastAsia="等线" w:hAnsi="等线" w:cs="等线" w:hint="default"/>
        <w:b w:val="0"/>
        <w:bCs w:val="0"/>
        <w:i w:val="0"/>
        <w:iCs w:val="0"/>
        <w:w w:val="100"/>
        <w:sz w:val="26"/>
        <w:szCs w:val="26"/>
        <w:lang w:val="en-US" w:eastAsia="zh-CN" w:bidi="ar-SA"/>
      </w:rPr>
    </w:lvl>
    <w:lvl w:ilvl="1">
      <w:start w:val="0"/>
      <w:numFmt w:val="bullet"/>
      <w:lvlText w:val="•"/>
      <w:lvlJc w:val="left"/>
      <w:pPr>
        <w:ind w:left="2290" w:hanging="429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3121" w:hanging="429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951" w:hanging="429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782" w:hanging="429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613" w:hanging="429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6443" w:hanging="429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7274" w:hanging="429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8104" w:hanging="429"/>
      </w:pPr>
      <w:rPr>
        <w:rFonts w:hint="default"/>
        <w:lang w:val="en-US" w:eastAsia="zh-CN" w:bidi="ar-SA"/>
      </w:rPr>
    </w:lvl>
  </w:abstractNum>
  <w:abstractNum w:abstractNumId="61">
    <w:nsid w:val="6B021B4D"/>
    <w:multiLevelType w:val="hybridMultilevel"/>
    <w:tmpl w:val="00000000"/>
    <w:lvl w:ilvl="0">
      <w:start w:val="9"/>
      <w:numFmt w:val="decimal"/>
      <w:lvlText w:val="%1"/>
      <w:lvlJc w:val="left"/>
      <w:pPr>
        <w:ind w:left="1942" w:hanging="846"/>
        <w:jc w:val="left"/>
      </w:pPr>
      <w:rPr>
        <w:rFonts w:hint="default"/>
        <w:lang w:val="en-US" w:eastAsia="zh-CN" w:bidi="ar-SA"/>
      </w:rPr>
    </w:lvl>
    <w:lvl w:ilvl="1">
      <w:start w:val="4"/>
      <w:numFmt w:val="decimal"/>
      <w:lvlText w:val="%1.%2"/>
      <w:lvlJc w:val="left"/>
      <w:pPr>
        <w:ind w:left="1942" w:hanging="846"/>
        <w:jc w:val="left"/>
      </w:pPr>
      <w:rPr>
        <w:rFonts w:hint="default"/>
        <w:lang w:val="en-US" w:eastAsia="zh-CN" w:bidi="ar-SA"/>
      </w:rPr>
    </w:lvl>
    <w:lvl w:ilvl="2">
      <w:start w:val="3"/>
      <w:numFmt w:val="decimal"/>
      <w:lvlText w:val="%1.%2.%3"/>
      <w:lvlJc w:val="left"/>
      <w:pPr>
        <w:ind w:left="1942" w:hanging="846"/>
        <w:jc w:val="left"/>
      </w:pPr>
      <w:rPr>
        <w:rFonts w:ascii="等线" w:eastAsia="等线" w:hAnsi="等线" w:cs="等线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3">
      <w:start w:val="0"/>
      <w:numFmt w:val="bullet"/>
      <w:lvlText w:val="•"/>
      <w:lvlJc w:val="left"/>
      <w:pPr>
        <w:ind w:left="4287" w:hanging="846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5070" w:hanging="846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853" w:hanging="846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6635" w:hanging="846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7418" w:hanging="846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8200" w:hanging="846"/>
      </w:pPr>
      <w:rPr>
        <w:rFonts w:hint="default"/>
        <w:lang w:val="en-US" w:eastAsia="zh-CN" w:bidi="ar-SA"/>
      </w:rPr>
    </w:lvl>
  </w:abstractNum>
  <w:abstractNum w:abstractNumId="62">
    <w:nsid w:val="6B864AFA"/>
    <w:multiLevelType w:val="hybridMultilevel"/>
    <w:tmpl w:val="00000000"/>
    <w:lvl w:ilvl="0">
      <w:start w:val="1"/>
      <w:numFmt w:val="decimal"/>
      <w:lvlText w:val="（%1）"/>
      <w:lvlJc w:val="left"/>
      <w:pPr>
        <w:ind w:left="480" w:hanging="711"/>
        <w:jc w:val="left"/>
      </w:pPr>
      <w:rPr>
        <w:rFonts w:ascii="等线" w:eastAsia="等线" w:hAnsi="等线" w:cs="等线" w:hint="default"/>
        <w:b w:val="0"/>
        <w:bCs w:val="0"/>
        <w:i w:val="0"/>
        <w:iCs w:val="0"/>
        <w:spacing w:val="0"/>
        <w:w w:val="100"/>
        <w:sz w:val="26"/>
        <w:szCs w:val="26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408" w:hanging="711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337" w:hanging="711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265" w:hanging="711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194" w:hanging="711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123" w:hanging="711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6051" w:hanging="711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980" w:hanging="711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908" w:hanging="711"/>
      </w:pPr>
      <w:rPr>
        <w:rFonts w:hint="default"/>
        <w:lang w:val="en-US" w:eastAsia="zh-CN" w:bidi="ar-SA"/>
      </w:rPr>
    </w:lvl>
  </w:abstractNum>
  <w:abstractNum w:abstractNumId="63">
    <w:nsid w:val="706EC538"/>
    <w:multiLevelType w:val="hybridMultilevel"/>
    <w:tmpl w:val="00000000"/>
    <w:lvl w:ilvl="0">
      <w:start w:val="1"/>
      <w:numFmt w:val="decimal"/>
      <w:lvlText w:val="（%1）"/>
      <w:lvlJc w:val="left"/>
      <w:pPr>
        <w:ind w:left="480" w:hanging="711"/>
        <w:jc w:val="left"/>
      </w:pPr>
      <w:rPr>
        <w:rFonts w:ascii="等线" w:eastAsia="等线" w:hAnsi="等线" w:cs="等线" w:hint="default"/>
        <w:b w:val="0"/>
        <w:bCs w:val="0"/>
        <w:i w:val="0"/>
        <w:iCs w:val="0"/>
        <w:spacing w:val="0"/>
        <w:w w:val="100"/>
        <w:sz w:val="26"/>
        <w:szCs w:val="26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408" w:hanging="711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337" w:hanging="711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265" w:hanging="711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194" w:hanging="711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123" w:hanging="711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6051" w:hanging="711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980" w:hanging="711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908" w:hanging="711"/>
      </w:pPr>
      <w:rPr>
        <w:rFonts w:hint="default"/>
        <w:lang w:val="en-US" w:eastAsia="zh-CN" w:bidi="ar-SA"/>
      </w:rPr>
    </w:lvl>
  </w:abstractNum>
  <w:abstractNum w:abstractNumId="64">
    <w:nsid w:val="739E645D"/>
    <w:multiLevelType w:val="hybridMultilevel"/>
    <w:tmpl w:val="00000000"/>
    <w:lvl w:ilvl="0">
      <w:start w:val="1"/>
      <w:numFmt w:val="decimal"/>
      <w:lvlText w:val="（%1）"/>
      <w:lvlJc w:val="left"/>
      <w:pPr>
        <w:ind w:left="1775" w:hanging="735"/>
        <w:jc w:val="left"/>
      </w:pPr>
      <w:rPr>
        <w:rFonts w:ascii="等线" w:eastAsia="等线" w:hAnsi="等线" w:cs="等线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2578" w:hanging="735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3377" w:hanging="735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4175" w:hanging="735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974" w:hanging="735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773" w:hanging="735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6571" w:hanging="735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7370" w:hanging="735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8168" w:hanging="735"/>
      </w:pPr>
      <w:rPr>
        <w:rFonts w:hint="default"/>
        <w:lang w:val="en-US" w:eastAsia="zh-CN" w:bidi="ar-SA"/>
      </w:rPr>
    </w:lvl>
  </w:abstractNum>
  <w:abstractNum w:abstractNumId="65">
    <w:nsid w:val="77E2554D"/>
    <w:multiLevelType w:val="hybridMultilevel"/>
    <w:tmpl w:val="00000000"/>
    <w:lvl w:ilvl="0">
      <w:start w:val="1"/>
      <w:numFmt w:val="decimal"/>
      <w:lvlText w:val="（%1）"/>
      <w:lvlJc w:val="left"/>
      <w:pPr>
        <w:ind w:left="480" w:hanging="711"/>
        <w:jc w:val="left"/>
      </w:pPr>
      <w:rPr>
        <w:rFonts w:ascii="等线" w:eastAsia="等线" w:hAnsi="等线" w:cs="等线" w:hint="default"/>
        <w:b w:val="0"/>
        <w:bCs w:val="0"/>
        <w:i w:val="0"/>
        <w:iCs w:val="0"/>
        <w:spacing w:val="0"/>
        <w:w w:val="100"/>
        <w:sz w:val="26"/>
        <w:szCs w:val="26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408" w:hanging="711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337" w:hanging="711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265" w:hanging="711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194" w:hanging="711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123" w:hanging="711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6051" w:hanging="711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980" w:hanging="711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908" w:hanging="711"/>
      </w:pPr>
      <w:rPr>
        <w:rFonts w:hint="default"/>
        <w:lang w:val="en-US" w:eastAsia="zh-CN" w:bidi="ar-SA"/>
      </w:rPr>
    </w:lvl>
  </w:abstractNum>
  <w:abstractNum w:abstractNumId="66">
    <w:nsid w:val="7825A760"/>
    <w:multiLevelType w:val="hybridMultilevel"/>
    <w:tmpl w:val="00000000"/>
    <w:lvl w:ilvl="0">
      <w:start w:val="1"/>
      <w:numFmt w:val="decimal"/>
      <w:lvlText w:val="（%1）"/>
      <w:lvlJc w:val="left"/>
      <w:pPr>
        <w:ind w:left="1748" w:hanging="709"/>
        <w:jc w:val="left"/>
      </w:pPr>
      <w:rPr>
        <w:rFonts w:ascii="等线" w:eastAsia="等线" w:hAnsi="等线" w:cs="等线" w:hint="default"/>
        <w:b w:val="0"/>
        <w:bCs w:val="0"/>
        <w:i w:val="0"/>
        <w:iCs w:val="0"/>
        <w:w w:val="100"/>
        <w:sz w:val="26"/>
        <w:szCs w:val="26"/>
        <w:lang w:val="en-US" w:eastAsia="zh-CN" w:bidi="ar-SA"/>
      </w:rPr>
    </w:lvl>
    <w:lvl w:ilvl="1">
      <w:start w:val="0"/>
      <w:numFmt w:val="bullet"/>
      <w:lvlText w:val="•"/>
      <w:lvlJc w:val="left"/>
      <w:pPr>
        <w:ind w:left="2542" w:hanging="709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3345" w:hanging="709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4147" w:hanging="709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950" w:hanging="709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753" w:hanging="709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6555" w:hanging="709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7358" w:hanging="709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8160" w:hanging="709"/>
      </w:pPr>
      <w:rPr>
        <w:rFonts w:hint="default"/>
        <w:lang w:val="en-US" w:eastAsia="zh-CN" w:bidi="ar-SA"/>
      </w:rPr>
    </w:lvl>
  </w:abstractNum>
  <w:abstractNum w:abstractNumId="67">
    <w:nsid w:val="7886FA1C"/>
    <w:multiLevelType w:val="hybridMultilevel"/>
    <w:tmpl w:val="00000000"/>
    <w:lvl w:ilvl="0">
      <w:start w:val="1"/>
      <w:numFmt w:val="decimal"/>
      <w:lvlText w:val="（%1）"/>
      <w:lvlJc w:val="left"/>
      <w:pPr>
        <w:ind w:left="1748" w:hanging="709"/>
        <w:jc w:val="left"/>
      </w:pPr>
      <w:rPr>
        <w:rFonts w:ascii="等线" w:eastAsia="等线" w:hAnsi="等线" w:cs="等线" w:hint="default"/>
        <w:b w:val="0"/>
        <w:bCs w:val="0"/>
        <w:i w:val="0"/>
        <w:iCs w:val="0"/>
        <w:w w:val="100"/>
        <w:sz w:val="26"/>
        <w:szCs w:val="26"/>
        <w:lang w:val="en-US" w:eastAsia="zh-CN" w:bidi="ar-SA"/>
      </w:rPr>
    </w:lvl>
    <w:lvl w:ilvl="1">
      <w:start w:val="0"/>
      <w:numFmt w:val="bullet"/>
      <w:lvlText w:val="•"/>
      <w:lvlJc w:val="left"/>
      <w:pPr>
        <w:ind w:left="2542" w:hanging="709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3345" w:hanging="709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4147" w:hanging="709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950" w:hanging="709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753" w:hanging="709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6555" w:hanging="709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7358" w:hanging="709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8160" w:hanging="709"/>
      </w:pPr>
      <w:rPr>
        <w:rFonts w:hint="default"/>
        <w:lang w:val="en-US" w:eastAsia="zh-CN" w:bidi="ar-SA"/>
      </w:rPr>
    </w:lvl>
  </w:abstractNum>
  <w:abstractNum w:abstractNumId="68">
    <w:nsid w:val="7B9DD889"/>
    <w:multiLevelType w:val="hybridMultilevel"/>
    <w:tmpl w:val="00000000"/>
    <w:lvl w:ilvl="0">
      <w:start w:val="1"/>
      <w:numFmt w:val="decimal"/>
      <w:lvlText w:val="%1）"/>
      <w:lvlJc w:val="left"/>
      <w:pPr>
        <w:ind w:left="1468" w:hanging="429"/>
        <w:jc w:val="left"/>
      </w:pPr>
      <w:rPr>
        <w:rFonts w:ascii="等线" w:eastAsia="等线" w:hAnsi="等线" w:cs="等线" w:hint="default"/>
        <w:b w:val="0"/>
        <w:bCs w:val="0"/>
        <w:i w:val="0"/>
        <w:iCs w:val="0"/>
        <w:w w:val="100"/>
        <w:sz w:val="26"/>
        <w:szCs w:val="26"/>
        <w:lang w:val="en-US" w:eastAsia="zh-CN" w:bidi="ar-SA"/>
      </w:rPr>
    </w:lvl>
    <w:lvl w:ilvl="1">
      <w:start w:val="0"/>
      <w:numFmt w:val="bullet"/>
      <w:lvlText w:val="•"/>
      <w:lvlJc w:val="left"/>
      <w:pPr>
        <w:ind w:left="2290" w:hanging="429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3121" w:hanging="429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951" w:hanging="429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782" w:hanging="429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613" w:hanging="429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6443" w:hanging="429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7274" w:hanging="429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8104" w:hanging="429"/>
      </w:pPr>
      <w:rPr>
        <w:rFonts w:hint="default"/>
        <w:lang w:val="en-US" w:eastAsia="zh-CN" w:bidi="ar-SA"/>
      </w:rPr>
    </w:lvl>
  </w:abstractNum>
  <w:abstractNum w:abstractNumId="69">
    <w:nsid w:val="7BC022D6"/>
    <w:multiLevelType w:val="hybridMultilevel"/>
    <w:tmpl w:val="00000000"/>
    <w:lvl w:ilvl="0">
      <w:start w:val="1"/>
      <w:numFmt w:val="decimal"/>
      <w:lvlText w:val="（%1）"/>
      <w:lvlJc w:val="left"/>
      <w:pPr>
        <w:ind w:left="1748" w:hanging="709"/>
        <w:jc w:val="left"/>
      </w:pPr>
      <w:rPr>
        <w:rFonts w:ascii="等线" w:eastAsia="等线" w:hAnsi="等线" w:cs="等线" w:hint="default"/>
        <w:b w:val="0"/>
        <w:bCs w:val="0"/>
        <w:i w:val="0"/>
        <w:iCs w:val="0"/>
        <w:w w:val="100"/>
        <w:sz w:val="26"/>
        <w:szCs w:val="26"/>
        <w:lang w:val="en-US" w:eastAsia="zh-CN" w:bidi="ar-SA"/>
      </w:rPr>
    </w:lvl>
    <w:lvl w:ilvl="1">
      <w:start w:val="0"/>
      <w:numFmt w:val="bullet"/>
      <w:lvlText w:val="•"/>
      <w:lvlJc w:val="left"/>
      <w:pPr>
        <w:ind w:left="2542" w:hanging="709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3345" w:hanging="709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4147" w:hanging="709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950" w:hanging="709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753" w:hanging="709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6555" w:hanging="709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7358" w:hanging="709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8160" w:hanging="709"/>
      </w:pPr>
      <w:rPr>
        <w:rFonts w:hint="default"/>
        <w:lang w:val="en-US" w:eastAsia="zh-CN" w:bidi="ar-SA"/>
      </w:rPr>
    </w:lvl>
  </w:abstractNum>
  <w:abstractNum w:abstractNumId="70">
    <w:nsid w:val="7C49140E"/>
    <w:multiLevelType w:val="hybridMultilevel"/>
    <w:tmpl w:val="00000000"/>
    <w:lvl w:ilvl="0">
      <w:start w:val="1"/>
      <w:numFmt w:val="decimal"/>
      <w:lvlText w:val="%1）"/>
      <w:lvlJc w:val="left"/>
      <w:pPr>
        <w:ind w:left="1468" w:hanging="429"/>
        <w:jc w:val="left"/>
      </w:pPr>
      <w:rPr>
        <w:rFonts w:ascii="等线" w:eastAsia="等线" w:hAnsi="等线" w:cs="等线" w:hint="default"/>
        <w:b w:val="0"/>
        <w:bCs w:val="0"/>
        <w:i w:val="0"/>
        <w:iCs w:val="0"/>
        <w:w w:val="100"/>
        <w:sz w:val="26"/>
        <w:szCs w:val="26"/>
        <w:lang w:val="en-US" w:eastAsia="zh-CN" w:bidi="ar-SA"/>
      </w:rPr>
    </w:lvl>
    <w:lvl w:ilvl="1">
      <w:start w:val="0"/>
      <w:numFmt w:val="bullet"/>
      <w:lvlText w:val="•"/>
      <w:lvlJc w:val="left"/>
      <w:pPr>
        <w:ind w:left="2290" w:hanging="429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3121" w:hanging="429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951" w:hanging="429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782" w:hanging="429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613" w:hanging="429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6443" w:hanging="429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7274" w:hanging="429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8104" w:hanging="429"/>
      </w:pPr>
      <w:rPr>
        <w:rFonts w:hint="default"/>
        <w:lang w:val="en-US" w:eastAsia="zh-CN" w:bidi="ar-SA"/>
      </w:rPr>
    </w:lvl>
  </w:abstractNum>
  <w:abstractNum w:abstractNumId="71">
    <w:nsid w:val="7D83BD11"/>
    <w:multiLevelType w:val="hybridMultilevel"/>
    <w:tmpl w:val="00000000"/>
    <w:lvl w:ilvl="0">
      <w:start w:val="1"/>
      <w:numFmt w:val="decimal"/>
      <w:lvlText w:val="（%1）"/>
      <w:lvlJc w:val="left"/>
      <w:pPr>
        <w:ind w:left="1748" w:hanging="709"/>
        <w:jc w:val="left"/>
      </w:pPr>
      <w:rPr>
        <w:rFonts w:ascii="等线" w:eastAsia="等线" w:hAnsi="等线" w:cs="等线" w:hint="default"/>
        <w:b w:val="0"/>
        <w:bCs w:val="0"/>
        <w:i w:val="0"/>
        <w:iCs w:val="0"/>
        <w:w w:val="100"/>
        <w:sz w:val="26"/>
        <w:szCs w:val="26"/>
        <w:lang w:val="en-US" w:eastAsia="zh-CN" w:bidi="ar-SA"/>
      </w:rPr>
    </w:lvl>
    <w:lvl w:ilvl="1">
      <w:start w:val="0"/>
      <w:numFmt w:val="bullet"/>
      <w:lvlText w:val="•"/>
      <w:lvlJc w:val="left"/>
      <w:pPr>
        <w:ind w:left="2542" w:hanging="709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3345" w:hanging="709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4147" w:hanging="709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950" w:hanging="709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753" w:hanging="709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6555" w:hanging="709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7358" w:hanging="709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8160" w:hanging="709"/>
      </w:pPr>
      <w:rPr>
        <w:rFonts w:hint="default"/>
        <w:lang w:val="en-US" w:eastAsia="zh-CN" w:bidi="ar-SA"/>
      </w:rPr>
    </w:lvl>
  </w:abstractNum>
  <w:abstractNum w:abstractNumId="72">
    <w:nsid w:val="7FDBF554"/>
    <w:multiLevelType w:val="hybridMultilevel"/>
    <w:tmpl w:val="00000000"/>
    <w:lvl w:ilvl="0">
      <w:start w:val="1"/>
      <w:numFmt w:val="decimal"/>
      <w:lvlText w:val="（%1）"/>
      <w:lvlJc w:val="left"/>
      <w:pPr>
        <w:ind w:left="480" w:hanging="711"/>
        <w:jc w:val="left"/>
      </w:pPr>
      <w:rPr>
        <w:rFonts w:ascii="等线" w:eastAsia="等线" w:hAnsi="等线" w:cs="等线" w:hint="default"/>
        <w:b w:val="0"/>
        <w:bCs w:val="0"/>
        <w:i w:val="0"/>
        <w:iCs w:val="0"/>
        <w:spacing w:val="0"/>
        <w:w w:val="100"/>
        <w:sz w:val="26"/>
        <w:szCs w:val="26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408" w:hanging="711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337" w:hanging="711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265" w:hanging="711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194" w:hanging="711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123" w:hanging="711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6051" w:hanging="711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980" w:hanging="711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908" w:hanging="711"/>
      </w:pPr>
      <w:rPr>
        <w:rFonts w:hint="default"/>
        <w:lang w:val="en-US" w:eastAsia="zh-CN" w:bidi="ar-SA"/>
      </w:rPr>
    </w:lvl>
  </w:abstractNum>
  <w:num w:numId="1">
    <w:abstractNumId w:val="16"/>
  </w:num>
  <w:num w:numId="2">
    <w:abstractNumId w:val="34"/>
  </w:num>
  <w:num w:numId="3">
    <w:abstractNumId w:val="31"/>
  </w:num>
  <w:num w:numId="4">
    <w:abstractNumId w:val="70"/>
  </w:num>
  <w:num w:numId="5">
    <w:abstractNumId w:val="28"/>
  </w:num>
  <w:num w:numId="6">
    <w:abstractNumId w:val="68"/>
  </w:num>
  <w:num w:numId="7">
    <w:abstractNumId w:val="21"/>
  </w:num>
  <w:num w:numId="8">
    <w:abstractNumId w:val="12"/>
  </w:num>
  <w:num w:numId="9">
    <w:abstractNumId w:val="46"/>
  </w:num>
  <w:num w:numId="10">
    <w:abstractNumId w:val="18"/>
  </w:num>
  <w:num w:numId="11">
    <w:abstractNumId w:val="56"/>
  </w:num>
  <w:num w:numId="12">
    <w:abstractNumId w:val="60"/>
  </w:num>
  <w:num w:numId="13">
    <w:abstractNumId w:val="45"/>
  </w:num>
  <w:num w:numId="14">
    <w:abstractNumId w:val="41"/>
  </w:num>
  <w:num w:numId="15">
    <w:abstractNumId w:val="49"/>
  </w:num>
  <w:num w:numId="16">
    <w:abstractNumId w:val="15"/>
  </w:num>
  <w:num w:numId="17">
    <w:abstractNumId w:val="51"/>
  </w:num>
  <w:num w:numId="18">
    <w:abstractNumId w:val="9"/>
  </w:num>
  <w:num w:numId="19">
    <w:abstractNumId w:val="23"/>
  </w:num>
  <w:num w:numId="20">
    <w:abstractNumId w:val="17"/>
  </w:num>
  <w:num w:numId="21">
    <w:abstractNumId w:val="19"/>
  </w:num>
  <w:num w:numId="22">
    <w:abstractNumId w:val="1"/>
  </w:num>
  <w:num w:numId="23">
    <w:abstractNumId w:val="20"/>
  </w:num>
  <w:num w:numId="24">
    <w:abstractNumId w:val="57"/>
  </w:num>
  <w:num w:numId="25">
    <w:abstractNumId w:val="69"/>
  </w:num>
  <w:num w:numId="26">
    <w:abstractNumId w:val="62"/>
  </w:num>
  <w:num w:numId="27">
    <w:abstractNumId w:val="63"/>
  </w:num>
  <w:num w:numId="28">
    <w:abstractNumId w:val="29"/>
  </w:num>
  <w:num w:numId="29">
    <w:abstractNumId w:val="24"/>
  </w:num>
  <w:num w:numId="30">
    <w:abstractNumId w:val="52"/>
  </w:num>
  <w:num w:numId="31">
    <w:abstractNumId w:val="59"/>
  </w:num>
  <w:num w:numId="32">
    <w:abstractNumId w:val="54"/>
  </w:num>
  <w:num w:numId="33">
    <w:abstractNumId w:val="4"/>
  </w:num>
  <w:num w:numId="34">
    <w:abstractNumId w:val="14"/>
  </w:num>
  <w:num w:numId="35">
    <w:abstractNumId w:val="0"/>
  </w:num>
  <w:num w:numId="36">
    <w:abstractNumId w:val="3"/>
  </w:num>
  <w:num w:numId="37">
    <w:abstractNumId w:val="32"/>
  </w:num>
  <w:num w:numId="38">
    <w:abstractNumId w:val="5"/>
  </w:num>
  <w:num w:numId="39">
    <w:abstractNumId w:val="71"/>
  </w:num>
  <w:num w:numId="40">
    <w:abstractNumId w:val="26"/>
  </w:num>
  <w:num w:numId="41">
    <w:abstractNumId w:val="61"/>
  </w:num>
  <w:num w:numId="42">
    <w:abstractNumId w:val="55"/>
  </w:num>
  <w:num w:numId="43">
    <w:abstractNumId w:val="22"/>
  </w:num>
  <w:num w:numId="44">
    <w:abstractNumId w:val="2"/>
  </w:num>
  <w:num w:numId="45">
    <w:abstractNumId w:val="8"/>
  </w:num>
  <w:num w:numId="46">
    <w:abstractNumId w:val="37"/>
  </w:num>
  <w:num w:numId="47">
    <w:abstractNumId w:val="7"/>
  </w:num>
  <w:num w:numId="48">
    <w:abstractNumId w:val="33"/>
  </w:num>
  <w:num w:numId="49">
    <w:abstractNumId w:val="36"/>
  </w:num>
  <w:num w:numId="50">
    <w:abstractNumId w:val="11"/>
  </w:num>
  <w:num w:numId="51">
    <w:abstractNumId w:val="48"/>
  </w:num>
  <w:num w:numId="52">
    <w:abstractNumId w:val="66"/>
  </w:num>
  <w:num w:numId="53">
    <w:abstractNumId w:val="64"/>
  </w:num>
  <w:num w:numId="54">
    <w:abstractNumId w:val="39"/>
  </w:num>
  <w:num w:numId="55">
    <w:abstractNumId w:val="30"/>
  </w:num>
  <w:num w:numId="56">
    <w:abstractNumId w:val="67"/>
  </w:num>
  <w:num w:numId="57">
    <w:abstractNumId w:val="10"/>
  </w:num>
  <w:num w:numId="58">
    <w:abstractNumId w:val="47"/>
  </w:num>
  <w:num w:numId="59">
    <w:abstractNumId w:val="6"/>
  </w:num>
  <w:num w:numId="60">
    <w:abstractNumId w:val="13"/>
  </w:num>
  <w:num w:numId="61">
    <w:abstractNumId w:val="65"/>
  </w:num>
  <w:num w:numId="62">
    <w:abstractNumId w:val="58"/>
  </w:num>
  <w:num w:numId="63">
    <w:abstractNumId w:val="43"/>
  </w:num>
  <w:num w:numId="64">
    <w:abstractNumId w:val="25"/>
  </w:num>
  <w:num w:numId="65">
    <w:abstractNumId w:val="42"/>
  </w:num>
  <w:num w:numId="66">
    <w:abstractNumId w:val="27"/>
  </w:num>
  <w:num w:numId="67">
    <w:abstractNumId w:val="72"/>
  </w:num>
  <w:num w:numId="68">
    <w:abstractNumId w:val="53"/>
  </w:num>
  <w:num w:numId="69">
    <w:abstractNumId w:val="44"/>
  </w:num>
  <w:num w:numId="70">
    <w:abstractNumId w:val="38"/>
  </w:num>
  <w:num w:numId="71">
    <w:abstractNumId w:val="50"/>
  </w:num>
  <w:num w:numId="72">
    <w:abstractNumId w:val="40"/>
  </w:num>
  <w:num w:numId="73">
    <w:abstractNumId w:val="3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等线" w:eastAsia="等线" w:hAnsi="等线" w:cs="等线"/>
      <w:lang w:val="en-US" w:eastAsia="zh-CN" w:bidi="ar-SA"/>
    </w:rPr>
  </w:style>
  <w:style w:type="paragraph" w:styleId="Heading1">
    <w:name w:val="heading 1"/>
    <w:basedOn w:val="Normal"/>
    <w:uiPriority w:val="1"/>
    <w:qFormat/>
    <w:pPr>
      <w:ind w:left="1558" w:hanging="519"/>
      <w:outlineLvl w:val="0"/>
    </w:pPr>
    <w:rPr>
      <w:rFonts w:ascii="等线" w:eastAsia="等线" w:hAnsi="等线" w:cs="等线"/>
      <w:b/>
      <w:bCs/>
      <w:sz w:val="28"/>
      <w:szCs w:val="28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pPr>
      <w:ind w:left="480" w:firstLine="560"/>
    </w:pPr>
    <w:rPr>
      <w:rFonts w:ascii="等线" w:eastAsia="等线" w:hAnsi="等线" w:cs="等线"/>
      <w:sz w:val="28"/>
      <w:szCs w:val="28"/>
      <w:lang w:val="en-US" w:eastAsia="zh-CN" w:bidi="ar-SA"/>
    </w:rPr>
  </w:style>
  <w:style w:type="paragraph" w:styleId="Title">
    <w:name w:val="Title"/>
    <w:basedOn w:val="Normal"/>
    <w:uiPriority w:val="1"/>
    <w:qFormat/>
    <w:pPr>
      <w:spacing w:before="12"/>
      <w:ind w:left="467" w:right="2919"/>
      <w:jc w:val="center"/>
    </w:pPr>
    <w:rPr>
      <w:rFonts w:ascii="等线" w:eastAsia="等线" w:hAnsi="等线" w:cs="等线"/>
      <w:b/>
      <w:bCs/>
      <w:sz w:val="44"/>
      <w:szCs w:val="44"/>
      <w:lang w:val="en-US" w:eastAsia="zh-CN" w:bidi="ar-SA"/>
    </w:rPr>
  </w:style>
  <w:style w:type="paragraph" w:styleId="ListParagraph">
    <w:name w:val="List Paragraph"/>
    <w:basedOn w:val="Normal"/>
    <w:uiPriority w:val="1"/>
    <w:qFormat/>
    <w:pPr>
      <w:ind w:left="1468" w:hanging="429"/>
    </w:pPr>
    <w:rPr>
      <w:rFonts w:ascii="等线" w:eastAsia="等线" w:hAnsi="等线" w:cs="等线"/>
      <w:lang w:val="en-US" w:eastAsia="zh-CN" w:bidi="ar-SA"/>
    </w:rPr>
  </w:style>
  <w:style w:type="paragraph" w:customStyle="1" w:styleId="TableParagraph">
    <w:name w:val="Table Paragraph"/>
    <w:basedOn w:val="Normal"/>
    <w:uiPriority w:val="1"/>
    <w:qFormat/>
    <w:rPr>
      <w:rFonts w:ascii="等线" w:eastAsia="等线" w:hAnsi="等线" w:cs="等线"/>
      <w:lang w:val="en-US" w:eastAsia="zh-CN" w:bidi="ar-SA"/>
    </w:rPr>
  </w:style>
  <w:style w:type="table" w:customStyle="1" w:styleId="TableNormal0">
    <w:name w:val="Table Normal_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_3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_4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215202010101011113" TargetMode="External" /><Relationship Id="rId5" Type="http://schemas.openxmlformats.org/officeDocument/2006/relationships/theme" Target="theme/theme1.xml" /><Relationship Id="rId6" Type="http://schemas.openxmlformats.org/officeDocument/2006/relationships/numbering" Target="numbering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2024-02-29T02:07:51Z</dcterms:created>
  <dcterms:modified xsi:type="dcterms:W3CDTF">2024-02-29T02:07:51Z</dcterms:modified>
</cp:coreProperties>
</file>