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60" w:after="260" w:line="240" w:lineRule="auto"/>
        <w:jc w:val="both"/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</w:p>
    <w:p>
      <w:pPr>
        <w:spacing w:before="60" w:after="260" w:line="240" w:lineRule="auto"/>
        <w:jc w:val="both"/>
        <w:rPr>
          <w:rFonts w:ascii="微软雅黑" w:eastAsia="微软雅黑" w:hAnsi="微软雅黑" w:cs="微软雅黑" w:hint="default"/>
          <w:b/>
          <w:bCs/>
          <w:color w:val="000000" w:themeColor="text1"/>
          <w:sz w:val="52"/>
          <w:szCs w:val="52"/>
          <w14:textFill>
            <w14:solidFill>
              <w14:schemeClr w14:val="tx1"/>
            </w14:solidFill>
          </w14:textFill>
        </w:rPr>
      </w:pPr>
      <w:bookmarkStart w:id="0" w:name="_GoBack"/>
      <w:bookmarkEnd w:id="0"/>
      <w:r>
        <w:rPr>
          <w:rFonts w:ascii="微软雅黑" w:eastAsia="微软雅黑" w:hAnsi="微软雅黑" w:cs="微软雅黑" w:hint="eastAsia"/>
          <w:b/>
          <w:bCs/>
          <w:color w:val="000000" w:themeColor="text1"/>
          <w:sz w:val="52"/>
          <w:szCs w:val="52"/>
          <w:lang w:val="en-US" w:eastAsia="zh-CN"/>
          <w14:textFill>
            <w14:solidFill>
              <w14:schemeClr w14:val="tx1"/>
            </w14:solidFill>
          </w14:textFill>
        </w:rPr>
        <w:t>2024年石材加工设备行业分析报告及未来五到十年行业发展趋势报告</w:t>
      </w:r>
    </w:p>
    <w:p>
      <w:pPr>
        <w:sectPr>
          <w:pgSz w:w="11906" w:h="16838"/>
          <w:pgMar w:top="1134" w:right="1474" w:bottom="1134" w:left="1474" w:header="851" w:footer="992" w:gutter="0"/>
          <w:cols w:num="1" w:space="425"/>
          <w:docGrid w:type="lines" w:linePitch="312" w:charSpace="0"/>
        </w:sectPr>
      </w:pPr>
    </w:p>
    <w:p>
      <w:pPr>
        <w:pStyle w:val="TOC1"/>
        <w:tabs>
          <w:tab w:val="right" w:leader="dot" w:pos="8958"/>
        </w:tabs>
      </w:pPr>
      <w:r>
        <w:fldChar w:fldCharType="begin"/>
      </w:r>
      <w:r>
        <w:instrText xml:space="preserve">TOC \o "1-3" \h \u </w:instrText>
      </w:r>
      <w:r>
        <w:fldChar w:fldCharType="separate"/>
      </w:r>
      <w:hyperlink w:anchor="_Toc26941" w:history="1">
        <w:r>
          <w:rPr>
            <w:rFonts w:eastAsia="微软雅黑" w:hint="eastAsia"/>
            <w:snapToGrid/>
            <w:lang w:val="en-US" w:eastAsia="en-US"/>
          </w:rPr>
          <w:t>一、关于未来5-10年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行业发展机遇与挑战的建议</w:t>
        </w:r>
        <w:r>
          <w:tab/>
        </w:r>
        <w:r>
          <w:fldChar w:fldCharType="begin"/>
        </w:r>
        <w:r>
          <w:instrText xml:space="preserve"> PAGEREF _Toc26941 \h </w:instrText>
        </w:r>
        <w:r>
          <w:fldChar w:fldCharType="separate"/>
        </w:r>
        <w:r>
          <w:t>4</w:t>
        </w:r>
        <w:r>
          <w:fldChar w:fldCharType="end"/>
        </w:r>
      </w:hyperlink>
      <w:r>
        <w:fldChar w:fldCharType="end"/>
      </w:r>
    </w:p>
    <w:p>
      <w:pPr>
        <w:pStyle w:val="TOC2"/>
        <w:tabs>
          <w:tab w:val="right" w:leader="dot" w:pos="8958"/>
        </w:tabs>
      </w:pPr>
      <w:hyperlink w:anchor="_Toc3798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行业发展趋势展望</w:t>
        </w:r>
        <w:r>
          <w:tab/>
        </w:r>
        <w:r>
          <w:fldChar w:fldCharType="begin"/>
        </w:r>
        <w:r>
          <w:instrText xml:space="preserve"> PAGEREF _Toc3798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33" w:history="1">
        <w:r>
          <w:rPr>
            <w:rFonts w:eastAsia="微软雅黑" w:hint="eastAsia"/>
            <w:snapToGrid/>
            <w:lang w:val="en-US" w:eastAsia="zh-CN"/>
          </w:rPr>
          <w:t>(二)、2024-2029年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行业宏观政策指导的机遇</w:t>
        </w:r>
        <w:r>
          <w:tab/>
        </w:r>
        <w:r>
          <w:fldChar w:fldCharType="begin"/>
        </w:r>
        <w:r>
          <w:instrText xml:space="preserve"> PAGEREF _Toc4333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81" w:history="1">
        <w:r>
          <w:rPr>
            <w:rFonts w:eastAsia="微软雅黑" w:hint="eastAsia"/>
            <w:snapToGrid/>
            <w:lang w:val="en-US" w:eastAsia="zh-CN"/>
          </w:rPr>
          <w:t>(三)、2024-2029年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产业结构调整的机遇</w:t>
        </w:r>
        <w:r>
          <w:tab/>
        </w:r>
        <w:r>
          <w:fldChar w:fldCharType="begin"/>
        </w:r>
        <w:r>
          <w:instrText xml:space="preserve"> PAGEREF _Toc25581 \h </w:instrText>
        </w:r>
        <w:r>
          <w:fldChar w:fldCharType="separate"/>
        </w:r>
        <w:r>
          <w:t>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84" w:history="1">
        <w:r>
          <w:rPr>
            <w:rFonts w:eastAsia="微软雅黑" w:hint="eastAsia"/>
            <w:snapToGrid/>
            <w:lang w:val="en-US" w:eastAsia="zh-CN"/>
          </w:rPr>
          <w:t>(四)、2024-2029年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行业面临的挑战与对策</w:t>
        </w:r>
        <w:r>
          <w:tab/>
        </w:r>
        <w:r>
          <w:fldChar w:fldCharType="begin"/>
        </w:r>
        <w:r>
          <w:instrText xml:space="preserve"> PAGEREF _Toc2384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2626" w:history="1">
        <w:r>
          <w:rPr>
            <w:rFonts w:eastAsia="微软雅黑" w:hint="eastAsia"/>
            <w:snapToGrid/>
            <w:lang w:val="en-US" w:eastAsia="en-US"/>
          </w:rPr>
          <w:t>二、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行业政策环境</w:t>
        </w:r>
        <w:r>
          <w:tab/>
        </w:r>
        <w:r>
          <w:fldChar w:fldCharType="begin"/>
        </w:r>
        <w:r>
          <w:instrText xml:space="preserve"> PAGEREF _Toc32626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073" w:history="1">
        <w:r>
          <w:rPr>
            <w:rFonts w:eastAsia="微软雅黑" w:hint="eastAsia"/>
            <w:snapToGrid/>
            <w:lang w:val="en-US" w:eastAsia="en-US"/>
          </w:rPr>
          <w:t>(一)、政策持续利好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行业发展</w:t>
        </w:r>
        <w:r>
          <w:tab/>
        </w:r>
        <w:r>
          <w:fldChar w:fldCharType="begin"/>
        </w:r>
        <w:r>
          <w:instrText xml:space="preserve"> PAGEREF _Toc26073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513" w:history="1">
        <w:r>
          <w:rPr>
            <w:rFonts w:eastAsia="微软雅黑" w:hint="eastAsia"/>
            <w:snapToGrid/>
            <w:lang w:val="en-US" w:eastAsia="zh-CN"/>
          </w:rPr>
          <w:t>(二)、行业政策体系日趋完善</w:t>
        </w:r>
        <w:r>
          <w:tab/>
        </w:r>
        <w:r>
          <w:fldChar w:fldCharType="begin"/>
        </w:r>
        <w:r>
          <w:instrText xml:space="preserve"> PAGEREF _Toc9513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844" w:history="1">
        <w:r>
          <w:rPr>
            <w:rFonts w:eastAsia="微软雅黑" w:hint="eastAsia"/>
            <w:snapToGrid/>
            <w:lang w:val="en-US" w:eastAsia="zh-CN"/>
          </w:rPr>
          <w:t>(三)、一级市场火热,国内专利不断攀升</w:t>
        </w:r>
        <w:r>
          <w:tab/>
        </w:r>
        <w:r>
          <w:fldChar w:fldCharType="begin"/>
        </w:r>
        <w:r>
          <w:instrText xml:space="preserve"> PAGEREF _Toc26844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789" w:history="1">
        <w:r>
          <w:rPr>
            <w:rFonts w:eastAsia="微软雅黑" w:hint="eastAsia"/>
            <w:snapToGrid/>
            <w:lang w:val="en-US" w:eastAsia="zh-CN"/>
          </w:rPr>
          <w:t>(四)、宏观环境下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行业定位</w:t>
        </w:r>
        <w:r>
          <w:tab/>
        </w:r>
        <w:r>
          <w:fldChar w:fldCharType="begin"/>
        </w:r>
        <w:r>
          <w:instrText xml:space="preserve"> PAGEREF _Toc19789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327" w:history="1">
        <w:r>
          <w:rPr>
            <w:rFonts w:eastAsia="微软雅黑" w:hint="eastAsia"/>
            <w:snapToGrid/>
            <w:lang w:val="en-US" w:eastAsia="zh-CN"/>
          </w:rPr>
          <w:t>(五)、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行业绩显著</w:t>
        </w:r>
        <w:r>
          <w:tab/>
        </w:r>
        <w:r>
          <w:fldChar w:fldCharType="begin"/>
        </w:r>
        <w:r>
          <w:instrText xml:space="preserve"> PAGEREF _Toc13327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7034" w:history="1">
        <w:r>
          <w:rPr>
            <w:rFonts w:eastAsia="微软雅黑" w:hint="eastAsia"/>
            <w:snapToGrid/>
            <w:lang w:val="en-US" w:eastAsia="en-US"/>
          </w:rPr>
          <w:t>三、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行业(2024-2029)发展趋势预测</w:t>
        </w:r>
        <w:r>
          <w:tab/>
        </w:r>
        <w:r>
          <w:fldChar w:fldCharType="begin"/>
        </w:r>
        <w:r>
          <w:instrText xml:space="preserve"> PAGEREF _Toc7034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03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行业当下面临的机会和挑战</w:t>
        </w:r>
        <w:r>
          <w:tab/>
        </w:r>
        <w:r>
          <w:fldChar w:fldCharType="begin"/>
        </w:r>
        <w:r>
          <w:instrText xml:space="preserve"> PAGEREF _Toc19032 \h </w:instrText>
        </w:r>
        <w:r>
          <w:fldChar w:fldCharType="separate"/>
        </w:r>
        <w:r>
          <w:t>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9681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行业经营理念快速转变的意义</w:t>
        </w:r>
        <w:r>
          <w:tab/>
        </w:r>
        <w:r>
          <w:fldChar w:fldCharType="begin"/>
        </w:r>
        <w:r>
          <w:instrText xml:space="preserve"> PAGEREF _Toc9681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724" w:history="1">
        <w:r>
          <w:rPr>
            <w:rFonts w:eastAsia="微软雅黑" w:hint="eastAsia"/>
            <w:snapToGrid/>
            <w:lang w:val="en-US" w:eastAsia="zh-CN"/>
          </w:rPr>
          <w:t>(三)、整合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行业的技术服务</w:t>
        </w:r>
        <w:r>
          <w:tab/>
        </w:r>
        <w:r>
          <w:fldChar w:fldCharType="begin"/>
        </w:r>
        <w:r>
          <w:instrText xml:space="preserve"> PAGEREF _Toc21724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083" w:history="1">
        <w:r>
          <w:rPr>
            <w:rFonts w:eastAsia="微软雅黑" w:hint="eastAsia"/>
            <w:snapToGrid/>
            <w:lang w:val="en-US" w:eastAsia="zh-CN"/>
          </w:rPr>
          <w:t>(四)、迅速转变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行业企业的增长动力</w:t>
        </w:r>
        <w:r>
          <w:tab/>
        </w:r>
        <w:r>
          <w:fldChar w:fldCharType="begin"/>
        </w:r>
        <w:r>
          <w:instrText xml:space="preserve"> PAGEREF _Toc22083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8070" w:history="1">
        <w:r>
          <w:rPr>
            <w:rFonts w:eastAsia="微软雅黑" w:hint="eastAsia"/>
            <w:snapToGrid/>
            <w:lang w:val="en-US" w:eastAsia="en-US"/>
          </w:rPr>
          <w:t>四、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行业企业差异化突破战略</w:t>
        </w:r>
        <w:r>
          <w:tab/>
        </w:r>
        <w:r>
          <w:fldChar w:fldCharType="begin"/>
        </w:r>
        <w:r>
          <w:instrText xml:space="preserve"> PAGEREF _Toc28070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6165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行业产品差异化获取“商机”</w:t>
        </w:r>
        <w:r>
          <w:tab/>
        </w:r>
        <w:r>
          <w:fldChar w:fldCharType="begin"/>
        </w:r>
        <w:r>
          <w:instrText xml:space="preserve"> PAGEREF _Toc16165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19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行业市场分化赢得“商机”</w:t>
        </w:r>
        <w:r>
          <w:tab/>
        </w:r>
        <w:r>
          <w:fldChar w:fldCharType="begin"/>
        </w:r>
        <w:r>
          <w:instrText xml:space="preserve"> PAGEREF _Toc1119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7791" w:history="1">
        <w:r>
          <w:rPr>
            <w:rFonts w:eastAsia="微软雅黑" w:hint="eastAsia"/>
            <w:snapToGrid/>
            <w:lang w:val="en-US" w:eastAsia="zh-CN"/>
          </w:rPr>
          <w:t>(三)、以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行业服务差异化“抓住”商机</w:t>
        </w:r>
        <w:r>
          <w:tab/>
        </w:r>
        <w:r>
          <w:fldChar w:fldCharType="begin"/>
        </w:r>
        <w:r>
          <w:instrText xml:space="preserve"> PAGEREF _Toc17791 \h </w:instrText>
        </w:r>
        <w:r>
          <w:fldChar w:fldCharType="separate"/>
        </w:r>
        <w:r>
          <w:t>12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995" w:history="1">
        <w:r>
          <w:rPr>
            <w:rFonts w:eastAsia="微软雅黑" w:hint="eastAsia"/>
            <w:snapToGrid/>
            <w:lang w:val="en-US" w:eastAsia="zh-CN"/>
          </w:rPr>
          <w:t>(四)、用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行业客户差异化“抓住”商机</w:t>
        </w:r>
        <w:r>
          <w:tab/>
        </w:r>
        <w:r>
          <w:fldChar w:fldCharType="begin"/>
        </w:r>
        <w:r>
          <w:instrText xml:space="preserve"> PAGEREF _Toc21995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2191" w:history="1">
        <w:r>
          <w:rPr>
            <w:rFonts w:eastAsia="微软雅黑" w:hint="eastAsia"/>
            <w:snapToGrid/>
            <w:lang w:val="en-US" w:eastAsia="zh-CN"/>
          </w:rPr>
          <w:t>(五)、以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行业渠道差异化“争取”商机</w:t>
        </w:r>
        <w:r>
          <w:tab/>
        </w:r>
        <w:r>
          <w:fldChar w:fldCharType="begin"/>
        </w:r>
        <w:r>
          <w:instrText xml:space="preserve"> PAGEREF _Toc22191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197" w:history="1">
        <w:r>
          <w:rPr>
            <w:rFonts w:eastAsia="微软雅黑" w:hint="eastAsia"/>
            <w:snapToGrid/>
            <w:lang w:val="en-US" w:eastAsia="en-US"/>
          </w:rPr>
          <w:t>五、2024-2029年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行业企业市场突破具体策略</w:t>
        </w:r>
        <w:r>
          <w:tab/>
        </w:r>
        <w:r>
          <w:fldChar w:fldCharType="begin"/>
        </w:r>
        <w:r>
          <w:instrText xml:space="preserve"> PAGEREF _Toc30197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9551" w:history="1">
        <w:r>
          <w:rPr>
            <w:rFonts w:eastAsia="微软雅黑" w:hint="eastAsia"/>
            <w:snapToGrid/>
            <w:lang w:val="en-US" w:eastAsia="en-US"/>
          </w:rPr>
          <w:t>(一)、密切关注竞争对手的策略，提高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行业产品在行业内的竞争力</w:t>
        </w:r>
        <w:r>
          <w:tab/>
        </w:r>
        <w:r>
          <w:fldChar w:fldCharType="begin"/>
        </w:r>
        <w:r>
          <w:instrText xml:space="preserve"> PAGEREF _Toc19551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07" w:history="1">
        <w:r>
          <w:rPr>
            <w:rFonts w:eastAsia="微软雅黑" w:hint="eastAsia"/>
            <w:snapToGrid/>
            <w:lang w:val="en-US" w:eastAsia="zh-CN"/>
          </w:rPr>
          <w:t>(二)、使用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行业市场渗透策略，不断开发新客户</w:t>
        </w:r>
        <w:r>
          <w:tab/>
        </w:r>
        <w:r>
          <w:fldChar w:fldCharType="begin"/>
        </w:r>
        <w:r>
          <w:instrText xml:space="preserve"> PAGEREF _Toc8607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0936" w:history="1">
        <w:r>
          <w:rPr>
            <w:rFonts w:eastAsia="微软雅黑" w:hint="eastAsia"/>
            <w:snapToGrid/>
            <w:lang w:val="en-US" w:eastAsia="zh-CN"/>
          </w:rPr>
          <w:t>(三)、实施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行业市场发展战略，不断开拓各类市场创新源</w:t>
        </w:r>
        <w:r>
          <w:tab/>
        </w:r>
        <w:r>
          <w:fldChar w:fldCharType="begin"/>
        </w:r>
        <w:r>
          <w:instrText xml:space="preserve"> PAGEREF _Toc30936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17" w:history="1">
        <w:r>
          <w:rPr>
            <w:rFonts w:eastAsia="微软雅黑" w:hint="eastAsia"/>
            <w:snapToGrid/>
            <w:lang w:val="en-US" w:eastAsia="zh-CN"/>
          </w:rPr>
          <w:t>(四)、不断提高产品质量，建立覆盖完善的服务体系</w:t>
        </w:r>
        <w:r>
          <w:tab/>
        </w:r>
        <w:r>
          <w:fldChar w:fldCharType="begin"/>
        </w:r>
        <w:r>
          <w:instrText xml:space="preserve"> PAGEREF _Toc3317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420" w:history="1">
        <w:r>
          <w:rPr>
            <w:rFonts w:eastAsia="微软雅黑" w:hint="eastAsia"/>
            <w:snapToGrid/>
            <w:lang w:val="en-US" w:eastAsia="zh-CN"/>
          </w:rPr>
          <w:t>(五)、实施线上线下融合，深化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行业国内外市场拓展</w:t>
        </w:r>
        <w:r>
          <w:tab/>
        </w:r>
        <w:r>
          <w:fldChar w:fldCharType="begin"/>
        </w:r>
        <w:r>
          <w:instrText xml:space="preserve"> PAGEREF _Toc26420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464" w:history="1">
        <w:r>
          <w:rPr>
            <w:rFonts w:eastAsia="微软雅黑" w:hint="eastAsia"/>
            <w:snapToGrid/>
            <w:lang w:val="en-US" w:eastAsia="zh-CN"/>
          </w:rPr>
          <w:t>(六)、在市场开发中结合渗透和其他策略</w:t>
        </w:r>
        <w:r>
          <w:tab/>
        </w:r>
        <w:r>
          <w:fldChar w:fldCharType="begin"/>
        </w:r>
        <w:r>
          <w:instrText xml:space="preserve"> PAGEREF _Toc10464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30223" w:history="1">
        <w:r>
          <w:rPr>
            <w:rFonts w:eastAsia="微软雅黑" w:hint="eastAsia"/>
            <w:snapToGrid/>
            <w:lang w:val="en-US" w:eastAsia="en-US"/>
          </w:rPr>
          <w:t>六、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行业财务状况分析</w:t>
        </w:r>
        <w:r>
          <w:tab/>
        </w:r>
        <w:r>
          <w:fldChar w:fldCharType="begin"/>
        </w:r>
        <w:r>
          <w:instrText xml:space="preserve"> PAGEREF _Toc30223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486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行业近三年财务数据及指标分析</w:t>
        </w:r>
        <w:r>
          <w:tab/>
        </w:r>
        <w:r>
          <w:fldChar w:fldCharType="begin"/>
        </w:r>
        <w:r>
          <w:instrText xml:space="preserve"> PAGEREF _Toc3486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6768" w:history="1">
        <w:r>
          <w:rPr>
            <w:rFonts w:eastAsia="微软雅黑" w:hint="eastAsia"/>
            <w:snapToGrid/>
            <w:lang w:val="en-US" w:eastAsia="zh-CN"/>
          </w:rPr>
          <w:t>(二)、现金流对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行业的影响</w:t>
        </w:r>
        <w:r>
          <w:tab/>
        </w:r>
        <w:r>
          <w:fldChar w:fldCharType="begin"/>
        </w:r>
        <w:r>
          <w:instrText xml:space="preserve"> PAGEREF _Toc26768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2028" w:history="1">
        <w:r>
          <w:rPr>
            <w:rFonts w:eastAsia="微软雅黑" w:hint="eastAsia"/>
            <w:snapToGrid/>
            <w:lang w:val="en-US" w:eastAsia="en-US"/>
          </w:rPr>
          <w:t>七、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行业风险控制解析</w:t>
        </w:r>
        <w:r>
          <w:tab/>
        </w:r>
        <w:r>
          <w:fldChar w:fldCharType="begin"/>
        </w:r>
        <w:r>
          <w:instrText xml:space="preserve"> PAGEREF _Toc22028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0512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行业系统风险分析</w:t>
        </w:r>
        <w:r>
          <w:tab/>
        </w:r>
        <w:r>
          <w:fldChar w:fldCharType="begin"/>
        </w:r>
        <w:r>
          <w:instrText xml:space="preserve"> PAGEREF _Toc10512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  <w:sectPr>
          <w:footerReference w:type="default" r:id="rId4"/>
          <w:pgSz w:w="11906" w:h="16838"/>
          <w:pgMar w:top="1134" w:right="1474" w:bottom="1134" w:left="1474" w:header="708" w:footer="708" w:gutter="0"/>
          <w:pgNumType w:start="2"/>
          <w:cols w:num="1" w:sep="1" w:space="708"/>
          <w:vAlign w:val="top"/>
          <w:titlePg w:val="0"/>
          <w:docGrid w:linePitch="360" w:charSpace="0"/>
        </w:sectPr>
      </w:pPr>
      <w:hyperlink w:anchor="_Toc23117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行业第二产业的经营风险</w:t>
        </w:r>
        <w:r>
          <w:tab/>
        </w:r>
        <w:r>
          <w:fldChar w:fldCharType="begin"/>
        </w:r>
        <w:r>
          <w:instrText xml:space="preserve"> PAGEREF _Toc23117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520" w:history="1">
        <w:r>
          <w:rPr>
            <w:rFonts w:eastAsia="微软雅黑" w:hint="eastAsia"/>
            <w:snapToGrid/>
            <w:lang w:val="en-US" w:eastAsia="en-US"/>
          </w:rPr>
          <w:t>八、2024-2029年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行业市场运行趋势及存在问题分析</w:t>
        </w:r>
        <w:r>
          <w:tab/>
        </w:r>
        <w:r>
          <w:fldChar w:fldCharType="begin"/>
        </w:r>
        <w:r>
          <w:instrText xml:space="preserve"> PAGEREF _Toc4520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790" w:history="1">
        <w:r>
          <w:rPr>
            <w:rFonts w:eastAsia="微软雅黑" w:hint="eastAsia"/>
            <w:snapToGrid/>
            <w:lang w:val="en-US" w:eastAsia="en-US"/>
          </w:rPr>
          <w:t>(一)、2024-2029年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行业市场运行动态分析</w:t>
        </w:r>
        <w:r>
          <w:tab/>
        </w:r>
        <w:r>
          <w:fldChar w:fldCharType="begin"/>
        </w:r>
        <w:r>
          <w:instrText xml:space="preserve"> PAGEREF _Toc27790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9286" w:history="1">
        <w:r>
          <w:rPr>
            <w:rFonts w:eastAsia="微软雅黑" w:hint="eastAsia"/>
            <w:snapToGrid/>
            <w:lang w:val="en-US" w:eastAsia="zh-CN"/>
          </w:rPr>
          <w:t>(二)、现阶段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_Toc29286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339" w:history="1">
        <w:r>
          <w:rPr>
            <w:rFonts w:eastAsia="微软雅黑" w:hint="eastAsia"/>
            <w:snapToGrid/>
            <w:lang w:val="en-US" w:eastAsia="zh-CN"/>
          </w:rPr>
          <w:t>(三)、现阶段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行业存在的问题</w:t>
        </w:r>
        <w:r>
          <w:tab/>
        </w:r>
        <w:r>
          <w:fldChar w:fldCharType="begin"/>
        </w:r>
        <w:r>
          <w:instrText xml:space="preserve"> PAGEREF _Toc4339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557" w:history="1">
        <w:r>
          <w:rPr>
            <w:rFonts w:eastAsia="微软雅黑" w:hint="eastAsia"/>
            <w:snapToGrid/>
            <w:lang w:val="en-US" w:eastAsia="zh-CN"/>
          </w:rPr>
          <w:t>(四)、规范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行业的发展</w:t>
        </w:r>
        <w:r>
          <w:tab/>
        </w:r>
        <w:r>
          <w:fldChar w:fldCharType="begin"/>
        </w:r>
        <w:r>
          <w:instrText xml:space="preserve"> PAGEREF _Toc2557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12792" w:history="1">
        <w:r>
          <w:rPr>
            <w:rFonts w:eastAsia="微软雅黑" w:hint="eastAsia"/>
            <w:snapToGrid/>
            <w:lang w:val="en-US" w:eastAsia="en-US"/>
          </w:rPr>
          <w:t>九、关于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行业发展战略规划的建议</w:t>
        </w:r>
        <w:r>
          <w:tab/>
        </w:r>
        <w:r>
          <w:fldChar w:fldCharType="begin"/>
        </w:r>
        <w:r>
          <w:instrText xml:space="preserve"> PAGEREF _Toc12792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374" w:history="1">
        <w:r>
          <w:rPr>
            <w:rFonts w:eastAsia="微软雅黑" w:hint="eastAsia"/>
            <w:snapToGrid/>
            <w:lang w:val="en-US" w:eastAsia="en-US"/>
          </w:rPr>
          <w:t>(一)、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行业战略规划简介</w:t>
        </w:r>
        <w:r>
          <w:tab/>
        </w:r>
        <w:r>
          <w:fldChar w:fldCharType="begin"/>
        </w:r>
        <w:r>
          <w:instrText xml:space="preserve"> PAGEREF _Toc3374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7367" w:history="1">
        <w:r>
          <w:rPr>
            <w:rFonts w:eastAsia="微软雅黑" w:hint="eastAsia"/>
            <w:snapToGrid/>
            <w:lang w:val="en-US" w:eastAsia="zh-CN"/>
          </w:rPr>
          <w:t>1、行业的社会化</w:t>
        </w:r>
        <w:r>
          <w:tab/>
        </w:r>
        <w:r>
          <w:fldChar w:fldCharType="begin"/>
        </w:r>
        <w:r>
          <w:instrText xml:space="preserve"> PAGEREF _Toc7367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3"/>
        <w:tabs>
          <w:tab w:val="right" w:leader="dot" w:pos="8958"/>
        </w:tabs>
      </w:pPr>
      <w:hyperlink w:anchor="_Toc31292" w:history="1">
        <w:r>
          <w:rPr>
            <w:rFonts w:eastAsia="微软雅黑" w:hint="eastAsia"/>
            <w:snapToGrid/>
            <w:lang w:val="en-US" w:eastAsia="zh-CN"/>
          </w:rPr>
          <w:t>2、行业的规模化</w:t>
        </w:r>
        <w:r>
          <w:tab/>
        </w:r>
        <w:r>
          <w:fldChar w:fldCharType="begin"/>
        </w:r>
        <w:r>
          <w:instrText xml:space="preserve"> PAGEREF _Toc31292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1603" w:history="1">
        <w:r>
          <w:rPr>
            <w:rFonts w:eastAsia="微软雅黑" w:hint="eastAsia"/>
            <w:snapToGrid/>
            <w:lang w:val="en-US" w:eastAsia="zh-CN"/>
          </w:rPr>
          <w:t>(二)、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行业的市场应用方向</w:t>
        </w:r>
        <w:r>
          <w:tab/>
        </w:r>
        <w:r>
          <w:fldChar w:fldCharType="begin"/>
        </w:r>
        <w:r>
          <w:instrText xml:space="preserve"> PAGEREF _Toc11603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79" w:history="1">
        <w:r>
          <w:rPr>
            <w:rFonts w:eastAsia="微软雅黑" w:hint="eastAsia"/>
            <w:snapToGrid/>
            <w:lang w:val="en-US" w:eastAsia="zh-CN"/>
          </w:rPr>
          <w:t>(三)、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行业的发展重点</w:t>
        </w:r>
        <w:r>
          <w:tab/>
        </w:r>
        <w:r>
          <w:fldChar w:fldCharType="begin"/>
        </w:r>
        <w:r>
          <w:instrText xml:space="preserve"> PAGEREF _Toc8479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4152" w:history="1">
        <w:r>
          <w:rPr>
            <w:rFonts w:eastAsia="微软雅黑" w:hint="eastAsia"/>
            <w:snapToGrid/>
            <w:lang w:val="en-US" w:eastAsia="en-US"/>
          </w:rPr>
          <w:t>十、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产业投资分析</w:t>
        </w:r>
        <w:r>
          <w:tab/>
        </w:r>
        <w:r>
          <w:fldChar w:fldCharType="begin"/>
        </w:r>
        <w:r>
          <w:instrText xml:space="preserve"> PAGEREF _Toc4152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066" w:history="1">
        <w:r>
          <w:rPr>
            <w:rFonts w:eastAsia="微软雅黑" w:hint="eastAsia"/>
            <w:snapToGrid/>
            <w:lang w:val="en-US" w:eastAsia="en-US"/>
          </w:rPr>
          <w:t>(一)、中国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行业技术投资趋势分析</w:t>
        </w:r>
        <w:r>
          <w:tab/>
        </w:r>
        <w:r>
          <w:fldChar w:fldCharType="begin"/>
        </w:r>
        <w:r>
          <w:instrText xml:space="preserve"> PAGEREF _Toc20066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8850" w:history="1">
        <w:r>
          <w:rPr>
            <w:rFonts w:eastAsia="微软雅黑" w:hint="eastAsia"/>
            <w:snapToGrid/>
            <w:lang w:val="en-US" w:eastAsia="zh-CN"/>
          </w:rPr>
          <w:t>(二)、大项目招商时代已过,精准招商愈发时兴</w:t>
        </w:r>
        <w:r>
          <w:tab/>
        </w:r>
        <w:r>
          <w:fldChar w:fldCharType="begin"/>
        </w:r>
        <w:r>
          <w:instrText xml:space="preserve"> PAGEREF _Toc28850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67" w:history="1">
        <w:r>
          <w:rPr>
            <w:rFonts w:eastAsia="微软雅黑" w:hint="eastAsia"/>
            <w:snapToGrid/>
            <w:lang w:val="en-US" w:eastAsia="zh-CN"/>
          </w:rPr>
          <w:t>(三)、中国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行业投资风险</w:t>
        </w:r>
        <w:r>
          <w:tab/>
        </w:r>
        <w:r>
          <w:fldChar w:fldCharType="begin"/>
        </w:r>
        <w:r>
          <w:instrText xml:space="preserve"> PAGEREF _Toc13767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3334" w:history="1">
        <w:r>
          <w:rPr>
            <w:rFonts w:eastAsia="微软雅黑" w:hint="eastAsia"/>
            <w:snapToGrid/>
            <w:lang w:val="en-US" w:eastAsia="zh-CN"/>
          </w:rPr>
          <w:t>(四)、中国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行业投资收益</w:t>
        </w:r>
        <w:r>
          <w:tab/>
        </w:r>
        <w:r>
          <w:fldChar w:fldCharType="begin"/>
        </w:r>
        <w:r>
          <w:instrText xml:space="preserve"> PAGEREF _Toc23334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25379" w:history="1">
        <w:r>
          <w:rPr>
            <w:rFonts w:eastAsia="微软雅黑" w:hint="eastAsia"/>
            <w:snapToGrid/>
            <w:lang w:val="en-US" w:eastAsia="en-US"/>
          </w:rPr>
          <w:t>十一、“疫情”对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行业可持续发展目标的影响及对策</w:t>
        </w:r>
        <w:r>
          <w:tab/>
        </w:r>
        <w:r>
          <w:fldChar w:fldCharType="begin"/>
        </w:r>
        <w:r>
          <w:instrText xml:space="preserve"> PAGEREF _Toc25379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462" w:history="1">
        <w:r>
          <w:rPr>
            <w:rFonts w:eastAsia="微软雅黑" w:hint="eastAsia"/>
            <w:snapToGrid/>
            <w:lang w:val="en-US" w:eastAsia="zh-CN"/>
          </w:rPr>
          <w:t>(一)、国内有关政府机构对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行业的建议</w:t>
        </w:r>
        <w:r>
          <w:tab/>
        </w:r>
        <w:r>
          <w:fldChar w:fldCharType="begin"/>
        </w:r>
        <w:r>
          <w:instrText xml:space="preserve"> PAGEREF _Toc8462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7415" w:history="1">
        <w:r>
          <w:rPr>
            <w:rFonts w:eastAsia="微软雅黑" w:hint="eastAsia"/>
            <w:snapToGrid/>
            <w:lang w:val="en-US" w:eastAsia="zh-CN"/>
          </w:rPr>
          <w:t>(二)、关于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产业上下游产业合作的建议</w:t>
        </w:r>
        <w:r>
          <w:tab/>
        </w:r>
        <w:r>
          <w:fldChar w:fldCharType="begin"/>
        </w:r>
        <w:r>
          <w:instrText xml:space="preserve"> PAGEREF _Toc27415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625" w:history="1">
        <w:r>
          <w:rPr>
            <w:rFonts w:eastAsia="微软雅黑" w:hint="eastAsia"/>
            <w:snapToGrid/>
            <w:lang w:val="en-US" w:eastAsia="zh-CN"/>
          </w:rPr>
          <w:t>(三)、突破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行业企业疫情的策略</w:t>
        </w:r>
        <w:r>
          <w:tab/>
        </w:r>
        <w:r>
          <w:fldChar w:fldCharType="begin"/>
        </w:r>
        <w:r>
          <w:instrText xml:space="preserve"> PAGEREF _Toc12625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958"/>
        </w:tabs>
      </w:pPr>
      <w:hyperlink w:anchor="_Toc8845" w:history="1">
        <w:r>
          <w:rPr>
            <w:rFonts w:eastAsia="微软雅黑" w:hint="eastAsia"/>
            <w:snapToGrid/>
            <w:lang w:val="en-US" w:eastAsia="en-US"/>
          </w:rPr>
          <w:t>十二、</w:t>
        </w:r>
        <w:r>
          <w:rPr>
            <w:rFonts w:eastAsia="微软雅黑" w:hint="eastAsia"/>
            <w:snapToGrid/>
            <w:lang w:val="en-US" w:eastAsia="en-US"/>
          </w:rPr>
          <w:t>石材加工设备</w:t>
        </w:r>
        <w:r>
          <w:rPr>
            <w:rFonts w:eastAsia="微软雅黑" w:hint="eastAsia"/>
            <w:snapToGrid/>
            <w:lang w:val="en-US" w:eastAsia="en-US"/>
          </w:rPr>
          <w:t>行业多元化趋势</w:t>
        </w:r>
        <w:r>
          <w:tab/>
        </w:r>
        <w:r>
          <w:fldChar w:fldCharType="begin"/>
        </w:r>
        <w:r>
          <w:instrText xml:space="preserve"> PAGEREF _Toc8845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2365" w:history="1">
        <w:r>
          <w:rPr>
            <w:rFonts w:eastAsia="微软雅黑" w:hint="eastAsia"/>
            <w:snapToGrid/>
            <w:lang w:val="en-US" w:eastAsia="en-US"/>
          </w:rPr>
          <w:t>(一)、宏观机制升级</w:t>
        </w:r>
        <w:r>
          <w:tab/>
        </w:r>
        <w:r>
          <w:fldChar w:fldCharType="begin"/>
        </w:r>
        <w:r>
          <w:instrText xml:space="preserve"> PAGEREF _Toc12365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6946" w:history="1">
        <w:r>
          <w:rPr>
            <w:rFonts w:eastAsia="微软雅黑" w:hint="eastAsia"/>
            <w:snapToGrid/>
            <w:lang w:val="en-US" w:eastAsia="zh-CN"/>
          </w:rPr>
          <w:t>(二)、服务模式多元化</w:t>
        </w:r>
        <w:r>
          <w:tab/>
        </w:r>
        <w:r>
          <w:fldChar w:fldCharType="begin"/>
        </w:r>
        <w:r>
          <w:instrText xml:space="preserve"> PAGEREF _Toc6946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586" w:history="1">
        <w:r>
          <w:rPr>
            <w:rFonts w:eastAsia="微软雅黑" w:hint="eastAsia"/>
            <w:snapToGrid/>
            <w:lang w:val="en-US" w:eastAsia="zh-CN"/>
          </w:rPr>
          <w:t>(三)、新的价格战将不可避免</w:t>
        </w:r>
        <w:r>
          <w:tab/>
        </w:r>
        <w:r>
          <w:fldChar w:fldCharType="begin"/>
        </w:r>
        <w:r>
          <w:instrText xml:space="preserve"> PAGEREF _Toc13586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1481" w:history="1">
        <w:r>
          <w:rPr>
            <w:rFonts w:eastAsia="微软雅黑" w:hint="eastAsia"/>
            <w:snapToGrid/>
            <w:lang w:val="en-US" w:eastAsia="zh-CN"/>
          </w:rPr>
          <w:t>(四)、社会化特征增强</w:t>
        </w:r>
        <w:r>
          <w:tab/>
        </w:r>
        <w:r>
          <w:fldChar w:fldCharType="begin"/>
        </w:r>
        <w:r>
          <w:instrText xml:space="preserve"> PAGEREF _Toc21481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32164" w:history="1">
        <w:r>
          <w:rPr>
            <w:rFonts w:eastAsia="微软雅黑" w:hint="eastAsia"/>
            <w:snapToGrid/>
            <w:lang w:val="en-US" w:eastAsia="zh-CN"/>
          </w:rPr>
          <w:t>(五)、信息化实施力度加大</w:t>
        </w:r>
        <w:r>
          <w:tab/>
        </w:r>
        <w:r>
          <w:fldChar w:fldCharType="begin"/>
        </w:r>
        <w:r>
          <w:instrText xml:space="preserve"> PAGEREF _Toc32164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8722" w:history="1">
        <w:r>
          <w:rPr>
            <w:rFonts w:eastAsia="微软雅黑" w:hint="eastAsia"/>
            <w:snapToGrid/>
            <w:lang w:val="en-US" w:eastAsia="zh-CN"/>
          </w:rPr>
          <w:t>(六)、生态化建设进一步开放</w:t>
        </w:r>
        <w:r>
          <w:tab/>
        </w:r>
        <w:r>
          <w:fldChar w:fldCharType="begin"/>
        </w:r>
        <w:r>
          <w:instrText xml:space="preserve"> PAGEREF _Toc18722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4921" w:history="1">
        <w:r>
          <w:rPr>
            <w:rFonts w:eastAsia="微软雅黑" w:hint="eastAsia"/>
            <w:snapToGrid/>
            <w:lang w:val="en-US" w:eastAsia="zh-CN"/>
          </w:rPr>
          <w:t>(七)、呈现集群化分布</w:t>
        </w:r>
        <w:r>
          <w:tab/>
        </w:r>
        <w:r>
          <w:fldChar w:fldCharType="begin"/>
        </w:r>
        <w:r>
          <w:instrText xml:space="preserve"> PAGEREF _Toc14921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930" w:history="1">
        <w:r>
          <w:rPr>
            <w:rFonts w:eastAsia="微软雅黑" w:hint="eastAsia"/>
            <w:snapToGrid/>
            <w:lang w:val="en-US" w:eastAsia="zh-CN"/>
          </w:rPr>
          <w:t>(八)、各信息化厂商推动</w:t>
        </w:r>
        <w:r>
          <w:rPr>
            <w:rFonts w:eastAsia="微软雅黑" w:hint="eastAsia"/>
            <w:snapToGrid/>
            <w:lang w:val="en-US" w:eastAsia="zh-CN"/>
          </w:rPr>
          <w:t>石材加工设备</w:t>
        </w:r>
        <w:r>
          <w:rPr>
            <w:rFonts w:eastAsia="微软雅黑" w:hint="eastAsia"/>
            <w:snapToGrid/>
            <w:lang w:val="en-US" w:eastAsia="zh-CN"/>
          </w:rPr>
          <w:t>行业发展</w:t>
        </w:r>
        <w:r>
          <w:tab/>
        </w:r>
        <w:r>
          <w:fldChar w:fldCharType="begin"/>
        </w:r>
        <w:r>
          <w:instrText xml:space="preserve"> PAGEREF _Toc8930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0511" w:history="1">
        <w:r>
          <w:rPr>
            <w:rFonts w:eastAsia="微软雅黑" w:hint="eastAsia"/>
            <w:snapToGrid/>
            <w:lang w:val="en-US" w:eastAsia="zh-CN"/>
          </w:rPr>
          <w:t>(九)、政府采购政策加码</w:t>
        </w:r>
        <w:r>
          <w:tab/>
        </w:r>
        <w:r>
          <w:fldChar w:fldCharType="begin"/>
        </w:r>
        <w:r>
          <w:instrText xml:space="preserve"> PAGEREF _Toc20511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44" w:history="1">
        <w:r>
          <w:rPr>
            <w:rFonts w:eastAsia="微软雅黑" w:hint="eastAsia"/>
            <w:snapToGrid/>
            <w:lang w:val="en-US" w:eastAsia="zh-CN"/>
          </w:rPr>
          <w:t>(十)、个性化定制受宠</w:t>
        </w:r>
        <w:r>
          <w:tab/>
        </w:r>
        <w:r>
          <w:fldChar w:fldCharType="begin"/>
        </w:r>
        <w:r>
          <w:instrText xml:space="preserve"> PAGEREF _Toc444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13718" w:history="1">
        <w:r>
          <w:rPr>
            <w:rFonts w:eastAsia="微软雅黑" w:hint="eastAsia"/>
            <w:snapToGrid/>
            <w:lang w:val="en-US" w:eastAsia="zh-CN"/>
          </w:rPr>
          <w:t>(十一)、品牌不断强化</w:t>
        </w:r>
        <w:r>
          <w:tab/>
        </w:r>
        <w:r>
          <w:fldChar w:fldCharType="begin"/>
        </w:r>
        <w:r>
          <w:instrText xml:space="preserve"> PAGEREF _Toc13718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8681" w:history="1">
        <w:r>
          <w:rPr>
            <w:rFonts w:eastAsia="微软雅黑" w:hint="eastAsia"/>
            <w:snapToGrid/>
            <w:lang w:val="en-US" w:eastAsia="zh-CN"/>
          </w:rPr>
          <w:t>(十二)、互联网已经成为标配“风生水起“</w:t>
        </w:r>
        <w:r>
          <w:tab/>
        </w:r>
        <w:r>
          <w:fldChar w:fldCharType="begin"/>
        </w:r>
        <w:r>
          <w:instrText xml:space="preserve"> PAGEREF _Toc8681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24446" w:history="1">
        <w:r>
          <w:rPr>
            <w:rFonts w:eastAsia="微软雅黑" w:hint="eastAsia"/>
            <w:snapToGrid/>
            <w:lang w:val="en-US" w:eastAsia="zh-CN"/>
          </w:rPr>
          <w:t>(十三)、一体式服务为发展趋势</w:t>
        </w:r>
        <w:r>
          <w:tab/>
        </w:r>
        <w:r>
          <w:fldChar w:fldCharType="begin"/>
        </w:r>
        <w:r>
          <w:instrText xml:space="preserve"> PAGEREF _Toc24446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958"/>
        </w:tabs>
      </w:pPr>
      <w:hyperlink w:anchor="_Toc4229" w:history="1">
        <w:r>
          <w:rPr>
            <w:rFonts w:eastAsia="微软雅黑" w:hint="eastAsia"/>
            <w:snapToGrid/>
            <w:lang w:val="en-US" w:eastAsia="zh-CN"/>
          </w:rPr>
          <w:t>(十四)、政策手段的奖惩力度加大</w:t>
        </w:r>
        <w:r>
          <w:tab/>
        </w:r>
        <w:r>
          <w:fldChar w:fldCharType="begin"/>
        </w:r>
        <w:r>
          <w:instrText xml:space="preserve"> PAGEREF _Toc4229 \h </w:instrText>
        </w:r>
        <w:r>
          <w:fldChar w:fldCharType="separate"/>
        </w:r>
        <w:r>
          <w:t>34</w:t>
        </w:r>
        <w:r>
          <w:fldChar w:fldCharType="end"/>
        </w:r>
      </w:hyperlink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5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https://d.book118.com/215301123341011033</w:t>
        </w:r>
      </w:hyperlink>
    </w:p>
    <w:p>
      <w:pPr>
        <w:pStyle w:val="TOC2"/>
        <w:tabs>
          <w:tab w:val="right" w:leader="dot" w:pos="8958"/>
        </w:tabs>
      </w:pPr>
    </w:p>
    <w:sectPr>
      <w:footerReference w:type="default" r:id="rId6"/>
      <w:type w:val="nextPage"/>
      <w:pgSz w:w="11906" w:h="16838"/>
      <w:pgMar w:top="1134" w:right="1474" w:bottom="1134" w:left="1474" w:header="708" w:footer="708" w:gutter="0"/>
      <w:pgNumType w:start="3"/>
      <w:cols w:num="1" w:sep="1" w:space="708"/>
      <w:vAlign w:val="top"/>
      <w:titlePg w:val="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2</w:t>
    </w:r>
    <w:r>
      <w:rPr>
        <w:sz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Normal0"/>
      <w:jc w:val="center"/>
      <w:rPr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3</w:t>
    </w:r>
    <w:r>
      <w:rPr>
        <w:sz w:val="20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0182124A"/>
    <w:rsid w:val="06E24289"/>
    <w:rsid w:val="11CF29B4"/>
    <w:rsid w:val="12947766"/>
    <w:rsid w:val="22051117"/>
    <w:rsid w:val="2C662CED"/>
    <w:rsid w:val="2ED30C2E"/>
    <w:rsid w:val="419848E4"/>
    <w:rsid w:val="470B3DF4"/>
    <w:rsid w:val="515E59ED"/>
    <w:rsid w:val="65A46E2F"/>
    <w:rsid w:val="71EB0F45"/>
    <w:rsid w:val="7D8D6C79"/>
  </w:rsids>
  <w:docVars>
    <w:docVar w:name="commondata" w:val="eyJoZGlkIjoiODkzZjBjOTFhODcyNGUzNzA2YTQ4ZTJjNjI5M2JiODgifQ=="/>
  </w:docVar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rPr>
      <w:rFonts w:ascii="Times New Roman" w:hAnsi="Times New Roman" w:eastAsiaTheme="minorEastAsia" w:cs="Times New Roman"/>
      <w:sz w:val="24"/>
      <w:szCs w:val="24"/>
      <w:lang w:val="en-US" w:eastAsia="zh-CN" w:bidi="ar-SA"/>
    </w:rPr>
  </w:style>
  <w:style w:type="paragraph" w:styleId="Heading1">
    <w:name w:val="heading 1"/>
    <w:basedOn w:val="Title"/>
    <w:next w:val="Normal0"/>
    <w:qFormat/>
    <w:pPr>
      <w:keepNext/>
      <w:keepLines/>
      <w:snapToGrid w:val="0"/>
      <w:spacing w:before="340" w:beforeLines="0" w:beforeAutospacing="0" w:after="330" w:afterLines="0" w:afterAutospacing="0" w:line="624" w:lineRule="auto"/>
      <w:jc w:val="left"/>
      <w:outlineLvl w:val="0"/>
    </w:pPr>
    <w:rPr>
      <w:rFonts w:ascii="Times New Roman" w:eastAsia="微软雅黑" w:hAnsi="Times New Roman" w:cs="Times New Roman"/>
      <w:b w:val="0"/>
      <w:color w:val="000000"/>
      <w:kern w:val="44"/>
      <w:sz w:val="36"/>
      <w:lang w:eastAsia="en-US"/>
      <w14:textFill>
        <w14:solidFill>
          <w14:schemeClr w14:val="tx1"/>
        </w14:solidFill>
      </w14:textFill>
    </w:rPr>
  </w:style>
  <w:style w:type="paragraph" w:styleId="Heading2">
    <w:name w:val="heading 2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  <w:lang w:eastAsia="en-US"/>
    </w:rPr>
  </w:style>
  <w:style w:type="paragraph" w:styleId="Heading3">
    <w:name w:val="heading 3"/>
    <w:basedOn w:val="Normal"/>
    <w:next w:val="Normal0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rFonts w:eastAsia="等线"/>
      <w:b/>
      <w:sz w:val="32"/>
      <w:lang w:eastAsia="en-US"/>
    </w:rPr>
  </w:style>
  <w:style w:type="character" w:default="1" w:styleId="DefaultParagraphFont">
    <w:name w:val="Default Paragraph Font"/>
    <w:semiHidden/>
    <w:qFormat/>
  </w:style>
  <w:style w:type="table" w:default="1" w:styleId="TableNormal">
    <w:name w:val="Normal Table"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0">
    <w:name w:val="Normal_0"/>
    <w:qFormat/>
    <w:rPr>
      <w:rFonts w:ascii="Times New Roman" w:eastAsia="等线" w:hAnsi="Times New Roman" w:cs="Times New Roman"/>
      <w:sz w:val="24"/>
      <w:szCs w:val="24"/>
      <w:lang w:val="en-US" w:eastAsia="en-US" w:bidi="ar-SA"/>
    </w:rPr>
  </w:style>
  <w:style w:type="paragraph" w:styleId="TOC1">
    <w:name w:val="toc 1"/>
    <w:basedOn w:val="Normal"/>
    <w:next w:val="Normal0"/>
    <w:rPr>
      <w:rFonts w:eastAsia="等线"/>
      <w:lang w:eastAsia="en-US"/>
    </w:rPr>
  </w:style>
  <w:style w:type="paragraph" w:styleId="TOC2">
    <w:name w:val="toc 2"/>
    <w:basedOn w:val="Normal"/>
    <w:next w:val="Normal0"/>
    <w:pPr>
      <w:ind w:left="420" w:leftChars="200"/>
    </w:pPr>
    <w:rPr>
      <w:rFonts w:eastAsia="等线"/>
      <w:lang w:eastAsia="en-US"/>
    </w:rPr>
  </w:style>
  <w:style w:type="paragraph" w:styleId="TOC3">
    <w:name w:val="toc 3"/>
    <w:basedOn w:val="Normal"/>
    <w:next w:val="Normal0"/>
    <w:pPr>
      <w:ind w:left="840" w:leftChars="400"/>
    </w:pPr>
    <w:rPr>
      <w:rFonts w:eastAsia="等线"/>
      <w:lang w:eastAsia="en-US"/>
    </w:rPr>
  </w:style>
  <w:style w:type="paragraph" w:styleId="Title">
    <w:name w:val="Title"/>
    <w:basedOn w:val="Normal"/>
    <w:qFormat/>
    <w:pPr>
      <w:spacing w:before="240" w:beforeLines="0" w:beforeAutospacing="0" w:after="60" w:afterLines="0" w:afterAutospacing="0"/>
      <w:jc w:val="center"/>
      <w:outlineLvl w:val="0"/>
    </w:pPr>
    <w:rPr>
      <w:rFonts w:ascii="Arial" w:eastAsia="等线" w:hAnsi="Arial"/>
      <w:b/>
      <w:sz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hyperlink" Target="https://d.book118.com/215301123341011033" TargetMode="External" /><Relationship Id="rId6" Type="http://schemas.openxmlformats.org/officeDocument/2006/relationships/footer" Target="footer2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hanxinru</dc:creator>
  <cp:lastModifiedBy>本色</cp:lastModifiedBy>
  <cp:revision>0</cp:revision>
  <dcterms:created xsi:type="dcterms:W3CDTF">2022-03-08T13:56:00Z</dcterms:created>
  <dcterms:modified xsi:type="dcterms:W3CDTF">2023-02-21T13:13:27Z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3982D1B992A044889A6B184E4F7A4BA7</vt:lpwstr>
  </property>
  <property fmtid="{D5CDD505-2E9C-101B-9397-08002B2CF9AE}" pid="3" name="KSOProductBuildVer">
    <vt:lpwstr>2052-11.1.0.13012</vt:lpwstr>
  </property>
</Properties>
</file>