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outlineLvl w:val="0"/>
        <w:rPr>
          <w:rFonts w:ascii="幼圆" w:eastAsia="幼圆" w:hAnsi="幼圆" w:cs="幼圆" w:hint="eastAsia"/>
          <w:b/>
          <w:bCs/>
          <w:color w:val="auto"/>
          <w:sz w:val="32"/>
          <w:szCs w:val="32"/>
        </w:rPr>
      </w:pPr>
      <w:bookmarkStart w:id="0" w:name="_Toc26625"/>
      <w:r>
        <w:rPr>
          <w:rFonts w:ascii="幼圆" w:eastAsia="幼圆" w:hAnsi="幼圆" w:cs="幼圆" w:hint="eastAsia"/>
          <w:b/>
          <w:bCs/>
          <w:color w:val="auto"/>
          <w:sz w:val="32"/>
          <w:szCs w:val="32"/>
        </w:rPr>
        <w:t>价值链视角下</w:t>
      </w:r>
      <w:r>
        <w:rPr>
          <w:rFonts w:ascii="幼圆" w:eastAsia="幼圆" w:hAnsi="幼圆" w:cs="幼圆" w:hint="eastAsia"/>
          <w:b/>
          <w:bCs/>
          <w:color w:val="auto"/>
          <w:sz w:val="32"/>
          <w:szCs w:val="32"/>
          <w:lang w:eastAsia="zh-CN"/>
        </w:rPr>
        <w:t>博莱雅休闲服饰</w:t>
      </w:r>
      <w:r>
        <w:rPr>
          <w:rFonts w:ascii="幼圆" w:eastAsia="幼圆" w:hAnsi="幼圆" w:cs="幼圆" w:hint="eastAsia"/>
          <w:b/>
          <w:bCs/>
          <w:color w:val="auto"/>
          <w:sz w:val="32"/>
          <w:szCs w:val="32"/>
          <w:lang w:val="en-US" w:eastAsia="zh-CN"/>
        </w:rPr>
        <w:t>企业</w:t>
      </w:r>
      <w:r>
        <w:rPr>
          <w:rFonts w:ascii="幼圆" w:eastAsia="幼圆" w:hAnsi="幼圆" w:cs="幼圆" w:hint="eastAsia"/>
          <w:b/>
          <w:bCs/>
          <w:color w:val="auto"/>
          <w:sz w:val="32"/>
          <w:szCs w:val="32"/>
        </w:rPr>
        <w:t>成本控制</w:t>
      </w:r>
      <w:bookmarkEnd w:id="0"/>
      <w:r>
        <w:rPr>
          <w:rFonts w:ascii="幼圆" w:eastAsia="幼圆" w:hAnsi="幼圆" w:cs="幼圆" w:hint="eastAsia"/>
          <w:b/>
          <w:bCs/>
          <w:color w:val="auto"/>
          <w:sz w:val="32"/>
          <w:szCs w:val="32"/>
          <w:lang w:val="en-US" w:eastAsia="zh-CN"/>
        </w:rPr>
        <w:t>问题及对策案例分析</w:t>
      </w:r>
    </w:p>
    <w:p>
      <w:pPr>
        <w:spacing w:before="0" w:beforeLines="0" w:after="0" w:afterLines="0" w:line="240" w:lineRule="auto"/>
        <w:ind w:left="0" w:right="0" w:firstLine="0" w:leftChars="0" w:rightChars="0" w:firstLineChars="0"/>
        <w:jc w:val="center"/>
        <w:rPr>
          <w:rFonts w:ascii="幼圆" w:eastAsia="幼圆" w:hAnsi="幼圆" w:cs="幼圆" w:hint="eastAsia"/>
        </w:rPr>
      </w:pPr>
      <w:r>
        <w:rPr>
          <w:rFonts w:ascii="幼圆" w:eastAsia="幼圆" w:hAnsi="幼圆" w:cs="幼圆" w:hint="eastAsia"/>
          <w:sz w:val="21"/>
        </w:rPr>
        <w:t>目录</w:t>
      </w:r>
    </w:p>
    <w:p>
      <w:pPr>
        <w:pStyle w:val="WPSOffice1"/>
        <w:tabs>
          <w:tab w:val="right" w:leader="dot" w:pos="9070"/>
        </w:tabs>
        <w:rPr>
          <w:rFonts w:ascii="幼圆" w:eastAsia="幼圆" w:hAnsi="幼圆" w:cs="幼圆" w:hint="eastAsia"/>
          <w:b/>
        </w:rPr>
      </w:pPr>
      <w:r>
        <w:rPr>
          <w:rFonts w:ascii="幼圆" w:eastAsia="幼圆" w:hAnsi="幼圆" w:cs="幼圆" w:hint="eastAsia"/>
          <w:color w:val="auto"/>
          <w:sz w:val="32"/>
          <w:szCs w:val="32"/>
        </w:rPr>
        <w:fldChar w:fldCharType="begin"/>
      </w:r>
      <w:r>
        <w:rPr>
          <w:rFonts w:ascii="幼圆" w:eastAsia="幼圆" w:hAnsi="幼圆" w:cs="幼圆" w:hint="eastAsia"/>
          <w:color w:val="auto"/>
          <w:sz w:val="32"/>
          <w:szCs w:val="32"/>
        </w:rPr>
        <w:instrText xml:space="preserve">TOC \o "1-2" \h \u </w:instrText>
      </w:r>
      <w:r>
        <w:rPr>
          <w:rFonts w:ascii="幼圆" w:eastAsia="幼圆" w:hAnsi="幼圆" w:cs="幼圆" w:hint="eastAsia"/>
          <w:color w:val="auto"/>
          <w:sz w:val="32"/>
          <w:szCs w:val="32"/>
        </w:rPr>
        <w:fldChar w:fldCharType="separate"/>
      </w:r>
      <w:hyperlink w:anchor="_Toc31552" w:history="1">
        <w:r>
          <w:rPr>
            <w:rFonts w:ascii="幼圆" w:eastAsia="幼圆" w:hAnsi="幼圆" w:cs="幼圆" w:hint="eastAsia"/>
            <w:b/>
          </w:rPr>
          <w:t>摘  要</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_Toc31552 \h </w:instrText>
        </w:r>
        <w:r>
          <w:rPr>
            <w:rFonts w:ascii="幼圆" w:eastAsia="幼圆" w:hAnsi="幼圆" w:cs="幼圆" w:hint="eastAsia"/>
            <w:b/>
          </w:rPr>
          <w:fldChar w:fldCharType="separate"/>
        </w:r>
        <w:r>
          <w:rPr>
            <w:rFonts w:ascii="幼圆" w:eastAsia="幼圆" w:hAnsi="幼圆" w:cs="幼圆" w:hint="eastAsia"/>
            <w:b/>
          </w:rPr>
          <w:t>I</w:t>
        </w:r>
        <w:r>
          <w:rPr>
            <w:rFonts w:ascii="幼圆" w:eastAsia="幼圆" w:hAnsi="幼圆" w:cs="幼圆" w:hint="eastAsia"/>
            <w:b/>
          </w:rPr>
          <w:fldChar w:fldCharType="end"/>
        </w:r>
      </w:hyperlink>
    </w:p>
    <w:p>
      <w:pPr>
        <w:pStyle w:val="WPSOffice1"/>
        <w:tabs>
          <w:tab w:val="right" w:leader="dot" w:pos="9070"/>
        </w:tabs>
        <w:rPr>
          <w:rFonts w:ascii="幼圆" w:eastAsia="幼圆" w:hAnsi="幼圆" w:cs="幼圆" w:hint="eastAsia"/>
          <w:b/>
        </w:rPr>
      </w:pPr>
      <w:hyperlink w:anchor="_Toc270" w:history="1">
        <w:r>
          <w:rPr>
            <w:rFonts w:ascii="幼圆" w:eastAsia="幼圆" w:hAnsi="幼圆" w:cs="幼圆" w:hint="eastAsia"/>
            <w:b/>
          </w:rPr>
          <w:t>第1章 绪  论</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_Toc270 \h </w:instrText>
        </w:r>
        <w:r>
          <w:rPr>
            <w:rFonts w:ascii="幼圆" w:eastAsia="幼圆" w:hAnsi="幼圆" w:cs="幼圆" w:hint="eastAsia"/>
            <w:b/>
          </w:rPr>
          <w:fldChar w:fldCharType="separate"/>
        </w:r>
        <w:r>
          <w:rPr>
            <w:rFonts w:ascii="幼圆" w:eastAsia="幼圆" w:hAnsi="幼圆" w:cs="幼圆" w:hint="eastAsia"/>
            <w:b/>
          </w:rPr>
          <w:t>3</w:t>
        </w:r>
        <w:r>
          <w:rPr>
            <w:rFonts w:ascii="幼圆" w:eastAsia="幼圆" w:hAnsi="幼圆" w:cs="幼圆" w:hint="eastAsia"/>
            <w:b/>
          </w:rPr>
          <w:fldChar w:fldCharType="end"/>
        </w:r>
      </w:hyperlink>
    </w:p>
    <w:p>
      <w:pPr>
        <w:pStyle w:val="WPSOffice1"/>
        <w:tabs>
          <w:tab w:val="right" w:leader="dot" w:pos="9070"/>
        </w:tabs>
        <w:rPr>
          <w:rFonts w:ascii="幼圆" w:eastAsia="幼圆" w:hAnsi="幼圆" w:cs="幼圆" w:hint="eastAsia"/>
          <w:b/>
        </w:rPr>
      </w:pPr>
      <w:hyperlink w:anchor="_Toc9457" w:history="1">
        <w:r>
          <w:rPr>
            <w:rFonts w:ascii="幼圆" w:eastAsia="幼圆" w:hAnsi="幼圆" w:cs="幼圆" w:hint="eastAsia"/>
            <w:b/>
          </w:rPr>
          <w:t>第2章 相关理论概述</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_Toc9457 \h </w:instrText>
        </w:r>
        <w:r>
          <w:rPr>
            <w:rFonts w:ascii="幼圆" w:eastAsia="幼圆" w:hAnsi="幼圆" w:cs="幼圆" w:hint="eastAsia"/>
            <w:b/>
          </w:rPr>
          <w:fldChar w:fldCharType="separate"/>
        </w:r>
        <w:r>
          <w:rPr>
            <w:rFonts w:ascii="幼圆" w:eastAsia="幼圆" w:hAnsi="幼圆" w:cs="幼圆" w:hint="eastAsia"/>
            <w:b/>
          </w:rPr>
          <w:t>3</w:t>
        </w:r>
        <w:r>
          <w:rPr>
            <w:rFonts w:ascii="幼圆" w:eastAsia="幼圆" w:hAnsi="幼圆" w:cs="幼圆" w:hint="eastAsia"/>
            <w:b/>
          </w:rPr>
          <w:fldChar w:fldCharType="end"/>
        </w:r>
      </w:hyperlink>
    </w:p>
    <w:p>
      <w:pPr>
        <w:pStyle w:val="WPSOffice2"/>
        <w:tabs>
          <w:tab w:val="right" w:leader="dot" w:pos="9070"/>
        </w:tabs>
        <w:rPr>
          <w:rFonts w:ascii="幼圆" w:eastAsia="幼圆" w:hAnsi="幼圆" w:cs="幼圆" w:hint="eastAsia"/>
        </w:rPr>
      </w:pPr>
      <w:hyperlink w:anchor="_Toc32150" w:history="1">
        <w:r>
          <w:rPr>
            <w:rFonts w:ascii="幼圆" w:eastAsia="幼圆" w:hAnsi="幼圆" w:cs="幼圆" w:hint="eastAsia"/>
          </w:rPr>
          <w:t>2.1 价值链的含义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_Toc32150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WPSOffice2"/>
        <w:tabs>
          <w:tab w:val="right" w:leader="dot" w:pos="9070"/>
        </w:tabs>
        <w:rPr>
          <w:rFonts w:ascii="幼圆" w:eastAsia="幼圆" w:hAnsi="幼圆" w:cs="幼圆" w:hint="eastAsia"/>
        </w:rPr>
      </w:pPr>
      <w:hyperlink w:anchor="_Toc14893" w:history="1">
        <w:r>
          <w:rPr>
            <w:rFonts w:ascii="幼圆" w:eastAsia="幼圆" w:hAnsi="幼圆" w:cs="幼圆" w:hint="eastAsia"/>
          </w:rPr>
          <w:t>2.2 价值链成本控制理论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_Toc14893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WPSOffice1"/>
        <w:tabs>
          <w:tab w:val="right" w:leader="dot" w:pos="9070"/>
        </w:tabs>
        <w:rPr>
          <w:rFonts w:ascii="幼圆" w:eastAsia="幼圆" w:hAnsi="幼圆" w:cs="幼圆" w:hint="eastAsia"/>
          <w:b/>
        </w:rPr>
      </w:pPr>
      <w:hyperlink w:anchor="_Toc13957" w:history="1">
        <w:r>
          <w:rPr>
            <w:rFonts w:ascii="幼圆" w:eastAsia="幼圆" w:hAnsi="幼圆" w:cs="幼圆" w:hint="eastAsia"/>
            <w:b/>
          </w:rPr>
          <w:t>第3章 基于价值链下</w:t>
        </w:r>
        <w:r>
          <w:rPr>
            <w:rFonts w:ascii="幼圆" w:eastAsia="幼圆" w:hAnsi="幼圆" w:cs="幼圆" w:hint="eastAsia"/>
            <w:b/>
            <w:lang w:eastAsia="zh-CN"/>
          </w:rPr>
          <w:t>安庆博莱雅公司</w:t>
        </w:r>
        <w:r>
          <w:rPr>
            <w:rFonts w:ascii="幼圆" w:eastAsia="幼圆" w:hAnsi="幼圆" w:cs="幼圆" w:hint="eastAsia"/>
            <w:b/>
          </w:rPr>
          <w:t>成本控制现状</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_Toc13957 \h </w:instrText>
        </w:r>
        <w:r>
          <w:rPr>
            <w:rFonts w:ascii="幼圆" w:eastAsia="幼圆" w:hAnsi="幼圆" w:cs="幼圆" w:hint="eastAsia"/>
            <w:b/>
          </w:rPr>
          <w:fldChar w:fldCharType="separate"/>
        </w:r>
        <w:r>
          <w:rPr>
            <w:rFonts w:ascii="幼圆" w:eastAsia="幼圆" w:hAnsi="幼圆" w:cs="幼圆" w:hint="eastAsia"/>
            <w:b/>
          </w:rPr>
          <w:t>5</w:t>
        </w:r>
        <w:r>
          <w:rPr>
            <w:rFonts w:ascii="幼圆" w:eastAsia="幼圆" w:hAnsi="幼圆" w:cs="幼圆" w:hint="eastAsia"/>
            <w:b/>
          </w:rPr>
          <w:fldChar w:fldCharType="end"/>
        </w:r>
      </w:hyperlink>
    </w:p>
    <w:p>
      <w:pPr>
        <w:pStyle w:val="WPSOffice2"/>
        <w:tabs>
          <w:tab w:val="right" w:leader="dot" w:pos="9070"/>
        </w:tabs>
        <w:rPr>
          <w:rFonts w:ascii="幼圆" w:eastAsia="幼圆" w:hAnsi="幼圆" w:cs="幼圆" w:hint="eastAsia"/>
        </w:rPr>
      </w:pPr>
      <w:hyperlink w:anchor="_Toc23056" w:history="1">
        <w:r>
          <w:rPr>
            <w:rFonts w:ascii="幼圆" w:eastAsia="幼圆" w:hAnsi="幼圆" w:cs="幼圆" w:hint="eastAsia"/>
          </w:rPr>
          <w:t xml:space="preserve">3.1 </w:t>
        </w:r>
        <w:r>
          <w:rPr>
            <w:rFonts w:ascii="幼圆" w:eastAsia="幼圆" w:hAnsi="幼圆" w:cs="幼圆" w:hint="eastAsia"/>
            <w:lang w:eastAsia="zh-CN"/>
          </w:rPr>
          <w:t>安庆博莱雅休闲服饰公司</w:t>
        </w:r>
        <w:r>
          <w:rPr>
            <w:rFonts w:ascii="幼圆" w:eastAsia="幼圆" w:hAnsi="幼圆" w:cs="幼圆" w:hint="eastAsia"/>
          </w:rPr>
          <w:t>概况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_Toc23056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WPSOffice2"/>
        <w:tabs>
          <w:tab w:val="right" w:leader="dot" w:pos="9070"/>
        </w:tabs>
        <w:rPr>
          <w:rFonts w:ascii="幼圆" w:eastAsia="幼圆" w:hAnsi="幼圆" w:cs="幼圆" w:hint="eastAsia"/>
        </w:rPr>
      </w:pPr>
      <w:hyperlink w:anchor="_Toc22758" w:history="1">
        <w:r>
          <w:rPr>
            <w:rFonts w:ascii="幼圆" w:eastAsia="幼圆" w:hAnsi="幼圆" w:cs="幼圆" w:hint="eastAsia"/>
          </w:rPr>
          <w:t xml:space="preserve">3.2 </w:t>
        </w:r>
        <w:r>
          <w:rPr>
            <w:rFonts w:ascii="幼圆" w:eastAsia="幼圆" w:hAnsi="幼圆" w:cs="幼圆" w:hint="eastAsia"/>
            <w:lang w:eastAsia="zh-CN"/>
          </w:rPr>
          <w:t>安庆博莱雅休闲服饰公司</w:t>
        </w:r>
        <w:r>
          <w:rPr>
            <w:rFonts w:ascii="幼圆" w:eastAsia="幼圆" w:hAnsi="幼圆" w:cs="幼圆" w:hint="eastAsia"/>
          </w:rPr>
          <w:t>成本控制现状分析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_Toc22758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WPSOffice1"/>
        <w:tabs>
          <w:tab w:val="right" w:leader="dot" w:pos="9070"/>
        </w:tabs>
        <w:rPr>
          <w:rFonts w:ascii="幼圆" w:eastAsia="幼圆" w:hAnsi="幼圆" w:cs="幼圆" w:hint="eastAsia"/>
          <w:b/>
        </w:rPr>
      </w:pPr>
      <w:hyperlink w:anchor="_Toc18031" w:history="1">
        <w:r>
          <w:rPr>
            <w:rFonts w:ascii="幼圆" w:eastAsia="幼圆" w:hAnsi="幼圆" w:cs="幼圆" w:hint="eastAsia"/>
            <w:b/>
          </w:rPr>
          <w:t>数据来源：公司</w:t>
        </w:r>
        <w:r>
          <w:rPr>
            <w:rFonts w:ascii="幼圆" w:eastAsia="幼圆" w:hAnsi="幼圆" w:cs="幼圆" w:hint="eastAsia"/>
            <w:b/>
            <w:lang w:eastAsia="zh-CN"/>
          </w:rPr>
          <w:t>财</w:t>
        </w:r>
        <w:r>
          <w:rPr>
            <w:rFonts w:ascii="幼圆" w:eastAsia="幼圆" w:hAnsi="幼圆" w:cs="幼圆" w:hint="eastAsia"/>
            <w:b/>
          </w:rPr>
          <w:t>报，华经产业研究院整理</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_Toc18031 \h </w:instrText>
        </w:r>
        <w:r>
          <w:rPr>
            <w:rFonts w:ascii="幼圆" w:eastAsia="幼圆" w:hAnsi="幼圆" w:cs="幼圆" w:hint="eastAsia"/>
            <w:b/>
          </w:rPr>
          <w:fldChar w:fldCharType="separate"/>
        </w:r>
        <w:r>
          <w:rPr>
            <w:rFonts w:ascii="幼圆" w:eastAsia="幼圆" w:hAnsi="幼圆" w:cs="幼圆" w:hint="eastAsia"/>
            <w:b/>
          </w:rPr>
          <w:t>8</w:t>
        </w:r>
        <w:r>
          <w:rPr>
            <w:rFonts w:ascii="幼圆" w:eastAsia="幼圆" w:hAnsi="幼圆" w:cs="幼圆" w:hint="eastAsia"/>
            <w:b/>
          </w:rPr>
          <w:fldChar w:fldCharType="end"/>
        </w:r>
      </w:hyperlink>
    </w:p>
    <w:p>
      <w:pPr>
        <w:pStyle w:val="WPSOffice1"/>
        <w:tabs>
          <w:tab w:val="right" w:leader="dot" w:pos="9070"/>
        </w:tabs>
        <w:rPr>
          <w:rFonts w:ascii="幼圆" w:eastAsia="幼圆" w:hAnsi="幼圆" w:cs="幼圆" w:hint="eastAsia"/>
          <w:b/>
        </w:rPr>
      </w:pPr>
      <w:hyperlink w:anchor="_Toc3171" w:history="1">
        <w:r>
          <w:rPr>
            <w:rFonts w:ascii="幼圆" w:eastAsia="幼圆" w:hAnsi="幼圆" w:cs="幼圆" w:hint="eastAsia"/>
            <w:b/>
          </w:rPr>
          <w:t xml:space="preserve">第4章 </w:t>
        </w:r>
        <w:r>
          <w:rPr>
            <w:rFonts w:ascii="幼圆" w:eastAsia="幼圆" w:hAnsi="幼圆" w:cs="幼圆" w:hint="eastAsia"/>
            <w:b/>
            <w:lang w:eastAsia="zh-CN"/>
          </w:rPr>
          <w:t>安庆博莱雅休闲服饰公司</w:t>
        </w:r>
        <w:r>
          <w:rPr>
            <w:rFonts w:ascii="幼圆" w:eastAsia="幼圆" w:hAnsi="幼圆" w:cs="幼圆" w:hint="eastAsia"/>
            <w:b/>
          </w:rPr>
          <w:t>成本控制存在的问题</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_Toc3171 \h </w:instrText>
        </w:r>
        <w:r>
          <w:rPr>
            <w:rFonts w:ascii="幼圆" w:eastAsia="幼圆" w:hAnsi="幼圆" w:cs="幼圆" w:hint="eastAsia"/>
            <w:b/>
          </w:rPr>
          <w:fldChar w:fldCharType="separate"/>
        </w:r>
        <w:r>
          <w:rPr>
            <w:rFonts w:ascii="幼圆" w:eastAsia="幼圆" w:hAnsi="幼圆" w:cs="幼圆" w:hint="eastAsia"/>
            <w:b/>
          </w:rPr>
          <w:t>8</w:t>
        </w:r>
        <w:r>
          <w:rPr>
            <w:rFonts w:ascii="幼圆" w:eastAsia="幼圆" w:hAnsi="幼圆" w:cs="幼圆" w:hint="eastAsia"/>
            <w:b/>
          </w:rPr>
          <w:fldChar w:fldCharType="end"/>
        </w:r>
      </w:hyperlink>
    </w:p>
    <w:p>
      <w:pPr>
        <w:pStyle w:val="WPSOffice2"/>
        <w:tabs>
          <w:tab w:val="right" w:leader="dot" w:pos="9070"/>
        </w:tabs>
        <w:rPr>
          <w:rFonts w:ascii="幼圆" w:eastAsia="幼圆" w:hAnsi="幼圆" w:cs="幼圆" w:hint="eastAsia"/>
        </w:rPr>
      </w:pPr>
      <w:hyperlink w:anchor="_Toc26829" w:history="1">
        <w:r>
          <w:rPr>
            <w:rFonts w:ascii="幼圆" w:eastAsia="幼圆" w:hAnsi="幼圆" w:cs="幼圆" w:hint="eastAsia"/>
          </w:rPr>
          <w:t>4.1 研发收益率低</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_Toc26829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WPSOffice2"/>
        <w:tabs>
          <w:tab w:val="right" w:leader="dot" w:pos="9070"/>
        </w:tabs>
        <w:rPr>
          <w:rFonts w:ascii="幼圆" w:eastAsia="幼圆" w:hAnsi="幼圆" w:cs="幼圆" w:hint="eastAsia"/>
        </w:rPr>
      </w:pPr>
      <w:hyperlink w:anchor="_Toc31468" w:history="1">
        <w:r>
          <w:rPr>
            <w:rFonts w:ascii="幼圆" w:eastAsia="幼圆" w:hAnsi="幼圆" w:cs="幼圆" w:hint="eastAsia"/>
          </w:rPr>
          <w:t>4.2 材料采购方式不合理</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_Toc31468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WPSOffice2"/>
        <w:tabs>
          <w:tab w:val="right" w:leader="dot" w:pos="9070"/>
        </w:tabs>
        <w:rPr>
          <w:rFonts w:ascii="幼圆" w:eastAsia="幼圆" w:hAnsi="幼圆" w:cs="幼圆" w:hint="eastAsia"/>
        </w:rPr>
      </w:pPr>
      <w:hyperlink w:anchor="_Toc30700" w:history="1">
        <w:r>
          <w:rPr>
            <w:rFonts w:ascii="幼圆" w:eastAsia="幼圆" w:hAnsi="幼圆" w:cs="幼圆" w:hint="eastAsia"/>
          </w:rPr>
          <w:t>4.3 生产加工的废品率偏高</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_Toc30700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WPSOffice1"/>
        <w:tabs>
          <w:tab w:val="right" w:leader="dot" w:pos="9070"/>
        </w:tabs>
        <w:rPr>
          <w:rFonts w:ascii="幼圆" w:eastAsia="幼圆" w:hAnsi="幼圆" w:cs="幼圆" w:hint="eastAsia"/>
          <w:b/>
        </w:rPr>
      </w:pPr>
      <w:hyperlink w:anchor="_Toc10884" w:history="1">
        <w:r>
          <w:rPr>
            <w:rFonts w:ascii="幼圆" w:eastAsia="幼圆" w:hAnsi="幼圆" w:cs="幼圆" w:hint="eastAsia"/>
            <w:b/>
          </w:rPr>
          <w:t xml:space="preserve">第5章 </w:t>
        </w:r>
        <w:r>
          <w:rPr>
            <w:rFonts w:ascii="幼圆" w:eastAsia="幼圆" w:hAnsi="幼圆" w:cs="幼圆" w:hint="eastAsia"/>
            <w:b/>
            <w:lang w:eastAsia="zh-CN"/>
          </w:rPr>
          <w:t>安庆博莱雅休闲服饰公司</w:t>
        </w:r>
        <w:r>
          <w:rPr>
            <w:rFonts w:ascii="幼圆" w:eastAsia="幼圆" w:hAnsi="幼圆" w:cs="幼圆" w:hint="eastAsia"/>
            <w:b/>
          </w:rPr>
          <w:t>价值链成本控制应用</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_Toc10884 \h </w:instrText>
        </w:r>
        <w:r>
          <w:rPr>
            <w:rFonts w:ascii="幼圆" w:eastAsia="幼圆" w:hAnsi="幼圆" w:cs="幼圆" w:hint="eastAsia"/>
            <w:b/>
          </w:rPr>
          <w:fldChar w:fldCharType="separate"/>
        </w:r>
        <w:r>
          <w:rPr>
            <w:rFonts w:ascii="幼圆" w:eastAsia="幼圆" w:hAnsi="幼圆" w:cs="幼圆" w:hint="eastAsia"/>
            <w:b/>
          </w:rPr>
          <w:t>9</w:t>
        </w:r>
        <w:r>
          <w:rPr>
            <w:rFonts w:ascii="幼圆" w:eastAsia="幼圆" w:hAnsi="幼圆" w:cs="幼圆" w:hint="eastAsia"/>
            <w:b/>
          </w:rPr>
          <w:fldChar w:fldCharType="end"/>
        </w:r>
      </w:hyperlink>
    </w:p>
    <w:p>
      <w:pPr>
        <w:pStyle w:val="WPSOffice2"/>
        <w:tabs>
          <w:tab w:val="right" w:leader="dot" w:pos="9070"/>
        </w:tabs>
        <w:rPr>
          <w:rFonts w:ascii="幼圆" w:eastAsia="幼圆" w:hAnsi="幼圆" w:cs="幼圆" w:hint="eastAsia"/>
        </w:rPr>
      </w:pPr>
      <w:hyperlink w:anchor="_Toc2787" w:history="1">
        <w:r>
          <w:rPr>
            <w:rFonts w:ascii="幼圆" w:eastAsia="幼圆" w:hAnsi="幼圆" w:cs="幼圆" w:hint="eastAsia"/>
          </w:rPr>
          <w:t>5.1 基于内部价值链的成本控制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_Toc2787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WPSOffice2"/>
        <w:tabs>
          <w:tab w:val="right" w:leader="dot" w:pos="9070"/>
        </w:tabs>
        <w:rPr>
          <w:rFonts w:ascii="幼圆" w:eastAsia="幼圆" w:hAnsi="幼圆" w:cs="幼圆" w:hint="eastAsia"/>
        </w:rPr>
      </w:pPr>
      <w:hyperlink w:anchor="_Toc3551" w:history="1">
        <w:r>
          <w:rPr>
            <w:rFonts w:ascii="幼圆" w:eastAsia="幼圆" w:hAnsi="幼圆" w:cs="幼圆" w:hint="eastAsia"/>
          </w:rPr>
          <w:t>5.2 基于外部价值链的成本控制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_Toc3551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WPSOffice2"/>
        <w:tabs>
          <w:tab w:val="right" w:leader="dot" w:pos="9070"/>
        </w:tabs>
        <w:rPr>
          <w:rFonts w:ascii="幼圆" w:eastAsia="幼圆" w:hAnsi="幼圆" w:cs="幼圆" w:hint="eastAsia"/>
        </w:rPr>
      </w:pPr>
      <w:hyperlink w:anchor="_Toc24521" w:history="1">
        <w:r>
          <w:rPr>
            <w:rFonts w:ascii="幼圆" w:eastAsia="幼圆" w:hAnsi="幼圆" w:cs="幼圆" w:hint="eastAsia"/>
            <w:bCs/>
            <w:kern w:val="2"/>
            <w:szCs w:val="30"/>
            <w:lang w:val="en-US" w:eastAsia="zh-CN" w:bidi="ar-SA"/>
          </w:rPr>
          <w:t>5.3 本章小结</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_Toc24521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WPSOffice1"/>
        <w:tabs>
          <w:tab w:val="right" w:leader="dot" w:pos="9070"/>
        </w:tabs>
        <w:rPr>
          <w:rFonts w:ascii="幼圆" w:eastAsia="幼圆" w:hAnsi="幼圆" w:cs="幼圆" w:hint="eastAsia"/>
          <w:b/>
        </w:rPr>
      </w:pPr>
      <w:hyperlink w:anchor="_Toc28155" w:history="1">
        <w:r>
          <w:rPr>
            <w:rFonts w:ascii="幼圆" w:eastAsia="幼圆" w:hAnsi="幼圆" w:cs="幼圆" w:hint="eastAsia"/>
            <w:b/>
          </w:rPr>
          <w:t xml:space="preserve">第6章 </w:t>
        </w:r>
        <w:r>
          <w:rPr>
            <w:rFonts w:ascii="幼圆" w:eastAsia="幼圆" w:hAnsi="幼圆" w:cs="幼圆" w:hint="eastAsia"/>
            <w:b/>
            <w:lang w:eastAsia="zh-CN"/>
          </w:rPr>
          <w:t>安庆博莱雅休闲服饰公司</w:t>
        </w:r>
        <w:r>
          <w:rPr>
            <w:rFonts w:ascii="幼圆" w:eastAsia="幼圆" w:hAnsi="幼圆" w:cs="幼圆" w:hint="eastAsia"/>
            <w:b/>
          </w:rPr>
          <w:t>实施价值链成本控制保障措施</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_Toc28155 \h </w:instrText>
        </w:r>
        <w:r>
          <w:rPr>
            <w:rFonts w:ascii="幼圆" w:eastAsia="幼圆" w:hAnsi="幼圆" w:cs="幼圆" w:hint="eastAsia"/>
            <w:b/>
          </w:rPr>
          <w:fldChar w:fldCharType="separate"/>
        </w:r>
        <w:r>
          <w:rPr>
            <w:rFonts w:ascii="幼圆" w:eastAsia="幼圆" w:hAnsi="幼圆" w:cs="幼圆" w:hint="eastAsia"/>
            <w:b/>
          </w:rPr>
          <w:t>17</w:t>
        </w:r>
        <w:r>
          <w:rPr>
            <w:rFonts w:ascii="幼圆" w:eastAsia="幼圆" w:hAnsi="幼圆" w:cs="幼圆" w:hint="eastAsia"/>
            <w:b/>
          </w:rPr>
          <w:fldChar w:fldCharType="end"/>
        </w:r>
      </w:hyperlink>
    </w:p>
    <w:p>
      <w:pPr>
        <w:pStyle w:val="WPSOffice2"/>
        <w:tabs>
          <w:tab w:val="right" w:leader="dot" w:pos="9070"/>
        </w:tabs>
        <w:rPr>
          <w:rFonts w:ascii="幼圆" w:eastAsia="幼圆" w:hAnsi="幼圆" w:cs="幼圆" w:hint="eastAsia"/>
        </w:rPr>
      </w:pPr>
      <w:hyperlink w:anchor="_Toc30655" w:history="1">
        <w:r>
          <w:rPr>
            <w:rFonts w:ascii="幼圆" w:eastAsia="幼圆" w:hAnsi="幼圆" w:cs="幼圆" w:hint="eastAsia"/>
          </w:rPr>
          <w:t>6.1 优化组织结构</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_Toc30655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WPSOffice2"/>
        <w:tabs>
          <w:tab w:val="right" w:leader="dot" w:pos="9070"/>
        </w:tabs>
        <w:rPr>
          <w:rFonts w:ascii="幼圆" w:eastAsia="幼圆" w:hAnsi="幼圆" w:cs="幼圆" w:hint="eastAsia"/>
        </w:rPr>
      </w:pPr>
      <w:hyperlink w:anchor="_Toc15576" w:history="1">
        <w:r>
          <w:rPr>
            <w:rFonts w:ascii="幼圆" w:eastAsia="幼圆" w:hAnsi="幼圆" w:cs="幼圆" w:hint="eastAsia"/>
          </w:rPr>
          <w:t>6.2 制定激励制度</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_Toc15576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WPSOffice2"/>
        <w:tabs>
          <w:tab w:val="right" w:leader="dot" w:pos="9070"/>
        </w:tabs>
        <w:rPr>
          <w:rFonts w:ascii="幼圆" w:eastAsia="幼圆" w:hAnsi="幼圆" w:cs="幼圆" w:hint="eastAsia"/>
        </w:rPr>
      </w:pPr>
      <w:hyperlink w:anchor="_Toc2064" w:history="1">
        <w:r>
          <w:rPr>
            <w:rFonts w:ascii="幼圆" w:eastAsia="幼圆" w:hAnsi="幼圆" w:cs="幼圆" w:hint="eastAsia"/>
          </w:rPr>
          <w:t>6.3 实现信息共享</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_Toc2064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WPSOffice2"/>
        <w:tabs>
          <w:tab w:val="right" w:leader="dot" w:pos="9070"/>
        </w:tabs>
        <w:rPr>
          <w:rFonts w:ascii="幼圆" w:eastAsia="幼圆" w:hAnsi="幼圆" w:cs="幼圆" w:hint="eastAsia"/>
        </w:rPr>
      </w:pPr>
      <w:hyperlink w:anchor="_Toc20944" w:history="1">
        <w:r>
          <w:rPr>
            <w:rFonts w:ascii="幼圆" w:eastAsia="幼圆" w:hAnsi="幼圆" w:cs="幼圆" w:hint="eastAsia"/>
          </w:rPr>
          <w:t>6.4 建立监督机制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_Toc20944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WPSOffice2"/>
        <w:tabs>
          <w:tab w:val="right" w:leader="dot" w:pos="9070"/>
        </w:tabs>
        <w:rPr>
          <w:rFonts w:ascii="幼圆" w:eastAsia="幼圆" w:hAnsi="幼圆" w:cs="幼圆" w:hint="eastAsia"/>
        </w:rPr>
      </w:pPr>
      <w:hyperlink w:anchor="_Toc16771" w:history="1">
        <w:r>
          <w:rPr>
            <w:rFonts w:ascii="幼圆" w:eastAsia="幼圆" w:hAnsi="幼圆" w:cs="幼圆" w:hint="eastAsia"/>
          </w:rPr>
          <w:t>6.5 本章小结</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_Toc16771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WPSOffice1"/>
        <w:tabs>
          <w:tab w:val="right" w:leader="dot" w:pos="9070"/>
        </w:tabs>
        <w:rPr>
          <w:rFonts w:ascii="幼圆" w:eastAsia="幼圆" w:hAnsi="幼圆" w:cs="幼圆" w:hint="eastAsia"/>
          <w:b/>
        </w:rPr>
      </w:pPr>
      <w:hyperlink w:anchor="_Toc24068" w:history="1">
        <w:r>
          <w:rPr>
            <w:rFonts w:ascii="幼圆" w:eastAsia="幼圆" w:hAnsi="幼圆" w:cs="幼圆" w:hint="eastAsia"/>
            <w:b/>
          </w:rPr>
          <w:t>结  论</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_Toc24068 \h </w:instrText>
        </w:r>
        <w:r>
          <w:rPr>
            <w:rFonts w:ascii="幼圆" w:eastAsia="幼圆" w:hAnsi="幼圆" w:cs="幼圆" w:hint="eastAsia"/>
            <w:b/>
          </w:rPr>
          <w:fldChar w:fldCharType="separate"/>
        </w:r>
        <w:r>
          <w:rPr>
            <w:rFonts w:ascii="幼圆" w:eastAsia="幼圆" w:hAnsi="幼圆" w:cs="幼圆" w:hint="eastAsia"/>
            <w:b/>
          </w:rPr>
          <w:t>20</w:t>
        </w:r>
        <w:r>
          <w:rPr>
            <w:rFonts w:ascii="幼圆" w:eastAsia="幼圆" w:hAnsi="幼圆" w:cs="幼圆" w:hint="eastAsia"/>
            <w:b/>
          </w:rPr>
          <w:fldChar w:fldCharType="end"/>
        </w:r>
      </w:hyperlink>
    </w:p>
    <w:p>
      <w:pPr>
        <w:pStyle w:val="WPSOffice1"/>
        <w:tabs>
          <w:tab w:val="right" w:leader="dot" w:pos="9070"/>
        </w:tabs>
        <w:rPr>
          <w:rFonts w:ascii="幼圆" w:eastAsia="幼圆" w:hAnsi="幼圆" w:cs="幼圆" w:hint="eastAsia"/>
          <w:b/>
        </w:rPr>
      </w:pPr>
      <w:hyperlink w:anchor="_Toc3684" w:history="1">
        <w:r>
          <w:rPr>
            <w:rFonts w:ascii="幼圆" w:eastAsia="幼圆" w:hAnsi="幼圆" w:cs="幼圆" w:hint="eastAsia"/>
            <w:b/>
          </w:rPr>
          <w:t>参考文献</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_Toc3684 \h </w:instrText>
        </w:r>
        <w:r>
          <w:rPr>
            <w:rFonts w:ascii="幼圆" w:eastAsia="幼圆" w:hAnsi="幼圆" w:cs="幼圆" w:hint="eastAsia"/>
            <w:b/>
          </w:rPr>
          <w:fldChar w:fldCharType="separate"/>
        </w:r>
        <w:r>
          <w:rPr>
            <w:rFonts w:ascii="幼圆" w:eastAsia="幼圆" w:hAnsi="幼圆" w:cs="幼圆" w:hint="eastAsia"/>
            <w:b/>
          </w:rPr>
          <w:t>20</w:t>
        </w:r>
        <w:r>
          <w:rPr>
            <w:rFonts w:ascii="幼圆" w:eastAsia="幼圆" w:hAnsi="幼圆" w:cs="幼圆" w:hint="eastAsia"/>
            <w:b/>
          </w:rPr>
          <w:fldChar w:fldCharType="end"/>
        </w:r>
      </w:hyperlink>
    </w:p>
    <w:p>
      <w:pPr>
        <w:jc w:val="center"/>
        <w:rPr>
          <w:rFonts w:ascii="幼圆" w:eastAsia="幼圆" w:hAnsi="幼圆" w:cs="幼圆" w:hint="eastAsia"/>
          <w:color w:val="auto"/>
          <w:sz w:val="32"/>
          <w:szCs w:val="32"/>
        </w:rPr>
      </w:pPr>
      <w:r>
        <w:rPr>
          <w:rFonts w:ascii="幼圆" w:eastAsia="幼圆" w:hAnsi="幼圆" w:cs="幼圆" w:hint="eastAsia"/>
          <w:b/>
          <w:color w:val="auto"/>
          <w:szCs w:val="32"/>
        </w:rPr>
        <w:fldChar w:fldCharType="end"/>
      </w:r>
    </w:p>
    <w:p>
      <w:pPr>
        <w:pStyle w:val="Heading1"/>
        <w:numPr>
          <w:ilvl w:val="0"/>
          <w:numId w:val="0"/>
        </w:numPr>
        <w:tabs>
          <w:tab w:val="left" w:pos="0"/>
        </w:tabs>
        <w:spacing w:before="400" w:beforeLines="100" w:after="400"/>
        <w:rPr>
          <w:rFonts w:ascii="幼圆" w:eastAsia="幼圆" w:hAnsi="幼圆" w:cs="幼圆" w:hint="eastAsia"/>
          <w:color w:val="auto"/>
          <w:sz w:val="24"/>
          <w:highlight w:val="lightGray"/>
        </w:rPr>
      </w:pPr>
      <w:bookmarkStart w:id="1" w:name="_Toc223796342"/>
      <w:bookmarkStart w:id="2" w:name="_Toc31552"/>
      <w:bookmarkStart w:id="3" w:name="_Ref223751557"/>
      <w:bookmarkStart w:id="4" w:name="_Toc27348"/>
      <w:bookmarkStart w:id="5" w:name="_Toc223793151"/>
      <w:bookmarkStart w:id="6" w:name="_Toc223792601"/>
      <w:r>
        <w:rPr>
          <w:rFonts w:ascii="幼圆" w:eastAsia="幼圆" w:hAnsi="幼圆" w:cs="幼圆" w:hint="eastAsia"/>
          <w:color w:val="auto"/>
        </w:rPr>
        <w:t>摘  要</w:t>
      </w:r>
      <w:bookmarkEnd w:id="1"/>
      <w:bookmarkEnd w:id="2"/>
      <w:bookmarkEnd w:id="3"/>
      <w:bookmarkEnd w:id="4"/>
      <w:bookmarkEnd w:id="5"/>
      <w:bookmarkEnd w:id="6"/>
    </w:p>
    <w:p>
      <w:pPr>
        <w:ind w:firstLine="480" w:firstLineChars="200"/>
        <w:rPr>
          <w:rFonts w:ascii="幼圆" w:eastAsia="幼圆" w:hAnsi="幼圆" w:cs="幼圆" w:hint="eastAsia"/>
          <w:color w:val="auto"/>
          <w:sz w:val="24"/>
        </w:rPr>
        <w:sectPr>
          <w:headerReference w:type="default" r:id="rId4"/>
          <w:footerReference w:type="default" r:id="rId5"/>
          <w:pgSz w:w="11906" w:h="16838"/>
          <w:pgMar w:top="1418" w:right="1418" w:bottom="1418" w:left="1418" w:header="851" w:footer="992" w:gutter="0"/>
          <w:pgNumType w:fmt="upperRoman"/>
          <w:cols w:space="708"/>
          <w:rtlGutter/>
          <w:docGrid w:type="lines" w:linePitch="400" w:charSpace="205"/>
        </w:sectPr>
      </w:pPr>
      <w:r>
        <w:rPr>
          <w:rFonts w:ascii="幼圆" w:eastAsia="幼圆" w:hAnsi="幼圆" w:cs="幼圆" w:hint="eastAsia"/>
          <w:color w:val="auto"/>
          <w:sz w:val="24"/>
        </w:rPr>
        <w:t>近年来我国商品经济飞速发展，随之而来带给各个</w:t>
      </w:r>
      <w:r>
        <w:rPr>
          <w:rFonts w:ascii="幼圆" w:eastAsia="幼圆" w:hAnsi="幼圆" w:cs="幼圆" w:hint="eastAsia"/>
          <w:color w:val="auto"/>
          <w:sz w:val="24"/>
          <w:lang w:eastAsia="zh-CN"/>
        </w:rPr>
        <w:t>休闲服饰企业</w:t>
      </w:r>
    </w:p>
    <w:p>
      <w:pPr>
        <w:ind w:firstLine="480" w:firstLineChars="200"/>
        <w:rPr>
          <w:rFonts w:ascii="幼圆" w:eastAsia="幼圆" w:hAnsi="幼圆" w:cs="幼圆" w:hint="eastAsia"/>
          <w:color w:val="auto"/>
          <w:sz w:val="24"/>
        </w:rPr>
      </w:pPr>
      <w:r>
        <w:rPr>
          <w:rFonts w:ascii="幼圆" w:eastAsia="幼圆" w:hAnsi="幼圆" w:cs="幼圆" w:hint="eastAsia"/>
          <w:color w:val="auto"/>
          <w:sz w:val="24"/>
        </w:rPr>
        <w:t>的不仅有充满机遇的发展，更有企业间愈发激烈的竞争，因此</w:t>
      </w:r>
      <w:r>
        <w:rPr>
          <w:rFonts w:ascii="幼圆" w:eastAsia="幼圆" w:hAnsi="幼圆" w:cs="幼圆" w:hint="eastAsia"/>
          <w:color w:val="auto"/>
          <w:sz w:val="24"/>
          <w:lang w:eastAsia="zh-CN"/>
        </w:rPr>
        <w:t>休闲服饰企业</w:t>
      </w:r>
      <w:r>
        <w:rPr>
          <w:rFonts w:ascii="幼圆" w:eastAsia="幼圆" w:hAnsi="幼圆" w:cs="幼圆" w:hint="eastAsia"/>
          <w:color w:val="auto"/>
          <w:sz w:val="24"/>
        </w:rPr>
        <w:t>势必会面临如何保持企业自身长期稳定发展的难题。一个企业想要在当前竞争激烈的市场环境中取得长足发展，重中之重便是要做好成本控制工作。目前我国大部分中小</w:t>
      </w:r>
      <w:r>
        <w:rPr>
          <w:rFonts w:ascii="幼圆" w:eastAsia="幼圆" w:hAnsi="幼圆" w:cs="幼圆" w:hint="eastAsia"/>
          <w:color w:val="auto"/>
          <w:sz w:val="24"/>
          <w:lang w:eastAsia="zh-CN"/>
        </w:rPr>
        <w:t>休闲服饰企业</w:t>
      </w:r>
      <w:r>
        <w:rPr>
          <w:rFonts w:ascii="幼圆" w:eastAsia="幼圆" w:hAnsi="幼圆" w:cs="幼圆" w:hint="eastAsia"/>
          <w:color w:val="auto"/>
          <w:sz w:val="24"/>
        </w:rPr>
        <w:t>在进行成本控制工作时，仍然使用传统成本控制方法，因为传统方法存在一定缺陷，没办法让企业全面的控制其成本，难以使企业获取更大的利润。而借鉴了价值链理论的成本控制方法，从价值链视角对企业成本的各个环节进行分析，能够对</w:t>
      </w:r>
      <w:r>
        <w:rPr>
          <w:rFonts w:ascii="幼圆" w:eastAsia="幼圆" w:hAnsi="幼圆" w:cs="幼圆" w:hint="eastAsia"/>
          <w:color w:val="auto"/>
          <w:sz w:val="24"/>
          <w:lang w:eastAsia="zh-CN"/>
        </w:rPr>
        <w:t>休闲服饰企业</w:t>
      </w:r>
      <w:r>
        <w:rPr>
          <w:rFonts w:ascii="幼圆" w:eastAsia="幼圆" w:hAnsi="幼圆" w:cs="幼圆" w:hint="eastAsia"/>
          <w:color w:val="auto"/>
          <w:sz w:val="24"/>
        </w:rPr>
        <w:t>的成本控制工作进行有效管理。</w:t>
      </w:r>
    </w:p>
    <w:p>
      <w:pPr>
        <w:ind w:firstLine="480" w:firstLineChars="200"/>
        <w:rPr>
          <w:rFonts w:ascii="幼圆" w:eastAsia="幼圆" w:hAnsi="幼圆" w:cs="幼圆" w:hint="eastAsia"/>
          <w:color w:val="auto"/>
          <w:sz w:val="24"/>
        </w:rPr>
      </w:pPr>
      <w:r>
        <w:rPr>
          <w:rFonts w:ascii="幼圆" w:eastAsia="幼圆" w:hAnsi="幼圆" w:cs="幼圆" w:hint="eastAsia"/>
          <w:color w:val="auto"/>
          <w:sz w:val="24"/>
        </w:rPr>
        <w:t>文章以我国</w:t>
      </w:r>
      <w:r>
        <w:rPr>
          <w:rFonts w:ascii="幼圆" w:eastAsia="幼圆" w:hAnsi="幼圆" w:cs="幼圆" w:hint="eastAsia"/>
          <w:color w:val="auto"/>
          <w:sz w:val="24"/>
          <w:lang w:eastAsia="zh-CN"/>
        </w:rPr>
        <w:t>休闲服饰企业</w:t>
      </w:r>
      <w:r>
        <w:rPr>
          <w:rFonts w:ascii="幼圆" w:eastAsia="幼圆" w:hAnsi="幼圆" w:cs="幼圆" w:hint="eastAsia"/>
          <w:color w:val="auto"/>
          <w:sz w:val="24"/>
        </w:rPr>
        <w:t>中的</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作为研究对象，通过对</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价值链成本控制进行应用与分析，力求形成有效可行的理论基础，帮助指导企业获取可持续竞争力及更大的利润，最终对</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及其他中小</w:t>
      </w:r>
      <w:r>
        <w:rPr>
          <w:rFonts w:ascii="幼圆" w:eastAsia="幼圆" w:hAnsi="幼圆" w:cs="幼圆" w:hint="eastAsia"/>
          <w:color w:val="auto"/>
          <w:sz w:val="24"/>
          <w:lang w:eastAsia="zh-CN"/>
        </w:rPr>
        <w:t>休闲服饰企业</w:t>
      </w:r>
      <w:r>
        <w:rPr>
          <w:rFonts w:ascii="幼圆" w:eastAsia="幼圆" w:hAnsi="幼圆" w:cs="幼圆" w:hint="eastAsia"/>
          <w:color w:val="auto"/>
          <w:sz w:val="24"/>
        </w:rPr>
        <w:t>的成本控制工作起到参考借鉴的作用。本文利用文献研究以及案例分析的方法，首先通过分析</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目前的成本控制现状，提出当前成本控制方法存在的局限性，揭露其成本控制存在的问题。其次，从研发、采购、生产及销售四个内部价值链环节以及横向、纵向两个外部价值链方面着手，对</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应用价值链成本控制进行分析，从根本上降低企业各环节的成本。最后，提出</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实施价值链成本控制的保障措施，用以保障价值链成本控制能够在</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顺利有效应用。同时也希望通过对</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成本控制进行的实例分析，为中小型</w:t>
      </w:r>
      <w:r>
        <w:rPr>
          <w:rFonts w:ascii="幼圆" w:eastAsia="幼圆" w:hAnsi="幼圆" w:cs="幼圆" w:hint="eastAsia"/>
          <w:color w:val="auto"/>
          <w:sz w:val="24"/>
          <w:lang w:eastAsia="zh-CN"/>
        </w:rPr>
        <w:t>休闲服饰企业</w:t>
      </w:r>
      <w:r>
        <w:rPr>
          <w:rFonts w:ascii="幼圆" w:eastAsia="幼圆" w:hAnsi="幼圆" w:cs="幼圆" w:hint="eastAsia"/>
          <w:color w:val="auto"/>
          <w:sz w:val="24"/>
        </w:rPr>
        <w:t>进行全面系统的成本控制，提供相应合理有效的建议。</w:t>
      </w:r>
    </w:p>
    <w:p>
      <w:pPr>
        <w:ind w:firstLine="480" w:firstLineChars="200"/>
        <w:rPr>
          <w:rFonts w:ascii="幼圆" w:eastAsia="幼圆" w:hAnsi="幼圆" w:cs="幼圆" w:hint="eastAsia"/>
          <w:b/>
          <w:bCs/>
          <w:color w:val="auto"/>
          <w:sz w:val="24"/>
        </w:rPr>
      </w:pPr>
    </w:p>
    <w:p>
      <w:pPr>
        <w:ind w:firstLine="480" w:firstLineChars="200"/>
        <w:rPr>
          <w:rFonts w:ascii="幼圆" w:eastAsia="幼圆" w:hAnsi="幼圆" w:cs="幼圆" w:hint="eastAsia"/>
          <w:color w:val="auto"/>
          <w:sz w:val="24"/>
        </w:rPr>
      </w:pPr>
      <w:r>
        <w:rPr>
          <w:rFonts w:ascii="幼圆" w:eastAsia="幼圆" w:hAnsi="幼圆" w:cs="幼圆" w:hint="eastAsia"/>
          <w:b/>
          <w:bCs/>
          <w:color w:val="auto"/>
          <w:sz w:val="24"/>
        </w:rPr>
        <w:t>关键词</w:t>
      </w:r>
      <w:r>
        <w:rPr>
          <w:rFonts w:ascii="幼圆" w:eastAsia="幼圆" w:hAnsi="幼圆" w:cs="幼圆" w:hint="eastAsia"/>
          <w:color w:val="auto"/>
          <w:sz w:val="24"/>
        </w:rPr>
        <w:t>：价值链；成本控制；</w:t>
      </w:r>
      <w:bookmarkStart w:id="7" w:name="OLE_LINK1"/>
      <w:r>
        <w:rPr>
          <w:rFonts w:ascii="幼圆" w:eastAsia="幼圆" w:hAnsi="幼圆" w:cs="幼圆" w:hint="eastAsia"/>
          <w:color w:val="auto"/>
          <w:sz w:val="24"/>
          <w:lang w:eastAsia="zh-CN"/>
        </w:rPr>
        <w:t>休闲服饰企业</w:t>
      </w:r>
    </w:p>
    <w:p>
      <w:pPr>
        <w:ind w:firstLine="480" w:firstLineChars="200"/>
        <w:rPr>
          <w:rFonts w:ascii="幼圆" w:eastAsia="幼圆" w:hAnsi="幼圆" w:cs="幼圆" w:hint="eastAsia"/>
          <w:color w:val="auto"/>
          <w:sz w:val="24"/>
        </w:rPr>
        <w:sectPr>
          <w:headerReference w:type="default" r:id="rId6"/>
          <w:footerReference w:type="default" r:id="rId7"/>
          <w:type w:val="nextPage"/>
          <w:pgSz w:w="11906" w:h="16838"/>
          <w:pgMar w:top="1418" w:right="1418" w:bottom="1418" w:left="1418" w:header="851" w:footer="992" w:gutter="0"/>
          <w:pgNumType w:fmt="upperRoman" w:start="2"/>
          <w:cols w:space="708"/>
          <w:titlePg w:val="0"/>
          <w:rtlGutter/>
          <w:docGrid w:type="lines" w:linePitch="400" w:charSpace="205"/>
        </w:sectPr>
      </w:pPr>
    </w:p>
    <w:p>
      <w:pPr>
        <w:pStyle w:val="Heading1"/>
        <w:tabs>
          <w:tab w:val="left" w:pos="0"/>
        </w:tabs>
        <w:spacing w:before="200" w:after="400"/>
        <w:rPr>
          <w:rFonts w:ascii="幼圆" w:eastAsia="幼圆" w:hAnsi="幼圆" w:cs="幼圆" w:hint="eastAsia"/>
          <w:color w:val="auto"/>
        </w:rPr>
      </w:pPr>
      <w:bookmarkStart w:id="8" w:name="_Ref223751911"/>
      <w:bookmarkStart w:id="9" w:name="_Ref129255351"/>
      <w:bookmarkStart w:id="10" w:name="_Toc223792603"/>
      <w:bookmarkStart w:id="11" w:name="_Toc223793153"/>
      <w:bookmarkStart w:id="12" w:name="_Toc129254790"/>
      <w:bookmarkStart w:id="13" w:name="_Toc223796344"/>
      <w:bookmarkStart w:id="14" w:name="_Ref129252949"/>
      <w:bookmarkStart w:id="15" w:name="_Toc128384667"/>
      <w:bookmarkEnd w:id="7"/>
      <w:r>
        <w:rPr>
          <w:rFonts w:ascii="幼圆" w:eastAsia="幼圆" w:hAnsi="幼圆" w:cs="幼圆" w:hint="eastAsia"/>
          <w:color w:val="auto"/>
        </w:rPr>
        <w:t xml:space="preserve"> </w:t>
      </w:r>
      <w:bookmarkStart w:id="16" w:name="_Toc30684"/>
      <w:bookmarkStart w:id="17" w:name="_Toc270"/>
      <w:bookmarkEnd w:id="8"/>
      <w:bookmarkEnd w:id="9"/>
      <w:bookmarkEnd w:id="10"/>
      <w:bookmarkEnd w:id="11"/>
      <w:bookmarkEnd w:id="12"/>
      <w:bookmarkEnd w:id="13"/>
      <w:bookmarkEnd w:id="14"/>
      <w:r>
        <w:rPr>
          <w:rFonts w:ascii="幼圆" w:eastAsia="幼圆" w:hAnsi="幼圆" w:cs="幼圆" w:hint="eastAsia"/>
          <w:color w:val="auto"/>
        </w:rPr>
        <w:t>绪  论</w:t>
      </w:r>
      <w:bookmarkEnd w:id="16"/>
      <w:bookmarkEnd w:id="17"/>
    </w:p>
    <w:p>
      <w:pPr>
        <w:ind w:firstLine="480" w:firstLineChars="200"/>
        <w:rPr>
          <w:rFonts w:ascii="幼圆" w:eastAsia="幼圆" w:hAnsi="幼圆" w:cs="幼圆" w:hint="eastAsia"/>
          <w:color w:val="auto"/>
          <w:sz w:val="24"/>
        </w:rPr>
      </w:pPr>
      <w:r>
        <w:rPr>
          <w:rFonts w:ascii="幼圆" w:eastAsia="幼圆" w:hAnsi="幼圆" w:cs="幼圆" w:hint="eastAsia"/>
          <w:color w:val="auto"/>
          <w:sz w:val="24"/>
        </w:rPr>
        <w:t>改革开放以来，我国经济飞速发展，结合目前市场抢占日益激烈的大环境，各行各业想要保持稳定持续发展，就无法忽略成本这一关键因素。对于</w:t>
      </w:r>
      <w:r>
        <w:rPr>
          <w:rFonts w:ascii="幼圆" w:eastAsia="幼圆" w:hAnsi="幼圆" w:cs="幼圆" w:hint="eastAsia"/>
          <w:color w:val="auto"/>
          <w:sz w:val="24"/>
          <w:lang w:eastAsia="zh-CN"/>
        </w:rPr>
        <w:t>休闲服饰企业</w:t>
      </w:r>
      <w:r>
        <w:rPr>
          <w:rFonts w:ascii="幼圆" w:eastAsia="幼圆" w:hAnsi="幼圆" w:cs="幼圆" w:hint="eastAsia"/>
          <w:color w:val="auto"/>
          <w:sz w:val="24"/>
        </w:rPr>
        <w:t>来说，想要在竞争十分激烈的市场中谋求发展的一席之地，不得不重视成本控制的作用。从消费者角度看，他们作为</w:t>
      </w:r>
      <w:r>
        <w:rPr>
          <w:rFonts w:ascii="幼圆" w:eastAsia="幼圆" w:hAnsi="幼圆" w:cs="幼圆" w:hint="eastAsia"/>
          <w:color w:val="auto"/>
          <w:sz w:val="24"/>
          <w:lang w:eastAsia="zh-CN"/>
        </w:rPr>
        <w:t>休闲服饰</w:t>
      </w:r>
      <w:r>
        <w:rPr>
          <w:rFonts w:ascii="幼圆" w:eastAsia="幼圆" w:hAnsi="幼圆" w:cs="幼圆" w:hint="eastAsia"/>
          <w:color w:val="auto"/>
          <w:sz w:val="24"/>
        </w:rPr>
        <w:t>企业的最终服务对象，不仅是产品所有成本的最终承担者，也是全部销售利润的主要来源</w:t>
      </w:r>
      <w:r>
        <w:rPr>
          <w:rFonts w:ascii="幼圆" w:eastAsia="幼圆" w:hAnsi="幼圆" w:cs="幼圆" w:hint="eastAsia"/>
          <w:color w:val="auto"/>
          <w:sz w:val="24"/>
          <w:lang w:eastAsia="zh-CN"/>
        </w:rPr>
        <w:t>（</w:t>
      </w:r>
      <w:r>
        <w:rPr>
          <w:rFonts w:ascii="幼圆" w:eastAsia="幼圆" w:hAnsi="幼圆" w:cs="幼圆" w:hint="eastAsia"/>
          <w:color w:val="auto"/>
          <w:sz w:val="24"/>
          <w:lang w:val="en-US" w:eastAsia="zh-CN"/>
        </w:rPr>
        <w:t>李雨萌 ,王璇玉,2022</w:t>
      </w:r>
      <w:r>
        <w:rPr>
          <w:rFonts w:ascii="幼圆" w:eastAsia="幼圆" w:hAnsi="幼圆" w:cs="幼圆" w:hint="eastAsia"/>
          <w:color w:val="auto"/>
          <w:sz w:val="24"/>
          <w:lang w:eastAsia="zh-CN"/>
        </w:rPr>
        <w:t>）</w:t>
      </w:r>
      <w:r>
        <w:rPr>
          <w:rFonts w:ascii="幼圆" w:eastAsia="幼圆" w:hAnsi="幼圆" w:cs="幼圆" w:hint="eastAsia"/>
          <w:color w:val="auto"/>
          <w:sz w:val="24"/>
        </w:rPr>
        <w:t>。处于激烈竞争中的</w:t>
      </w:r>
      <w:r>
        <w:rPr>
          <w:rFonts w:ascii="幼圆" w:eastAsia="幼圆" w:hAnsi="幼圆" w:cs="幼圆" w:hint="eastAsia"/>
          <w:color w:val="auto"/>
          <w:sz w:val="24"/>
          <w:lang w:eastAsia="zh-CN"/>
        </w:rPr>
        <w:t>休闲服饰企业</w:t>
      </w:r>
      <w:r>
        <w:rPr>
          <w:rFonts w:ascii="幼圆" w:eastAsia="幼圆" w:hAnsi="幼圆" w:cs="幼圆" w:hint="eastAsia"/>
          <w:color w:val="auto"/>
          <w:sz w:val="24"/>
        </w:rPr>
        <w:t>既要顾及购买产品的消费者的承受能力，也要考虑企业自身利润的最大化，由此可见，成本控制已经成为关乎</w:t>
      </w:r>
      <w:r>
        <w:rPr>
          <w:rFonts w:ascii="幼圆" w:eastAsia="幼圆" w:hAnsi="幼圆" w:cs="幼圆" w:hint="eastAsia"/>
          <w:color w:val="auto"/>
          <w:sz w:val="24"/>
          <w:lang w:eastAsia="zh-CN"/>
        </w:rPr>
        <w:t>休闲服饰企业</w:t>
      </w:r>
      <w:r>
        <w:rPr>
          <w:rFonts w:ascii="幼圆" w:eastAsia="幼圆" w:hAnsi="幼圆" w:cs="幼圆" w:hint="eastAsia"/>
          <w:color w:val="auto"/>
          <w:sz w:val="24"/>
        </w:rPr>
        <w:t>生死存亡的关键，同时也是其实现科学有效的成本管理不可或缺的重要组成部分。</w:t>
      </w:r>
    </w:p>
    <w:p>
      <w:pPr>
        <w:ind w:firstLine="480" w:firstLineChars="200"/>
        <w:rPr>
          <w:rFonts w:ascii="幼圆" w:eastAsia="幼圆" w:hAnsi="幼圆" w:cs="幼圆" w:hint="eastAsia"/>
          <w:color w:val="auto"/>
          <w:sz w:val="24"/>
        </w:rPr>
      </w:pPr>
      <w:r>
        <w:rPr>
          <w:rFonts w:ascii="幼圆" w:eastAsia="幼圆" w:hAnsi="幼圆" w:cs="幼圆" w:hint="eastAsia"/>
          <w:color w:val="auto"/>
          <w:sz w:val="24"/>
        </w:rPr>
        <w:t>然而，传统</w:t>
      </w:r>
      <w:r>
        <w:rPr>
          <w:rFonts w:ascii="幼圆" w:eastAsia="幼圆" w:hAnsi="幼圆" w:cs="幼圆" w:hint="eastAsia"/>
          <w:color w:val="auto"/>
          <w:sz w:val="24"/>
          <w:lang w:eastAsia="zh-CN"/>
        </w:rPr>
        <w:t>休闲服饰企业</w:t>
      </w:r>
      <w:r>
        <w:rPr>
          <w:rFonts w:ascii="幼圆" w:eastAsia="幼圆" w:hAnsi="幼圆" w:cs="幼圆" w:hint="eastAsia"/>
          <w:color w:val="auto"/>
          <w:sz w:val="24"/>
        </w:rPr>
        <w:t>的成本控制方法存在许多问题，它只注重生产环节的成本，没有涉及研发前期以及研发完毕后等其他环节的成本，所以无法很好地适用于现代经济环境。现代经济的快速发展促使各企业对成本控制的认知程度发生了较大改变，从以前的传统成本控制理念逐渐转变为战略成本控制理念，具体表现为从对企业主要生产过程中的某个活动进行成本控制不断转化为对</w:t>
      </w:r>
      <w:r>
        <w:rPr>
          <w:rFonts w:ascii="幼圆" w:eastAsia="幼圆" w:hAnsi="幼圆" w:cs="幼圆" w:hint="eastAsia"/>
          <w:color w:val="auto"/>
          <w:sz w:val="24"/>
          <w:lang w:eastAsia="zh-CN"/>
        </w:rPr>
        <w:t>休闲服饰</w:t>
      </w:r>
      <w:r>
        <w:rPr>
          <w:rFonts w:ascii="幼圆" w:eastAsia="幼圆" w:hAnsi="幼圆" w:cs="幼圆" w:hint="eastAsia"/>
          <w:color w:val="auto"/>
          <w:sz w:val="24"/>
        </w:rPr>
        <w:t>企业主要生产活动中的各具体环节以及上下游相关活动进行全面整体控制，有效解决了传统成本在进行成本控制时存在的片面性，而这种成本控制理念的转变正是价值链理念的一种具体体现</w:t>
      </w:r>
      <w:r>
        <w:rPr>
          <w:rFonts w:ascii="幼圆" w:eastAsia="幼圆" w:hAnsi="幼圆" w:cs="幼圆" w:hint="eastAsia"/>
          <w:color w:val="auto"/>
          <w:sz w:val="24"/>
          <w:lang w:val="en-US" w:eastAsia="zh-CN"/>
        </w:rPr>
        <w:t>(张阳光 ,刘思涵, 陈梦,2021)</w:t>
      </w:r>
      <w:r>
        <w:rPr>
          <w:rFonts w:ascii="幼圆" w:eastAsia="幼圆" w:hAnsi="幼圆" w:cs="幼圆" w:hint="eastAsia"/>
          <w:color w:val="auto"/>
          <w:sz w:val="24"/>
        </w:rPr>
        <w:t>。</w:t>
      </w:r>
    </w:p>
    <w:p>
      <w:pPr>
        <w:ind w:firstLine="480" w:firstLineChars="200"/>
        <w:rPr>
          <w:rFonts w:ascii="幼圆" w:eastAsia="幼圆" w:hAnsi="幼圆" w:cs="幼圆" w:hint="eastAsia"/>
          <w:color w:val="auto"/>
          <w:sz w:val="24"/>
        </w:rPr>
      </w:pPr>
      <w:r>
        <w:rPr>
          <w:rFonts w:ascii="幼圆" w:eastAsia="幼圆" w:hAnsi="幼圆" w:cs="幼圆" w:hint="eastAsia"/>
          <w:color w:val="auto"/>
          <w:sz w:val="24"/>
        </w:rPr>
        <w:t>第一个提出价值链理论的是波特教授，在这一理论基础上进一步提出的价值链分析法也在不断的更新发展，包括价值链内含、虚拟价值链、以及与全球产业相关的全球价值链。</w:t>
      </w:r>
      <w:bookmarkStart w:id="18" w:name="_Toc223792606"/>
      <w:bookmarkStart w:id="19" w:name="_Toc129254793"/>
      <w:bookmarkStart w:id="20" w:name="_Toc223793156"/>
      <w:bookmarkStart w:id="21" w:name="_Toc223796347"/>
      <w:r>
        <w:rPr>
          <w:rFonts w:ascii="幼圆" w:eastAsia="幼圆" w:hAnsi="幼圆" w:cs="幼圆" w:hint="eastAsia"/>
          <w:color w:val="auto"/>
          <w:sz w:val="24"/>
        </w:rPr>
        <w:t>企业运用价值链理论进行成本控制可以加强成本控制的效果，还能帮助企业开拓更多的成本控制渠道，加快各环节的运营，从而为企业的后续成长提供</w:t>
      </w:r>
      <w:r>
        <w:rPr>
          <w:rFonts w:ascii="幼圆" w:eastAsia="幼圆" w:hAnsi="幼圆" w:cs="幼圆" w:hint="eastAsia"/>
          <w:color w:val="auto"/>
          <w:sz w:val="24"/>
        </w:rPr>
        <w:t>“</w:t>
      </w:r>
      <w:r>
        <w:rPr>
          <w:rFonts w:ascii="幼圆" w:eastAsia="幼圆" w:hAnsi="幼圆" w:cs="幼圆" w:hint="eastAsia"/>
          <w:color w:val="auto"/>
          <w:sz w:val="24"/>
        </w:rPr>
        <w:t>动力</w:t>
      </w:r>
      <w:r>
        <w:rPr>
          <w:rFonts w:ascii="幼圆" w:eastAsia="幼圆" w:hAnsi="幼圆" w:cs="幼圆" w:hint="eastAsia"/>
          <w:color w:val="auto"/>
          <w:sz w:val="24"/>
        </w:rPr>
        <w:t>”</w:t>
      </w:r>
      <w:r>
        <w:rPr>
          <w:rFonts w:ascii="幼圆" w:eastAsia="幼圆" w:hAnsi="幼圆" w:cs="幼圆" w:hint="eastAsia"/>
          <w:color w:val="auto"/>
          <w:sz w:val="24"/>
          <w:vertAlign w:val="superscript"/>
          <w:lang w:val="en-US" w:eastAsia="zh-CN"/>
        </w:rPr>
        <w:t>[1]</w:t>
      </w:r>
      <w:r>
        <w:rPr>
          <w:rFonts w:ascii="幼圆" w:eastAsia="幼圆" w:hAnsi="幼圆" w:cs="幼圆" w:hint="eastAsia"/>
          <w:color w:val="auto"/>
          <w:sz w:val="24"/>
        </w:rPr>
        <w:t>。</w:t>
      </w:r>
    </w:p>
    <w:p>
      <w:pPr>
        <w:ind w:firstLine="480" w:firstLineChars="200"/>
        <w:rPr>
          <w:rFonts w:ascii="幼圆" w:eastAsia="幼圆" w:hAnsi="幼圆" w:cs="幼圆" w:hint="eastAsia"/>
          <w:color w:val="auto"/>
          <w:sz w:val="24"/>
        </w:rPr>
      </w:pPr>
      <w:r>
        <w:rPr>
          <w:rFonts w:ascii="幼圆" w:eastAsia="幼圆" w:hAnsi="幼圆" w:cs="幼圆" w:hint="eastAsia"/>
          <w:color w:val="auto"/>
          <w:sz w:val="24"/>
        </w:rPr>
        <w:t>本文结合</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具体情况，分析成本控制现状，揭示</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成本控制的不足之处。运用价值链成本控制理论对企业具体的成本控制活动进行应用与分析，从内、外部价值链角度进行成本控制分析，以解决企业在成本控制方面存在的问题，进而消除传统成本控制方法的局限性，提高</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的核心竞争力。</w:t>
      </w:r>
    </w:p>
    <w:p>
      <w:pPr>
        <w:pStyle w:val="Heading1"/>
        <w:tabs>
          <w:tab w:val="left" w:pos="0"/>
        </w:tabs>
        <w:spacing w:before="200" w:after="400"/>
        <w:rPr>
          <w:rFonts w:ascii="幼圆" w:eastAsia="幼圆" w:hAnsi="幼圆" w:cs="幼圆" w:hint="eastAsia"/>
          <w:color w:val="auto"/>
        </w:rPr>
      </w:pPr>
      <w:bookmarkStart w:id="22" w:name="_Toc128394320"/>
      <w:bookmarkStart w:id="23" w:name="_Toc223792610"/>
      <w:bookmarkStart w:id="24" w:name="_Toc128384679"/>
      <w:bookmarkStart w:id="25" w:name="_Toc128394284"/>
      <w:bookmarkStart w:id="26" w:name="_Toc223796351"/>
      <w:bookmarkStart w:id="27" w:name="_Toc223793160"/>
      <w:bookmarkStart w:id="28" w:name="_Ref128384694"/>
      <w:bookmarkStart w:id="29" w:name="_Toc129254818"/>
      <w:bookmarkEnd w:id="15"/>
      <w:bookmarkEnd w:id="18"/>
      <w:bookmarkEnd w:id="19"/>
      <w:bookmarkEnd w:id="20"/>
      <w:bookmarkEnd w:id="21"/>
      <w:r>
        <w:rPr>
          <w:rFonts w:ascii="幼圆" w:eastAsia="幼圆" w:hAnsi="幼圆" w:cs="幼圆" w:hint="eastAsia"/>
          <w:color w:val="auto"/>
        </w:rPr>
        <w:t xml:space="preserve"> </w:t>
      </w:r>
      <w:bookmarkStart w:id="30" w:name="_Toc578"/>
      <w:bookmarkStart w:id="31" w:name="_Toc9457"/>
      <w:bookmarkEnd w:id="22"/>
      <w:bookmarkEnd w:id="23"/>
      <w:bookmarkEnd w:id="24"/>
      <w:bookmarkEnd w:id="25"/>
      <w:bookmarkEnd w:id="26"/>
      <w:bookmarkEnd w:id="27"/>
      <w:bookmarkEnd w:id="28"/>
      <w:bookmarkEnd w:id="29"/>
      <w:r>
        <w:rPr>
          <w:rFonts w:ascii="幼圆" w:eastAsia="幼圆" w:hAnsi="幼圆" w:cs="幼圆" w:hint="eastAsia"/>
          <w:color w:val="auto"/>
        </w:rPr>
        <w:t>相关理论概述</w:t>
      </w:r>
      <w:bookmarkEnd w:id="30"/>
      <w:bookmarkEnd w:id="31"/>
    </w:p>
    <w:p>
      <w:pPr>
        <w:pStyle w:val="Heading2"/>
        <w:tabs>
          <w:tab w:val="left" w:pos="0"/>
        </w:tabs>
        <w:spacing w:before="400" w:after="200"/>
        <w:rPr>
          <w:rFonts w:ascii="幼圆" w:eastAsia="幼圆" w:hAnsi="幼圆" w:cs="幼圆" w:hint="eastAsia"/>
          <w:color w:val="auto"/>
        </w:rPr>
      </w:pPr>
      <w:bookmarkStart w:id="32" w:name="_Toc223793161"/>
      <w:bookmarkStart w:id="33" w:name="_Toc223796352"/>
      <w:bookmarkStart w:id="34" w:name="_Toc223792611"/>
      <w:r>
        <w:rPr>
          <w:rFonts w:ascii="幼圆" w:eastAsia="幼圆" w:hAnsi="幼圆" w:cs="幼圆" w:hint="eastAsia"/>
          <w:color w:val="auto"/>
        </w:rPr>
        <w:t xml:space="preserve"> </w:t>
      </w:r>
      <w:bookmarkStart w:id="35" w:name="_Toc12038"/>
      <w:bookmarkStart w:id="36" w:name="_Toc32150"/>
      <w:bookmarkEnd w:id="32"/>
      <w:bookmarkEnd w:id="33"/>
      <w:bookmarkEnd w:id="34"/>
      <w:r>
        <w:rPr>
          <w:rFonts w:ascii="幼圆" w:eastAsia="幼圆" w:hAnsi="幼圆" w:cs="幼圆" w:hint="eastAsia"/>
          <w:color w:val="auto"/>
        </w:rPr>
        <w:t>价值链的含义</w:t>
      </w:r>
      <w:bookmarkEnd w:id="35"/>
      <w:bookmarkEnd w:id="36"/>
    </w:p>
    <w:p>
      <w:pPr>
        <w:ind w:firstLine="480"/>
        <w:rPr>
          <w:rFonts w:ascii="幼圆" w:eastAsia="幼圆" w:hAnsi="幼圆" w:cs="幼圆" w:hint="eastAsia"/>
          <w:color w:val="auto"/>
          <w:sz w:val="24"/>
        </w:rPr>
        <w:sectPr>
          <w:headerReference w:type="even" r:id="rId8"/>
          <w:headerReference w:type="default" r:id="rId9"/>
          <w:footerReference w:type="default" r:id="rId10"/>
          <w:pgSz w:w="11906" w:h="16838"/>
          <w:pgMar w:top="1417" w:right="1418" w:bottom="1417" w:left="1418" w:header="851" w:footer="992" w:gutter="0"/>
          <w:pgNumType w:start="3"/>
          <w:cols w:space="708"/>
          <w:rtlGutter/>
          <w:docGrid w:type="lines" w:linePitch="400" w:charSpace="0"/>
        </w:sectPr>
      </w:pPr>
    </w:p>
    <w:p>
      <w:pPr>
        <w:ind w:firstLine="480"/>
        <w:rPr>
          <w:rFonts w:ascii="幼圆" w:eastAsia="幼圆" w:hAnsi="幼圆" w:cs="幼圆" w:hint="eastAsia"/>
          <w:color w:val="auto"/>
          <w:sz w:val="24"/>
        </w:rPr>
      </w:pPr>
      <w:r>
        <w:rPr>
          <w:rFonts w:ascii="幼圆" w:eastAsia="幼圆" w:hAnsi="幼圆" w:cs="幼圆" w:hint="eastAsia"/>
          <w:color w:val="auto"/>
          <w:sz w:val="24"/>
        </w:rPr>
        <w:t>价值链指的是利用公司的成本进行一系列的增值活动，从而帮助公司赚取更多的资金。增值活动又可以包括基本活动和辅助活动，基本活动指后勤、生产作业等；辅助活动主要是采购、技术开发等。从上下游相关参与者构建成的网络结构实现了从采购加工原材料，制造销售企业产品，最后提供后续维护服务</w:t>
      </w:r>
      <w:r>
        <w:rPr>
          <w:rFonts w:ascii="幼圆" w:eastAsia="幼圆" w:hAnsi="幼圆" w:cs="幼圆" w:hint="eastAsia"/>
          <w:color w:val="auto"/>
          <w:sz w:val="24"/>
          <w:lang w:val="en-US" w:eastAsia="zh-CN"/>
        </w:rPr>
        <w:t>(杨婉娜 ,赵宛菡,2021)</w:t>
      </w:r>
      <w:r>
        <w:rPr>
          <w:rFonts w:ascii="幼圆" w:eastAsia="幼圆" w:hAnsi="幼圆" w:cs="幼圆" w:hint="eastAsia"/>
          <w:color w:val="auto"/>
          <w:sz w:val="24"/>
        </w:rPr>
        <w:t>。这一网络结构既能提供经济效益给企业，又能给上下游的相关往来企业创造机会，因此产生了使用价值和价值</w:t>
      </w:r>
      <w:r>
        <w:rPr>
          <w:rFonts w:ascii="幼圆" w:eastAsia="幼圆" w:hAnsi="幼圆" w:cs="幼圆" w:hint="eastAsia"/>
          <w:color w:val="auto"/>
          <w:sz w:val="24"/>
          <w:vertAlign w:val="superscript"/>
        </w:rPr>
        <w:t>[44]</w:t>
      </w:r>
      <w:r>
        <w:rPr>
          <w:rFonts w:ascii="幼圆" w:eastAsia="幼圆" w:hAnsi="幼圆" w:cs="幼圆" w:hint="eastAsia"/>
          <w:color w:val="auto"/>
          <w:sz w:val="24"/>
        </w:rPr>
        <w:t>。</w:t>
      </w:r>
    </w:p>
    <w:p>
      <w:pPr>
        <w:ind w:firstLine="480"/>
        <w:rPr>
          <w:rFonts w:ascii="幼圆" w:eastAsia="幼圆" w:hAnsi="幼圆" w:cs="幼圆" w:hint="eastAsia"/>
          <w:color w:val="auto"/>
          <w:sz w:val="24"/>
        </w:rPr>
      </w:pPr>
      <w:r>
        <w:rPr>
          <w:rFonts w:ascii="幼圆" w:eastAsia="幼圆" w:hAnsi="幼圆" w:cs="幼圆" w:hint="eastAsia"/>
          <w:color w:val="auto"/>
          <w:sz w:val="24"/>
        </w:rPr>
        <w:t>价值链理论处于不断的发展之中，但基本都涵盖这样两种思想：首先是</w:t>
      </w:r>
      <w:r>
        <w:rPr>
          <w:rFonts w:ascii="幼圆" w:eastAsia="幼圆" w:hAnsi="幼圆" w:cs="幼圆" w:hint="eastAsia"/>
          <w:color w:val="auto"/>
          <w:sz w:val="24"/>
        </w:rPr>
        <w:t>“</w:t>
      </w:r>
      <w:r>
        <w:rPr>
          <w:rFonts w:ascii="幼圆" w:eastAsia="幼圆" w:hAnsi="幼圆" w:cs="幼圆" w:hint="eastAsia"/>
          <w:color w:val="auto"/>
          <w:sz w:val="24"/>
        </w:rPr>
        <w:t>链</w:t>
      </w:r>
      <w:r>
        <w:rPr>
          <w:rFonts w:ascii="幼圆" w:eastAsia="幼圆" w:hAnsi="幼圆" w:cs="幼圆" w:hint="eastAsia"/>
          <w:color w:val="auto"/>
          <w:sz w:val="24"/>
        </w:rPr>
        <w:t>”</w:t>
      </w:r>
      <w:r>
        <w:rPr>
          <w:rFonts w:ascii="幼圆" w:eastAsia="幼圆" w:hAnsi="幼圆" w:cs="幼圆" w:hint="eastAsia"/>
          <w:color w:val="auto"/>
          <w:sz w:val="24"/>
        </w:rPr>
        <w:t>的思想。价值链是由相互联系的活动组建成的完整的体系，并非由单个活动就可以构成。其核心思想就是站在</w:t>
      </w:r>
      <w:r>
        <w:rPr>
          <w:rFonts w:ascii="幼圆" w:eastAsia="幼圆" w:hAnsi="幼圆" w:cs="幼圆" w:hint="eastAsia"/>
          <w:color w:val="auto"/>
          <w:sz w:val="24"/>
        </w:rPr>
        <w:t>“</w:t>
      </w:r>
      <w:r>
        <w:rPr>
          <w:rFonts w:ascii="幼圆" w:eastAsia="幼圆" w:hAnsi="幼圆" w:cs="幼圆" w:hint="eastAsia"/>
          <w:color w:val="auto"/>
          <w:sz w:val="24"/>
        </w:rPr>
        <w:t>链</w:t>
      </w:r>
      <w:r>
        <w:rPr>
          <w:rFonts w:ascii="幼圆" w:eastAsia="幼圆" w:hAnsi="幼圆" w:cs="幼圆" w:hint="eastAsia"/>
          <w:color w:val="auto"/>
          <w:sz w:val="24"/>
        </w:rPr>
        <w:t>”</w:t>
      </w:r>
      <w:r>
        <w:rPr>
          <w:rFonts w:ascii="幼圆" w:eastAsia="幼圆" w:hAnsi="幼圆" w:cs="幼圆" w:hint="eastAsia"/>
          <w:color w:val="auto"/>
          <w:sz w:val="24"/>
        </w:rPr>
        <w:t>的角度看待企业，发展到现代甚至可以说用</w:t>
      </w:r>
      <w:r>
        <w:rPr>
          <w:rFonts w:ascii="幼圆" w:eastAsia="幼圆" w:hAnsi="幼圆" w:cs="幼圆" w:hint="eastAsia"/>
          <w:color w:val="auto"/>
          <w:sz w:val="24"/>
        </w:rPr>
        <w:t>“</w:t>
      </w:r>
      <w:r>
        <w:rPr>
          <w:rFonts w:ascii="幼圆" w:eastAsia="幼圆" w:hAnsi="幼圆" w:cs="幼圆" w:hint="eastAsia"/>
          <w:color w:val="auto"/>
          <w:sz w:val="24"/>
        </w:rPr>
        <w:t>网</w:t>
      </w:r>
      <w:r>
        <w:rPr>
          <w:rFonts w:ascii="幼圆" w:eastAsia="幼圆" w:hAnsi="幼圆" w:cs="幼圆" w:hint="eastAsia"/>
          <w:color w:val="auto"/>
          <w:sz w:val="24"/>
        </w:rPr>
        <w:t>”</w:t>
      </w:r>
      <w:r>
        <w:rPr>
          <w:rFonts w:ascii="幼圆" w:eastAsia="幼圆" w:hAnsi="幼圆" w:cs="幼圆" w:hint="eastAsia"/>
          <w:color w:val="auto"/>
          <w:sz w:val="24"/>
        </w:rPr>
        <w:t>的视角去看待企业</w:t>
      </w:r>
      <w:r>
        <w:rPr>
          <w:rFonts w:ascii="幼圆" w:eastAsia="幼圆" w:hAnsi="幼圆" w:cs="幼圆" w:hint="eastAsia"/>
          <w:color w:val="auto"/>
          <w:sz w:val="24"/>
          <w:lang w:val="en-US" w:eastAsia="zh-CN"/>
        </w:rPr>
        <w:t>(黄欣怡, 周晓蓝, 吴晶,2021)</w:t>
      </w:r>
      <w:r>
        <w:rPr>
          <w:rFonts w:ascii="幼圆" w:eastAsia="幼圆" w:hAnsi="幼圆" w:cs="幼圆" w:hint="eastAsia"/>
          <w:color w:val="auto"/>
          <w:sz w:val="24"/>
        </w:rPr>
        <w:t>。其次便是价值增值的思想。价值增值是价值链理论的关键，企业进行各项价值活动的目的便是使各项活动增值最大化</w:t>
      </w:r>
      <w:r>
        <w:rPr>
          <w:rFonts w:ascii="幼圆" w:eastAsia="幼圆" w:hAnsi="幼圆" w:cs="幼圆" w:hint="eastAsia"/>
          <w:color w:val="auto"/>
          <w:sz w:val="24"/>
          <w:vertAlign w:val="superscript"/>
          <w:lang w:val="en-US" w:eastAsia="zh-CN"/>
        </w:rPr>
        <w:t>[2]</w:t>
      </w:r>
      <w:r>
        <w:rPr>
          <w:rFonts w:ascii="幼圆" w:eastAsia="幼圆" w:hAnsi="幼圆" w:cs="幼圆" w:hint="eastAsia"/>
          <w:color w:val="auto"/>
          <w:sz w:val="24"/>
        </w:rPr>
        <w:t>。</w:t>
      </w:r>
    </w:p>
    <w:p>
      <w:pPr>
        <w:pStyle w:val="Heading2"/>
        <w:tabs>
          <w:tab w:val="left" w:pos="0"/>
        </w:tabs>
        <w:spacing w:before="400" w:after="200"/>
        <w:rPr>
          <w:rFonts w:ascii="幼圆" w:eastAsia="幼圆" w:hAnsi="幼圆" w:cs="幼圆" w:hint="eastAsia"/>
          <w:color w:val="auto"/>
        </w:rPr>
      </w:pPr>
      <w:r>
        <w:rPr>
          <w:rFonts w:ascii="幼圆" w:eastAsia="幼圆" w:hAnsi="幼圆" w:cs="幼圆" w:hint="eastAsia"/>
          <w:color w:val="auto"/>
        </w:rPr>
        <w:t xml:space="preserve"> </w:t>
      </w:r>
      <w:bookmarkStart w:id="37" w:name="_Toc14893"/>
      <w:bookmarkStart w:id="38" w:name="_Toc25218"/>
      <w:r>
        <w:rPr>
          <w:rFonts w:ascii="幼圆" w:eastAsia="幼圆" w:hAnsi="幼圆" w:cs="幼圆" w:hint="eastAsia"/>
          <w:color w:val="auto"/>
        </w:rPr>
        <w:t>价值链成本控制理论</w:t>
      </w:r>
      <w:bookmarkEnd w:id="37"/>
      <w:bookmarkEnd w:id="38"/>
    </w:p>
    <w:p>
      <w:pPr>
        <w:pStyle w:val="Heading3"/>
        <w:tabs>
          <w:tab w:val="left" w:pos="0"/>
        </w:tabs>
        <w:spacing w:before="200" w:after="200"/>
        <w:rPr>
          <w:rFonts w:ascii="幼圆" w:eastAsia="幼圆" w:hAnsi="幼圆" w:cs="幼圆" w:hint="eastAsia"/>
          <w:color w:val="auto"/>
        </w:rPr>
      </w:pPr>
      <w:r>
        <w:rPr>
          <w:rFonts w:ascii="幼圆" w:eastAsia="幼圆" w:hAnsi="幼圆" w:cs="幼圆" w:hint="eastAsia"/>
          <w:color w:val="auto"/>
        </w:rPr>
        <w:t xml:space="preserve"> </w:t>
      </w:r>
      <w:bookmarkStart w:id="39" w:name="_Toc31355"/>
      <w:r>
        <w:rPr>
          <w:rFonts w:ascii="幼圆" w:eastAsia="幼圆" w:hAnsi="幼圆" w:cs="幼圆" w:hint="eastAsia"/>
          <w:color w:val="auto"/>
        </w:rPr>
        <w:t>价值链成本控制的概念</w:t>
      </w:r>
      <w:bookmarkEnd w:id="39"/>
    </w:p>
    <w:p>
      <w:pPr>
        <w:ind w:firstLine="480"/>
        <w:rPr>
          <w:rFonts w:ascii="幼圆" w:eastAsia="幼圆" w:hAnsi="幼圆" w:cs="幼圆" w:hint="eastAsia"/>
          <w:color w:val="auto"/>
          <w:sz w:val="24"/>
        </w:rPr>
      </w:pPr>
      <w:r>
        <w:rPr>
          <w:rFonts w:ascii="幼圆" w:eastAsia="幼圆" w:hAnsi="幼圆" w:cs="幼圆" w:hint="eastAsia"/>
          <w:color w:val="auto"/>
          <w:sz w:val="24"/>
        </w:rPr>
        <w:t>价值链成本控制主要通过有关的价值链分析方法控制企业的各项成本。结合价值链理论的成本控制方法更注重成本的综合控制，在结合资源投入、资源耗费及时间等与成本相关的要素上，进一步形成了三维成本控制模式。从本质上来说，基于价值链的成本控制通常具有双重性</w:t>
      </w:r>
      <w:r>
        <w:rPr>
          <w:rFonts w:ascii="幼圆" w:eastAsia="幼圆" w:hAnsi="幼圆" w:cs="幼圆" w:hint="eastAsia"/>
          <w:color w:val="auto"/>
          <w:sz w:val="24"/>
          <w:lang w:val="en-US" w:eastAsia="zh-CN"/>
        </w:rPr>
        <w:t>(郑雪珊 ,钟静雅)</w:t>
      </w:r>
      <w:r>
        <w:rPr>
          <w:rFonts w:ascii="幼圆" w:eastAsia="幼圆" w:hAnsi="幼圆" w:cs="幼圆" w:hint="eastAsia"/>
          <w:color w:val="auto"/>
          <w:sz w:val="24"/>
        </w:rPr>
        <w:t>：一方面是对资源耗费进行控制，在保证资源利用效率的基础上，增加对顾客价值的供给程度；另一方面则是使资源投入更加充足，从而创造迎合顾客需求的价值</w:t>
      </w:r>
      <w:r>
        <w:rPr>
          <w:rFonts w:ascii="幼圆" w:eastAsia="幼圆" w:hAnsi="幼圆" w:cs="幼圆" w:hint="eastAsia"/>
          <w:color w:val="auto"/>
          <w:sz w:val="24"/>
          <w:vertAlign w:val="superscript"/>
        </w:rPr>
        <w:t>[47]</w:t>
      </w:r>
      <w:r>
        <w:rPr>
          <w:rFonts w:ascii="幼圆" w:eastAsia="幼圆" w:hAnsi="幼圆" w:cs="幼圆" w:hint="eastAsia"/>
          <w:color w:val="auto"/>
          <w:sz w:val="24"/>
        </w:rPr>
        <w:t>。</w:t>
      </w:r>
    </w:p>
    <w:p>
      <w:pPr>
        <w:ind w:firstLine="480"/>
        <w:rPr>
          <w:rFonts w:ascii="幼圆" w:eastAsia="幼圆" w:hAnsi="幼圆" w:cs="幼圆" w:hint="eastAsia"/>
          <w:color w:val="auto"/>
          <w:sz w:val="24"/>
        </w:rPr>
      </w:pPr>
      <w:r>
        <w:rPr>
          <w:rFonts w:ascii="幼圆" w:eastAsia="幼圆" w:hAnsi="幼圆" w:cs="幼圆" w:hint="eastAsia"/>
          <w:color w:val="auto"/>
          <w:sz w:val="24"/>
        </w:rPr>
        <w:t>哈佛大学教授波特先生认为，企业应该结合内外部的价值链进行成本的综合控制。</w:t>
      </w:r>
    </w:p>
    <w:p>
      <w:pPr>
        <w:ind w:firstLine="480"/>
        <w:rPr>
          <w:rFonts w:ascii="幼圆" w:eastAsia="幼圆" w:hAnsi="幼圆" w:cs="幼圆" w:hint="eastAsia"/>
          <w:color w:val="auto"/>
          <w:sz w:val="24"/>
        </w:rPr>
      </w:pPr>
      <w:r>
        <w:rPr>
          <w:rFonts w:ascii="幼圆" w:eastAsia="幼圆" w:hAnsi="幼圆" w:cs="幼圆" w:hint="eastAsia"/>
          <w:color w:val="auto"/>
          <w:sz w:val="24"/>
        </w:rPr>
        <w:t>内部价值链成本控制指的是依据内部价值链需要控制企业成本。是为了符合企业的内部价值链定位，帮助企业构建更加优秀的价值链体系，从而能够最大限度保障顾客价值，最终提升企业的发展竞争优势</w:t>
      </w:r>
      <w:r>
        <w:rPr>
          <w:rFonts w:ascii="幼圆" w:eastAsia="幼圆" w:hAnsi="幼圆" w:cs="幼圆" w:hint="eastAsia"/>
          <w:color w:val="auto"/>
          <w:sz w:val="24"/>
          <w:vertAlign w:val="superscript"/>
        </w:rPr>
        <w:t>[</w:t>
      </w:r>
      <w:r>
        <w:rPr>
          <w:rFonts w:ascii="幼圆" w:eastAsia="幼圆" w:hAnsi="幼圆" w:cs="幼圆" w:hint="eastAsia"/>
          <w:color w:val="auto"/>
          <w:sz w:val="24"/>
          <w:vertAlign w:val="superscript"/>
          <w:lang w:val="en-US" w:eastAsia="zh-CN"/>
        </w:rPr>
        <w:t>3</w:t>
      </w:r>
      <w:r>
        <w:rPr>
          <w:rFonts w:ascii="幼圆" w:eastAsia="幼圆" w:hAnsi="幼圆" w:cs="幼圆" w:hint="eastAsia"/>
          <w:color w:val="auto"/>
          <w:sz w:val="24"/>
          <w:vertAlign w:val="superscript"/>
        </w:rPr>
        <w:t>]</w:t>
      </w:r>
      <w:r>
        <w:rPr>
          <w:rFonts w:ascii="幼圆" w:eastAsia="幼圆" w:hAnsi="幼圆" w:cs="幼圆" w:hint="eastAsia"/>
          <w:color w:val="auto"/>
          <w:sz w:val="24"/>
          <w:lang w:val="en-US" w:eastAsia="zh-CN"/>
        </w:rPr>
        <w:t>(谢晨曦 ,彭秋柔, 曾夏,2020)</w:t>
      </w:r>
      <w:r>
        <w:rPr>
          <w:rFonts w:ascii="幼圆" w:eastAsia="幼圆" w:hAnsi="幼圆" w:cs="幼圆" w:hint="eastAsia"/>
          <w:color w:val="auto"/>
          <w:sz w:val="24"/>
        </w:rPr>
        <w:t>。</w:t>
      </w:r>
    </w:p>
    <w:p>
      <w:pPr>
        <w:ind w:firstLine="480"/>
        <w:rPr>
          <w:rFonts w:ascii="幼圆" w:eastAsia="幼圆" w:hAnsi="幼圆" w:cs="幼圆" w:hint="eastAsia"/>
          <w:color w:val="auto"/>
          <w:sz w:val="24"/>
        </w:rPr>
      </w:pPr>
      <w:r>
        <w:rPr>
          <w:rFonts w:ascii="幼圆" w:eastAsia="幼圆" w:hAnsi="幼圆" w:cs="幼圆" w:hint="eastAsia"/>
          <w:color w:val="auto"/>
          <w:sz w:val="24"/>
        </w:rPr>
        <w:t>外部价值链成本控制即为基于竞争对手价值链、客户价值链、供应商价值链及行业价值链对企业进行的成本控制。最终目的是识别并确保企业在所处产业中的竞争优势,通过相互之间的合作形成价值链友好合作关系，进而确保企业自身的竞争优势地位</w:t>
      </w:r>
      <w:r>
        <w:rPr>
          <w:rFonts w:ascii="幼圆" w:eastAsia="幼圆" w:hAnsi="幼圆" w:cs="幼圆" w:hint="eastAsia"/>
          <w:color w:val="auto"/>
          <w:sz w:val="24"/>
          <w:vertAlign w:val="superscript"/>
        </w:rPr>
        <w:t>[4]</w:t>
      </w:r>
      <w:r>
        <w:rPr>
          <w:rFonts w:ascii="幼圆" w:eastAsia="幼圆" w:hAnsi="幼圆" w:cs="幼圆" w:hint="eastAsia"/>
          <w:color w:val="auto"/>
          <w:sz w:val="24"/>
        </w:rPr>
        <w:t>。</w:t>
      </w:r>
    </w:p>
    <w:p>
      <w:pPr>
        <w:pStyle w:val="Heading3"/>
        <w:tabs>
          <w:tab w:val="left" w:pos="0"/>
        </w:tabs>
        <w:spacing w:before="200" w:after="200"/>
        <w:rPr>
          <w:rFonts w:ascii="幼圆" w:eastAsia="幼圆" w:hAnsi="幼圆" w:cs="幼圆" w:hint="eastAsia"/>
          <w:color w:val="auto"/>
        </w:rPr>
      </w:pPr>
      <w:r>
        <w:rPr>
          <w:rFonts w:ascii="幼圆" w:eastAsia="幼圆" w:hAnsi="幼圆" w:cs="幼圆" w:hint="eastAsia"/>
          <w:color w:val="auto"/>
        </w:rPr>
        <w:t xml:space="preserve"> </w:t>
      </w:r>
      <w:bookmarkStart w:id="40" w:name="_Toc30130"/>
      <w:r>
        <w:rPr>
          <w:rFonts w:ascii="幼圆" w:eastAsia="幼圆" w:hAnsi="幼圆" w:cs="幼圆" w:hint="eastAsia"/>
          <w:color w:val="auto"/>
        </w:rPr>
        <w:t>价值链成本控制的基本内容</w:t>
      </w:r>
      <w:bookmarkEnd w:id="40"/>
    </w:p>
    <w:p>
      <w:pPr>
        <w:ind w:firstLine="480"/>
        <w:rPr>
          <w:rFonts w:ascii="幼圆" w:eastAsia="幼圆" w:hAnsi="幼圆" w:cs="幼圆" w:hint="eastAsia"/>
          <w:color w:val="auto"/>
          <w:sz w:val="24"/>
        </w:rPr>
        <w:sectPr>
          <w:headerReference w:type="even" r:id="rId11"/>
          <w:headerReference w:type="default" r:id="rId12"/>
          <w:footerReference w:type="default" r:id="rId13"/>
          <w:type w:val="nextPage"/>
          <w:pgSz w:w="11906" w:h="16838"/>
          <w:pgMar w:top="1417" w:right="1418" w:bottom="1417" w:left="1418" w:header="851" w:footer="992" w:gutter="0"/>
          <w:pgNumType w:start="4"/>
          <w:cols w:space="708"/>
          <w:titlePg w:val="0"/>
          <w:rtlGutter/>
          <w:docGrid w:type="lines" w:linePitch="400" w:charSpace="0"/>
        </w:sectPr>
      </w:pPr>
      <w:r>
        <w:rPr>
          <w:rFonts w:ascii="幼圆" w:eastAsia="幼圆" w:hAnsi="幼圆" w:cs="幼圆" w:hint="eastAsia"/>
          <w:color w:val="auto"/>
          <w:sz w:val="24"/>
        </w:rPr>
        <w:t>价值链主要涵盖了市场需求调查、产品与相关技术设备的设计研发、材料采购、生产制造、销售售后等多种环节。归纳总结了大多数学者的研究结果发现，与价值链成本控制理论相关联的核心问题主要有五项</w:t>
      </w:r>
      <w:r>
        <w:rPr>
          <w:rFonts w:ascii="幼圆" w:eastAsia="幼圆" w:hAnsi="幼圆" w:cs="幼圆" w:hint="eastAsia"/>
          <w:color w:val="auto"/>
          <w:sz w:val="24"/>
          <w:lang w:val="en-US" w:eastAsia="zh-CN"/>
        </w:rPr>
        <w:t>(许丹青, 韦冬梅)</w:t>
      </w:r>
    </w:p>
    <w:p>
      <w:pPr>
        <w:ind w:firstLine="480"/>
        <w:rPr>
          <w:rFonts w:ascii="幼圆" w:eastAsia="幼圆" w:hAnsi="幼圆" w:cs="幼圆" w:hint="eastAsia"/>
          <w:color w:val="auto"/>
          <w:sz w:val="24"/>
        </w:rPr>
      </w:pPr>
      <w:r>
        <w:rPr>
          <w:rFonts w:ascii="幼圆" w:eastAsia="幼圆" w:hAnsi="幼圆" w:cs="幼圆" w:hint="eastAsia"/>
          <w:color w:val="auto"/>
          <w:sz w:val="24"/>
        </w:rPr>
        <w:t>。第一，如何对客户价值进行有效评估才能准确反映企业产品已满足市场及消费者需求，进而体现创造价值的可能性。第二，如何有效应用信息技术获取所需数据资料并为企业成本控制工作提供帮助，进而增强企业竞争力。第三，如何缩短研发设计周期，降低客户需求不稳定性的风险，准确迎合客户需求。第第</w:t>
      </w:r>
      <w:r>
        <w:rPr>
          <w:rFonts w:ascii="幼圆" w:eastAsia="幼圆" w:hAnsi="幼圆" w:cs="幼圆" w:hint="eastAsia"/>
          <w:color w:val="auto"/>
          <w:sz w:val="24"/>
          <w:lang w:eastAsia="zh-CN"/>
        </w:rPr>
        <w:t>四</w:t>
      </w:r>
      <w:r>
        <w:rPr>
          <w:rFonts w:ascii="幼圆" w:eastAsia="幼圆" w:hAnsi="幼圆" w:cs="幼圆" w:hint="eastAsia"/>
          <w:color w:val="auto"/>
          <w:sz w:val="24"/>
        </w:rPr>
        <w:t>，如何把控仓库存储量才能降低企业生产压力，减少仓储费用，同时满足再次订购及售后维修的需求</w:t>
      </w:r>
      <w:r>
        <w:rPr>
          <w:rFonts w:ascii="幼圆" w:eastAsia="幼圆" w:hAnsi="幼圆" w:cs="幼圆" w:hint="eastAsia"/>
          <w:color w:val="auto"/>
          <w:sz w:val="24"/>
          <w:vertAlign w:val="superscript"/>
          <w:lang w:val="en-US" w:eastAsia="zh-CN"/>
        </w:rPr>
        <w:t>[5]</w:t>
      </w:r>
      <w:r>
        <w:rPr>
          <w:rFonts w:ascii="幼圆" w:eastAsia="幼圆" w:hAnsi="幼圆" w:cs="幼圆" w:hint="eastAsia"/>
          <w:color w:val="auto"/>
          <w:sz w:val="24"/>
        </w:rPr>
        <w:t>。</w:t>
      </w:r>
    </w:p>
    <w:p>
      <w:pPr>
        <w:pStyle w:val="Heading1"/>
        <w:tabs>
          <w:tab w:val="left" w:pos="0"/>
        </w:tabs>
        <w:spacing w:before="200" w:after="400"/>
        <w:rPr>
          <w:rFonts w:ascii="幼圆" w:eastAsia="幼圆" w:hAnsi="幼圆" w:cs="幼圆" w:hint="eastAsia"/>
          <w:color w:val="auto"/>
        </w:rPr>
      </w:pPr>
      <w:r>
        <w:rPr>
          <w:rFonts w:ascii="幼圆" w:eastAsia="幼圆" w:hAnsi="幼圆" w:cs="幼圆" w:hint="eastAsia"/>
          <w:color w:val="auto"/>
        </w:rPr>
        <w:t xml:space="preserve"> </w:t>
      </w:r>
      <w:bookmarkStart w:id="41" w:name="_Toc13957"/>
      <w:r>
        <w:rPr>
          <w:rFonts w:ascii="幼圆" w:eastAsia="幼圆" w:hAnsi="幼圆" w:cs="幼圆" w:hint="eastAsia"/>
          <w:color w:val="auto"/>
        </w:rPr>
        <w:t>基于价值链下</w:t>
      </w:r>
      <w:r>
        <w:rPr>
          <w:rFonts w:ascii="幼圆" w:eastAsia="幼圆" w:hAnsi="幼圆" w:cs="幼圆" w:hint="eastAsia"/>
          <w:color w:val="auto"/>
          <w:lang w:eastAsia="zh-CN"/>
        </w:rPr>
        <w:t>安庆博莱雅休闲服饰公司</w:t>
      </w:r>
      <w:r>
        <w:rPr>
          <w:rFonts w:ascii="幼圆" w:eastAsia="幼圆" w:hAnsi="幼圆" w:cs="幼圆" w:hint="eastAsia"/>
          <w:color w:val="auto"/>
        </w:rPr>
        <w:t>成本控制现状</w:t>
      </w:r>
      <w:bookmarkEnd w:id="41"/>
    </w:p>
    <w:p>
      <w:pPr>
        <w:pStyle w:val="Heading2"/>
        <w:tabs>
          <w:tab w:val="left" w:pos="0"/>
        </w:tabs>
        <w:spacing w:before="400" w:after="200"/>
        <w:rPr>
          <w:rFonts w:ascii="幼圆" w:eastAsia="幼圆" w:hAnsi="幼圆" w:cs="幼圆" w:hint="eastAsia"/>
          <w:color w:val="auto"/>
        </w:rPr>
      </w:pPr>
      <w:r>
        <w:rPr>
          <w:rFonts w:ascii="幼圆" w:eastAsia="幼圆" w:hAnsi="幼圆" w:cs="幼圆" w:hint="eastAsia"/>
          <w:color w:val="auto"/>
        </w:rPr>
        <w:t xml:space="preserve"> </w:t>
      </w:r>
      <w:bookmarkStart w:id="42" w:name="_Toc23056"/>
      <w:bookmarkStart w:id="43" w:name="_Toc17806"/>
      <w:r>
        <w:rPr>
          <w:rFonts w:ascii="幼圆" w:eastAsia="幼圆" w:hAnsi="幼圆" w:cs="幼圆" w:hint="eastAsia"/>
          <w:color w:val="auto"/>
          <w:lang w:eastAsia="zh-CN"/>
        </w:rPr>
        <w:t>安庆博莱雅休闲服饰公司</w:t>
      </w:r>
      <w:r>
        <w:rPr>
          <w:rFonts w:ascii="幼圆" w:eastAsia="幼圆" w:hAnsi="幼圆" w:cs="幼圆" w:hint="eastAsia"/>
          <w:color w:val="auto"/>
        </w:rPr>
        <w:t>概况</w:t>
      </w:r>
      <w:bookmarkEnd w:id="42"/>
      <w:bookmarkEnd w:id="43"/>
    </w:p>
    <w:p>
      <w:pPr>
        <w:spacing w:line="400" w:lineRule="exact"/>
        <w:ind w:firstLine="480" w:firstLineChars="200"/>
        <w:rPr>
          <w:rFonts w:ascii="幼圆" w:eastAsia="幼圆" w:hAnsi="幼圆" w:cs="幼圆" w:hint="eastAsia"/>
          <w:color w:val="auto"/>
          <w:sz w:val="24"/>
        </w:rPr>
      </w:pPr>
      <w:r>
        <w:rPr>
          <w:rFonts w:ascii="幼圆" w:eastAsia="幼圆" w:hAnsi="幼圆" w:cs="幼圆" w:hint="eastAsia"/>
          <w:color w:val="auto"/>
          <w:sz w:val="24"/>
          <w:lang w:val="en-US" w:eastAsia="zh-CN"/>
        </w:rPr>
        <w:t>安庆博莱雅公司是我国休闲服饰行业的代表性企业，深耕休闲服饰领域多年，安庆博莱雅在曾经在2018-2020年三年连续获得我国</w:t>
      </w:r>
      <w:r>
        <w:rPr>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国家休闲服饰企业荣誉金奖</w:t>
      </w:r>
      <w:r>
        <w:rPr>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国家优质纳税企业</w:t>
      </w:r>
      <w:r>
        <w:rPr>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以及入围了</w:t>
      </w:r>
      <w:r>
        <w:rPr>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安庆市优质休闲服饰企业</w:t>
      </w:r>
      <w:r>
        <w:rPr>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。安庆博莱雅的发展是我国休闲服饰企业改革创新的缩影，因此能够在很大程度上代表着我国休闲服饰企业的发展状况。公司秉承</w:t>
      </w:r>
      <w:r>
        <w:rPr>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实干创造未来</w:t>
      </w:r>
      <w:r>
        <w:rPr>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的企业精神，坚持做出高品质产品，本着</w:t>
      </w:r>
      <w:r>
        <w:rPr>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追求、质量、技术、精神</w:t>
      </w:r>
      <w:r>
        <w:rPr>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8字宗旨，基于休闲服饰市场需求进行不断创新，使公司始终处于休闲服饰行业前沿，引领休闲服饰行业的发展。</w:t>
      </w:r>
    </w:p>
    <w:p>
      <w:pPr>
        <w:pStyle w:val="Heading2"/>
        <w:tabs>
          <w:tab w:val="left" w:pos="0"/>
        </w:tabs>
        <w:spacing w:before="400" w:after="200"/>
        <w:rPr>
          <w:rFonts w:ascii="幼圆" w:eastAsia="幼圆" w:hAnsi="幼圆" w:cs="幼圆" w:hint="eastAsia"/>
          <w:color w:val="auto"/>
        </w:rPr>
      </w:pPr>
      <w:r>
        <w:rPr>
          <w:rFonts w:ascii="幼圆" w:eastAsia="幼圆" w:hAnsi="幼圆" w:cs="幼圆" w:hint="eastAsia"/>
          <w:color w:val="auto"/>
        </w:rPr>
        <w:t xml:space="preserve"> </w:t>
      </w:r>
      <w:bookmarkStart w:id="44" w:name="_Toc22758"/>
      <w:bookmarkStart w:id="45" w:name="_Toc3360"/>
      <w:r>
        <w:rPr>
          <w:rFonts w:ascii="幼圆" w:eastAsia="幼圆" w:hAnsi="幼圆" w:cs="幼圆" w:hint="eastAsia"/>
          <w:color w:val="auto"/>
          <w:lang w:eastAsia="zh-CN"/>
        </w:rPr>
        <w:t>安庆博莱雅休闲服饰公司</w:t>
      </w:r>
      <w:r>
        <w:rPr>
          <w:rFonts w:ascii="幼圆" w:eastAsia="幼圆" w:hAnsi="幼圆" w:cs="幼圆" w:hint="eastAsia"/>
          <w:color w:val="auto"/>
        </w:rPr>
        <w:t>成本控制现状分析</w:t>
      </w:r>
      <w:bookmarkEnd w:id="44"/>
      <w:bookmarkEnd w:id="45"/>
    </w:p>
    <w:p>
      <w:pPr>
        <w:pStyle w:val="Heading3"/>
        <w:tabs>
          <w:tab w:val="left" w:pos="0"/>
        </w:tabs>
        <w:spacing w:before="200" w:after="200"/>
        <w:rPr>
          <w:rFonts w:ascii="幼圆" w:eastAsia="幼圆" w:hAnsi="幼圆" w:cs="幼圆" w:hint="eastAsia"/>
          <w:color w:val="auto"/>
        </w:rPr>
      </w:pPr>
      <w:r>
        <w:rPr>
          <w:rFonts w:ascii="幼圆" w:eastAsia="幼圆" w:hAnsi="幼圆" w:cs="幼圆" w:hint="eastAsia"/>
          <w:color w:val="auto"/>
        </w:rPr>
        <w:t xml:space="preserve"> </w:t>
      </w:r>
      <w:bookmarkStart w:id="46" w:name="_Toc12294"/>
      <w:r>
        <w:rPr>
          <w:rFonts w:ascii="幼圆" w:eastAsia="幼圆" w:hAnsi="幼圆" w:cs="幼圆" w:hint="eastAsia"/>
          <w:color w:val="auto"/>
        </w:rPr>
        <w:t>研发环节成本控制现状</w:t>
      </w:r>
      <w:bookmarkEnd w:id="46"/>
    </w:p>
    <w:p>
      <w:pPr>
        <w:spacing w:line="400" w:lineRule="exact"/>
        <w:ind w:firstLine="480" w:firstLineChars="200"/>
        <w:rPr>
          <w:rFonts w:ascii="幼圆" w:eastAsia="幼圆" w:hAnsi="幼圆" w:cs="幼圆" w:hint="eastAsia"/>
          <w:color w:val="auto"/>
          <w:sz w:val="24"/>
        </w:rPr>
      </w:pPr>
      <w:r>
        <w:rPr>
          <w:rFonts w:ascii="幼圆" w:eastAsia="幼圆" w:hAnsi="幼圆" w:cs="幼圆" w:hint="eastAsia"/>
          <w:color w:val="auto"/>
          <w:sz w:val="24"/>
          <w:lang w:eastAsia="zh-CN"/>
        </w:rPr>
        <w:t>安庆博莱雅公司</w:t>
      </w:r>
      <w:r>
        <w:rPr>
          <w:rFonts w:ascii="幼圆" w:eastAsia="幼圆" w:hAnsi="幼圆" w:cs="幼圆" w:hint="eastAsia"/>
          <w:color w:val="auto"/>
          <w:sz w:val="24"/>
        </w:rPr>
        <w:t>在产品研发的过程当中，要控制产品研发的各个环节的成本。按照研发项目的需要以及成本计算，每日记录材料成本以及其他的成本消耗，实现各个环节的成本控制。</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会依据每年的项目成本消耗以及资金使用情况，计算第二年支出的研发成本。</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的研发投入情况如表3-</w:t>
      </w:r>
      <w:r>
        <w:rPr>
          <w:rFonts w:ascii="幼圆" w:eastAsia="幼圆" w:hAnsi="幼圆" w:cs="幼圆" w:hint="eastAsia"/>
          <w:color w:val="auto"/>
          <w:sz w:val="24"/>
          <w:lang w:val="en-US" w:eastAsia="zh-CN"/>
        </w:rPr>
        <w:t>1</w:t>
      </w:r>
      <w:r>
        <w:rPr>
          <w:rFonts w:ascii="幼圆" w:eastAsia="幼圆" w:hAnsi="幼圆" w:cs="幼圆" w:hint="eastAsia"/>
          <w:color w:val="auto"/>
          <w:sz w:val="24"/>
        </w:rPr>
        <w:t>所示。</w:t>
      </w:r>
    </w:p>
    <w:p>
      <w:pPr>
        <w:pStyle w:val="Caption"/>
        <w:spacing w:line="400" w:lineRule="exact"/>
        <w:jc w:val="center"/>
        <w:rPr>
          <w:rFonts w:ascii="幼圆" w:eastAsia="幼圆" w:hAnsi="幼圆" w:cs="幼圆" w:hint="eastAsia"/>
          <w:color w:val="auto"/>
          <w:sz w:val="21"/>
          <w:szCs w:val="24"/>
        </w:rPr>
      </w:pPr>
      <w:r>
        <w:rPr>
          <w:rFonts w:ascii="幼圆" w:eastAsia="幼圆" w:hAnsi="幼圆" w:cs="幼圆" w:hint="eastAsia"/>
          <w:color w:val="auto"/>
          <w:sz w:val="21"/>
          <w:szCs w:val="24"/>
        </w:rPr>
        <w:t xml:space="preserve">表 </w:t>
      </w:r>
      <w:r>
        <w:rPr>
          <w:rFonts w:ascii="幼圆" w:eastAsia="幼圆" w:hAnsi="幼圆" w:cs="幼圆" w:hint="eastAsia"/>
          <w:color w:val="auto"/>
          <w:sz w:val="21"/>
          <w:szCs w:val="24"/>
        </w:rPr>
        <w:fldChar w:fldCharType="begin"/>
      </w:r>
      <w:r>
        <w:rPr>
          <w:rFonts w:ascii="幼圆" w:eastAsia="幼圆" w:hAnsi="幼圆" w:cs="幼圆" w:hint="eastAsia"/>
          <w:color w:val="auto"/>
          <w:sz w:val="21"/>
          <w:szCs w:val="24"/>
        </w:rPr>
        <w:instrText xml:space="preserve"> STYLEREF 1 \s </w:instrText>
      </w:r>
      <w:r>
        <w:rPr>
          <w:rFonts w:ascii="幼圆" w:eastAsia="幼圆" w:hAnsi="幼圆" w:cs="幼圆" w:hint="eastAsia"/>
          <w:color w:val="auto"/>
          <w:sz w:val="21"/>
          <w:szCs w:val="24"/>
        </w:rPr>
        <w:fldChar w:fldCharType="separate"/>
      </w:r>
      <w:r>
        <w:rPr>
          <w:rFonts w:ascii="幼圆" w:eastAsia="幼圆" w:hAnsi="幼圆" w:cs="幼圆" w:hint="eastAsia"/>
          <w:color w:val="auto"/>
          <w:sz w:val="21"/>
          <w:szCs w:val="24"/>
        </w:rPr>
        <w:t>3</w:t>
      </w:r>
      <w:r>
        <w:rPr>
          <w:rFonts w:ascii="幼圆" w:eastAsia="幼圆" w:hAnsi="幼圆" w:cs="幼圆" w:hint="eastAsia"/>
          <w:color w:val="auto"/>
          <w:sz w:val="21"/>
          <w:szCs w:val="24"/>
        </w:rPr>
        <w:fldChar w:fldCharType="end"/>
      </w:r>
      <w:r>
        <w:rPr>
          <w:rFonts w:ascii="幼圆" w:eastAsia="幼圆" w:hAnsi="幼圆" w:cs="幼圆" w:hint="eastAsia"/>
          <w:color w:val="auto"/>
          <w:sz w:val="21"/>
          <w:szCs w:val="24"/>
        </w:rPr>
        <w:t>-</w:t>
      </w:r>
      <w:bookmarkStart w:id="47" w:name="_Toc17981"/>
      <w:r>
        <w:rPr>
          <w:rFonts w:ascii="幼圆" w:eastAsia="幼圆" w:hAnsi="幼圆" w:cs="幼圆" w:hint="eastAsia"/>
          <w:color w:val="auto"/>
          <w:sz w:val="21"/>
          <w:szCs w:val="24"/>
          <w:lang w:val="en-US" w:eastAsia="zh-CN"/>
        </w:rPr>
        <w:t>1</w:t>
      </w:r>
      <w:r>
        <w:rPr>
          <w:rFonts w:ascii="幼圆" w:eastAsia="幼圆" w:hAnsi="幼圆" w:cs="幼圆" w:hint="eastAsia"/>
          <w:color w:val="auto"/>
          <w:sz w:val="21"/>
          <w:szCs w:val="24"/>
        </w:rPr>
        <w:t xml:space="preserve"> </w:t>
      </w:r>
      <w:r>
        <w:rPr>
          <w:rFonts w:ascii="幼圆" w:eastAsia="幼圆" w:hAnsi="幼圆" w:cs="幼圆" w:hint="eastAsia"/>
          <w:color w:val="auto"/>
          <w:sz w:val="21"/>
          <w:szCs w:val="24"/>
          <w:lang w:eastAsia="zh-CN"/>
        </w:rPr>
        <w:t>安庆博莱雅休闲服饰公司</w:t>
      </w:r>
      <w:r>
        <w:rPr>
          <w:rFonts w:ascii="幼圆" w:eastAsia="幼圆" w:hAnsi="幼圆" w:cs="幼圆" w:hint="eastAsia"/>
          <w:color w:val="auto"/>
          <w:sz w:val="21"/>
          <w:szCs w:val="24"/>
        </w:rPr>
        <w:t>研发投入情况  单位：万元</w:t>
      </w:r>
      <w:bookmarkEnd w:id="47"/>
    </w:p>
    <w:tbl>
      <w:tblPr>
        <w:tblStyle w:val="TableNormal"/>
        <w:tblW w:w="9100" w:type="dxa"/>
        <w:tblInd w:w="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3430"/>
        <w:gridCol w:w="1134"/>
        <w:gridCol w:w="1134"/>
        <w:gridCol w:w="1134"/>
        <w:gridCol w:w="1134"/>
        <w:gridCol w:w="1134"/>
      </w:tblGrid>
      <w:tr>
        <w:tblPrEx>
          <w:tblW w:w="9100" w:type="dxa"/>
          <w:tblInd w:w="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c>
          <w:tcPr>
            <w:tcW w:w="3430" w:type="dxa"/>
            <w:tcBorders>
              <w:top w:val="single" w:sz="12" w:space="0" w:color="auto"/>
              <w:left w:val="nil"/>
              <w:bottom w:val="single" w:sz="4" w:space="0" w:color="auto"/>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时间</w:t>
            </w:r>
          </w:p>
        </w:tc>
        <w:tc>
          <w:tcPr>
            <w:tcW w:w="1134" w:type="dxa"/>
            <w:tcBorders>
              <w:top w:val="single" w:sz="12" w:space="0" w:color="auto"/>
              <w:left w:val="nil"/>
              <w:bottom w:val="single" w:sz="4" w:space="0" w:color="auto"/>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2016</w:t>
            </w:r>
          </w:p>
        </w:tc>
        <w:tc>
          <w:tcPr>
            <w:tcW w:w="1134" w:type="dxa"/>
            <w:tcBorders>
              <w:top w:val="single" w:sz="12" w:space="0" w:color="auto"/>
              <w:left w:val="nil"/>
              <w:bottom w:val="single" w:sz="4" w:space="0" w:color="auto"/>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2017</w:t>
            </w:r>
          </w:p>
        </w:tc>
        <w:tc>
          <w:tcPr>
            <w:tcW w:w="1134" w:type="dxa"/>
            <w:tcBorders>
              <w:top w:val="single" w:sz="12" w:space="0" w:color="auto"/>
              <w:left w:val="nil"/>
              <w:bottom w:val="single" w:sz="4" w:space="0" w:color="auto"/>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2018</w:t>
            </w:r>
          </w:p>
        </w:tc>
        <w:tc>
          <w:tcPr>
            <w:tcW w:w="1134" w:type="dxa"/>
            <w:tcBorders>
              <w:top w:val="single" w:sz="12" w:space="0" w:color="auto"/>
              <w:left w:val="nil"/>
              <w:bottom w:val="single" w:sz="4" w:space="0" w:color="auto"/>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2019</w:t>
            </w:r>
          </w:p>
        </w:tc>
        <w:tc>
          <w:tcPr>
            <w:tcW w:w="1134" w:type="dxa"/>
            <w:tcBorders>
              <w:top w:val="single" w:sz="12" w:space="0" w:color="auto"/>
              <w:left w:val="nil"/>
              <w:bottom w:val="single" w:sz="4" w:space="0" w:color="auto"/>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2020</w:t>
            </w:r>
          </w:p>
        </w:tc>
      </w:tr>
      <w:tr>
        <w:tblPrEx>
          <w:tblW w:w="9100" w:type="dxa"/>
          <w:tblInd w:w="229" w:type="dxa"/>
          <w:tblLayout w:type="fixed"/>
          <w:tblCellMar>
            <w:top w:w="0" w:type="dxa"/>
            <w:left w:w="108" w:type="dxa"/>
            <w:bottom w:w="0" w:type="dxa"/>
            <w:right w:w="108" w:type="dxa"/>
          </w:tblCellMar>
          <w:tblLook w:val="0000"/>
        </w:tblPrEx>
        <w:tc>
          <w:tcPr>
            <w:tcW w:w="3430"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研发投入</w:t>
            </w:r>
          </w:p>
        </w:tc>
        <w:tc>
          <w:tcPr>
            <w:tcW w:w="1134"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1350.31</w:t>
            </w:r>
          </w:p>
        </w:tc>
        <w:tc>
          <w:tcPr>
            <w:tcW w:w="1134"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1361.64</w:t>
            </w:r>
          </w:p>
        </w:tc>
        <w:tc>
          <w:tcPr>
            <w:tcW w:w="1134"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1229.04</w:t>
            </w:r>
          </w:p>
        </w:tc>
        <w:tc>
          <w:tcPr>
            <w:tcW w:w="1134"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1220.06</w:t>
            </w:r>
          </w:p>
        </w:tc>
        <w:tc>
          <w:tcPr>
            <w:tcW w:w="1134"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925.57</w:t>
            </w:r>
          </w:p>
        </w:tc>
      </w:tr>
      <w:tr>
        <w:tblPrEx>
          <w:tblW w:w="9100" w:type="dxa"/>
          <w:tblInd w:w="229" w:type="dxa"/>
          <w:tblLayout w:type="fixed"/>
          <w:tblCellMar>
            <w:top w:w="0" w:type="dxa"/>
            <w:left w:w="108" w:type="dxa"/>
            <w:bottom w:w="0" w:type="dxa"/>
            <w:right w:w="108" w:type="dxa"/>
          </w:tblCellMar>
          <w:tblLook w:val="0000"/>
        </w:tblPrEx>
        <w:tc>
          <w:tcPr>
            <w:tcW w:w="3430"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营业收入</w:t>
            </w:r>
          </w:p>
        </w:tc>
        <w:tc>
          <w:tcPr>
            <w:tcW w:w="1134" w:type="dxa"/>
            <w:tcBorders>
              <w:top w:val="nil"/>
              <w:left w:val="nil"/>
              <w:bottom w:val="nil"/>
              <w:right w:val="nil"/>
            </w:tcBorders>
            <w:vAlign w:val="bottom"/>
          </w:tcPr>
          <w:p>
            <w:pPr>
              <w:jc w:val="center"/>
              <w:rPr>
                <w:rFonts w:ascii="幼圆" w:eastAsia="幼圆" w:hAnsi="幼圆" w:cs="幼圆" w:hint="eastAsia"/>
                <w:color w:val="auto"/>
                <w:szCs w:val="21"/>
              </w:rPr>
            </w:pPr>
            <w:r>
              <w:rPr>
                <w:rFonts w:ascii="幼圆" w:eastAsia="幼圆" w:hAnsi="幼圆" w:cs="幼圆" w:hint="eastAsia"/>
                <w:color w:val="auto"/>
              </w:rPr>
              <w:t>29824.00</w:t>
            </w:r>
          </w:p>
        </w:tc>
        <w:tc>
          <w:tcPr>
            <w:tcW w:w="1134" w:type="dxa"/>
            <w:tcBorders>
              <w:top w:val="nil"/>
              <w:left w:val="nil"/>
              <w:bottom w:val="nil"/>
              <w:right w:val="nil"/>
            </w:tcBorders>
            <w:vAlign w:val="bottom"/>
          </w:tcPr>
          <w:p>
            <w:pPr>
              <w:jc w:val="center"/>
              <w:rPr>
                <w:rFonts w:ascii="幼圆" w:eastAsia="幼圆" w:hAnsi="幼圆" w:cs="幼圆" w:hint="eastAsia"/>
                <w:color w:val="auto"/>
                <w:szCs w:val="21"/>
              </w:rPr>
            </w:pPr>
            <w:r>
              <w:rPr>
                <w:rFonts w:ascii="幼圆" w:eastAsia="幼圆" w:hAnsi="幼圆" w:cs="幼圆" w:hint="eastAsia"/>
                <w:color w:val="auto"/>
              </w:rPr>
              <w:t>28703.00</w:t>
            </w:r>
          </w:p>
        </w:tc>
        <w:tc>
          <w:tcPr>
            <w:tcW w:w="1134" w:type="dxa"/>
            <w:tcBorders>
              <w:top w:val="nil"/>
              <w:left w:val="nil"/>
              <w:bottom w:val="nil"/>
              <w:right w:val="nil"/>
            </w:tcBorders>
            <w:vAlign w:val="bottom"/>
          </w:tcPr>
          <w:p>
            <w:pPr>
              <w:jc w:val="center"/>
              <w:rPr>
                <w:rFonts w:ascii="幼圆" w:eastAsia="幼圆" w:hAnsi="幼圆" w:cs="幼圆" w:hint="eastAsia"/>
                <w:color w:val="auto"/>
                <w:szCs w:val="21"/>
              </w:rPr>
            </w:pPr>
            <w:r>
              <w:rPr>
                <w:rFonts w:ascii="幼圆" w:eastAsia="幼圆" w:hAnsi="幼圆" w:cs="幼圆" w:hint="eastAsia"/>
                <w:color w:val="auto"/>
              </w:rPr>
              <w:t>31896.00</w:t>
            </w:r>
          </w:p>
        </w:tc>
        <w:tc>
          <w:tcPr>
            <w:tcW w:w="1134" w:type="dxa"/>
            <w:tcBorders>
              <w:top w:val="nil"/>
              <w:left w:val="nil"/>
              <w:bottom w:val="nil"/>
              <w:right w:val="nil"/>
            </w:tcBorders>
            <w:vAlign w:val="bottom"/>
          </w:tcPr>
          <w:p>
            <w:pPr>
              <w:jc w:val="center"/>
              <w:rPr>
                <w:rFonts w:ascii="幼圆" w:eastAsia="幼圆" w:hAnsi="幼圆" w:cs="幼圆" w:hint="eastAsia"/>
                <w:color w:val="auto"/>
                <w:szCs w:val="21"/>
              </w:rPr>
            </w:pPr>
            <w:r>
              <w:rPr>
                <w:rFonts w:ascii="幼圆" w:eastAsia="幼圆" w:hAnsi="幼圆" w:cs="幼圆" w:hint="eastAsia"/>
                <w:color w:val="auto"/>
              </w:rPr>
              <w:t>29659.03</w:t>
            </w:r>
          </w:p>
        </w:tc>
        <w:tc>
          <w:tcPr>
            <w:tcW w:w="1134" w:type="dxa"/>
            <w:tcBorders>
              <w:top w:val="nil"/>
              <w:left w:val="nil"/>
              <w:bottom w:val="nil"/>
              <w:right w:val="nil"/>
            </w:tcBorders>
            <w:vAlign w:val="bottom"/>
          </w:tcPr>
          <w:p>
            <w:pPr>
              <w:jc w:val="center"/>
              <w:rPr>
                <w:rFonts w:ascii="幼圆" w:eastAsia="幼圆" w:hAnsi="幼圆" w:cs="幼圆" w:hint="eastAsia"/>
                <w:color w:val="auto"/>
              </w:rPr>
            </w:pPr>
            <w:r>
              <w:rPr>
                <w:rFonts w:ascii="幼圆" w:eastAsia="幼圆" w:hAnsi="幼圆" w:cs="幼圆" w:hint="eastAsia"/>
                <w:color w:val="auto"/>
              </w:rPr>
              <w:t>24332.87</w:t>
            </w:r>
          </w:p>
        </w:tc>
      </w:tr>
      <w:tr>
        <w:tblPrEx>
          <w:tblW w:w="9100" w:type="dxa"/>
          <w:tblInd w:w="229" w:type="dxa"/>
          <w:tblLayout w:type="fixed"/>
          <w:tblCellMar>
            <w:top w:w="0" w:type="dxa"/>
            <w:left w:w="108" w:type="dxa"/>
            <w:bottom w:w="0" w:type="dxa"/>
            <w:right w:w="108" w:type="dxa"/>
          </w:tblCellMar>
          <w:tblLook w:val="0000"/>
        </w:tblPrEx>
        <w:tc>
          <w:tcPr>
            <w:tcW w:w="3430"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研发投入占营业收入的比例</w:t>
            </w:r>
          </w:p>
        </w:tc>
        <w:tc>
          <w:tcPr>
            <w:tcW w:w="1134"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4.53%</w:t>
            </w:r>
          </w:p>
        </w:tc>
        <w:tc>
          <w:tcPr>
            <w:tcW w:w="1134"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4.74%</w:t>
            </w:r>
          </w:p>
        </w:tc>
        <w:tc>
          <w:tcPr>
            <w:tcW w:w="1134"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3.85%</w:t>
            </w:r>
          </w:p>
        </w:tc>
        <w:tc>
          <w:tcPr>
            <w:tcW w:w="1134"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4.12%</w:t>
            </w:r>
          </w:p>
        </w:tc>
        <w:tc>
          <w:tcPr>
            <w:tcW w:w="1134"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3.80%</w:t>
            </w:r>
          </w:p>
        </w:tc>
      </w:tr>
      <w:tr>
        <w:tblPrEx>
          <w:tblW w:w="9100" w:type="dxa"/>
          <w:tblInd w:w="229" w:type="dxa"/>
          <w:tblLayout w:type="fixed"/>
          <w:tblCellMar>
            <w:top w:w="0" w:type="dxa"/>
            <w:left w:w="108" w:type="dxa"/>
            <w:bottom w:w="0" w:type="dxa"/>
            <w:right w:w="108" w:type="dxa"/>
          </w:tblCellMar>
          <w:tblLook w:val="0000"/>
        </w:tblPrEx>
        <w:tc>
          <w:tcPr>
            <w:tcW w:w="3430"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研发投入资本化的金额</w:t>
            </w:r>
          </w:p>
        </w:tc>
        <w:tc>
          <w:tcPr>
            <w:tcW w:w="1134"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0.00</w:t>
            </w:r>
          </w:p>
        </w:tc>
        <w:tc>
          <w:tcPr>
            <w:tcW w:w="1134"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0.00</w:t>
            </w:r>
          </w:p>
        </w:tc>
        <w:tc>
          <w:tcPr>
            <w:tcW w:w="1134"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0.00</w:t>
            </w:r>
          </w:p>
        </w:tc>
        <w:tc>
          <w:tcPr>
            <w:tcW w:w="1134"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0.00</w:t>
            </w:r>
          </w:p>
        </w:tc>
        <w:tc>
          <w:tcPr>
            <w:tcW w:w="1134"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0.00</w:t>
            </w:r>
          </w:p>
        </w:tc>
      </w:tr>
      <w:tr>
        <w:tblPrEx>
          <w:tblW w:w="9100" w:type="dxa"/>
          <w:tblInd w:w="229" w:type="dxa"/>
          <w:tblLayout w:type="fixed"/>
          <w:tblCellMar>
            <w:top w:w="0" w:type="dxa"/>
            <w:left w:w="108" w:type="dxa"/>
            <w:bottom w:w="0" w:type="dxa"/>
            <w:right w:w="108" w:type="dxa"/>
          </w:tblCellMar>
          <w:tblLook w:val="0000"/>
        </w:tblPrEx>
        <w:tc>
          <w:tcPr>
            <w:tcW w:w="3430" w:type="dxa"/>
            <w:tcBorders>
              <w:top w:val="nil"/>
              <w:left w:val="nil"/>
              <w:bottom w:val="single" w:sz="12" w:space="0" w:color="auto"/>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资本化研发投入占研发投入的比例</w:t>
            </w:r>
          </w:p>
        </w:tc>
        <w:tc>
          <w:tcPr>
            <w:tcW w:w="1134" w:type="dxa"/>
            <w:tcBorders>
              <w:top w:val="nil"/>
              <w:left w:val="nil"/>
              <w:bottom w:val="single" w:sz="12" w:space="0" w:color="auto"/>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0.00%</w:t>
            </w:r>
          </w:p>
        </w:tc>
        <w:tc>
          <w:tcPr>
            <w:tcW w:w="1134" w:type="dxa"/>
            <w:tcBorders>
              <w:top w:val="nil"/>
              <w:left w:val="nil"/>
              <w:bottom w:val="single" w:sz="12" w:space="0" w:color="auto"/>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0.00%</w:t>
            </w:r>
          </w:p>
        </w:tc>
        <w:tc>
          <w:tcPr>
            <w:tcW w:w="1134" w:type="dxa"/>
            <w:tcBorders>
              <w:top w:val="nil"/>
              <w:left w:val="nil"/>
              <w:bottom w:val="single" w:sz="12" w:space="0" w:color="auto"/>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0.00%</w:t>
            </w:r>
          </w:p>
        </w:tc>
        <w:tc>
          <w:tcPr>
            <w:tcW w:w="1134" w:type="dxa"/>
            <w:tcBorders>
              <w:top w:val="nil"/>
              <w:left w:val="nil"/>
              <w:bottom w:val="single" w:sz="12" w:space="0" w:color="auto"/>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0.00%</w:t>
            </w:r>
          </w:p>
        </w:tc>
        <w:tc>
          <w:tcPr>
            <w:tcW w:w="1134" w:type="dxa"/>
            <w:tcBorders>
              <w:top w:val="nil"/>
              <w:left w:val="nil"/>
              <w:bottom w:val="single" w:sz="12" w:space="0" w:color="auto"/>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0.00%</w:t>
            </w:r>
          </w:p>
        </w:tc>
      </w:tr>
    </w:tbl>
    <w:p>
      <w:pPr>
        <w:tabs>
          <w:tab w:val="left" w:pos="4221"/>
        </w:tabs>
        <w:spacing w:line="400" w:lineRule="exact"/>
        <w:rPr>
          <w:rFonts w:ascii="幼圆" w:eastAsia="幼圆" w:hAnsi="幼圆" w:cs="幼圆" w:hint="eastAsia"/>
          <w:color w:val="auto"/>
          <w:sz w:val="24"/>
        </w:rPr>
      </w:pPr>
      <w:r>
        <w:rPr>
          <w:rFonts w:ascii="幼圆" w:eastAsia="幼圆" w:hAnsi="幼圆" w:cs="幼圆" w:hint="eastAsia"/>
          <w:color w:val="auto"/>
          <w:sz w:val="24"/>
        </w:rPr>
        <w:t>数据来源：公司公报，华经产业研究院整理</w:t>
      </w:r>
    </w:p>
    <w:p>
      <w:pPr>
        <w:spacing w:line="400" w:lineRule="exact"/>
        <w:ind w:firstLine="480" w:firstLineChars="200"/>
        <w:rPr>
          <w:rFonts w:ascii="幼圆" w:eastAsia="幼圆" w:hAnsi="幼圆" w:cs="幼圆" w:hint="eastAsia"/>
          <w:color w:val="auto"/>
          <w:sz w:val="24"/>
        </w:rPr>
        <w:sectPr>
          <w:headerReference w:type="even" r:id="rId14"/>
          <w:headerReference w:type="default" r:id="rId15"/>
          <w:footerReference w:type="default" r:id="rId16"/>
          <w:type w:val="nextPage"/>
          <w:pgSz w:w="11906" w:h="16838"/>
          <w:pgMar w:top="1417" w:right="1418" w:bottom="1417" w:left="1418" w:header="851" w:footer="992" w:gutter="0"/>
          <w:pgNumType w:start="5"/>
          <w:cols w:space="708"/>
          <w:titlePg w:val="0"/>
          <w:rtlGutter/>
          <w:docGrid w:type="lines" w:linePitch="400" w:charSpace="0"/>
        </w:sectPr>
      </w:pPr>
      <w:r>
        <w:rPr>
          <w:rFonts w:ascii="幼圆" w:eastAsia="幼圆" w:hAnsi="幼圆" w:cs="幼圆" w:hint="eastAsia"/>
          <w:color w:val="auto"/>
          <w:sz w:val="24"/>
        </w:rPr>
        <w:t>上表3-</w:t>
      </w:r>
      <w:r>
        <w:rPr>
          <w:rFonts w:ascii="幼圆" w:eastAsia="幼圆" w:hAnsi="幼圆" w:cs="幼圆" w:hint="eastAsia"/>
          <w:color w:val="auto"/>
          <w:sz w:val="24"/>
          <w:lang w:val="en-US" w:eastAsia="zh-CN"/>
        </w:rPr>
        <w:t>1</w:t>
      </w:r>
      <w:r>
        <w:rPr>
          <w:rFonts w:ascii="幼圆" w:eastAsia="幼圆" w:hAnsi="幼圆" w:cs="幼圆" w:hint="eastAsia"/>
          <w:color w:val="auto"/>
          <w:sz w:val="24"/>
        </w:rPr>
        <w:t>是</w:t>
      </w:r>
      <w:r>
        <w:rPr>
          <w:rFonts w:ascii="幼圆" w:eastAsia="幼圆" w:hAnsi="幼圆" w:cs="幼圆" w:hint="eastAsia"/>
          <w:color w:val="auto"/>
          <w:sz w:val="24"/>
          <w:lang w:eastAsia="zh-CN"/>
        </w:rPr>
        <w:t>安庆博莱雅休闲服饰公司</w:t>
      </w:r>
    </w:p>
    <w:p>
      <w:pPr>
        <w:spacing w:line="400" w:lineRule="exact"/>
        <w:ind w:firstLine="480" w:firstLineChars="200"/>
        <w:rPr>
          <w:rFonts w:ascii="幼圆" w:eastAsia="幼圆" w:hAnsi="幼圆" w:cs="幼圆" w:hint="eastAsia"/>
          <w:color w:val="auto"/>
          <w:sz w:val="24"/>
        </w:rPr>
      </w:pPr>
      <w:r>
        <w:rPr>
          <w:rFonts w:ascii="幼圆" w:eastAsia="幼圆" w:hAnsi="幼圆" w:cs="幼圆" w:hint="eastAsia"/>
          <w:color w:val="auto"/>
          <w:sz w:val="24"/>
        </w:rPr>
        <w:t>2016-2020年的研发投入情况，企业的研发投入总体呈现出先上升后下降的趋势，2017-2020年研发投入连续四年减少，研发投入金额比例都在3%以上，达到了国家对高新技术企业的认定标准：如果企业的销售收入超过2亿元，则应保证研发投入占本企业年总收入的3%以上。但同时也可以看出，</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的研发投入全部费用化，即企业资本化金额在近五年内全部为0，这主要是因为</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认为研发成果在将来为</w:t>
      </w:r>
      <w:r>
        <w:rPr>
          <w:rFonts w:ascii="幼圆" w:eastAsia="幼圆" w:hAnsi="幼圆" w:cs="幼圆" w:hint="eastAsia"/>
          <w:color w:val="auto"/>
          <w:sz w:val="24"/>
          <w:lang w:eastAsia="zh-CN"/>
        </w:rPr>
        <w:t>安庆博莱雅</w:t>
      </w:r>
      <w:r>
        <w:rPr>
          <w:rFonts w:ascii="幼圆" w:eastAsia="幼圆" w:hAnsi="幼圆" w:cs="幼圆" w:hint="eastAsia"/>
          <w:color w:val="auto"/>
          <w:sz w:val="24"/>
        </w:rPr>
        <w:t>企业带来的经济收益在一定程度上存在不确定性，且全部费用化能够减少企业利润，从而可以减少上缴的税款</w:t>
      </w:r>
      <w:r>
        <w:rPr>
          <w:rFonts w:ascii="幼圆" w:eastAsia="幼圆" w:hAnsi="幼圆" w:cs="幼圆" w:hint="eastAsia"/>
          <w:color w:val="auto"/>
          <w:sz w:val="24"/>
          <w:lang w:val="en-US" w:eastAsia="zh-CN"/>
        </w:rPr>
        <w:t>(姜紫菱 ,丁露婷 ,范诗)</w:t>
      </w:r>
      <w:r>
        <w:rPr>
          <w:rFonts w:ascii="幼圆" w:eastAsia="幼圆" w:hAnsi="幼圆" w:cs="幼圆" w:hint="eastAsia"/>
          <w:color w:val="auto"/>
          <w:sz w:val="24"/>
        </w:rPr>
        <w:t>。</w:t>
      </w:r>
    </w:p>
    <w:p>
      <w:pPr>
        <w:pStyle w:val="Heading3"/>
        <w:tabs>
          <w:tab w:val="left" w:pos="0"/>
        </w:tabs>
        <w:spacing w:before="200" w:after="200"/>
        <w:rPr>
          <w:rFonts w:ascii="幼圆" w:eastAsia="幼圆" w:hAnsi="幼圆" w:cs="幼圆" w:hint="eastAsia"/>
          <w:color w:val="auto"/>
        </w:rPr>
      </w:pPr>
      <w:r>
        <w:rPr>
          <w:rFonts w:ascii="幼圆" w:eastAsia="幼圆" w:hAnsi="幼圆" w:cs="幼圆" w:hint="eastAsia"/>
          <w:color w:val="auto"/>
        </w:rPr>
        <w:t xml:space="preserve"> </w:t>
      </w:r>
      <w:bookmarkStart w:id="48" w:name="_Toc22617"/>
      <w:r>
        <w:rPr>
          <w:rFonts w:ascii="幼圆" w:eastAsia="幼圆" w:hAnsi="幼圆" w:cs="幼圆" w:hint="eastAsia"/>
          <w:color w:val="auto"/>
        </w:rPr>
        <w:t>采购环节成本控制现状</w:t>
      </w:r>
      <w:bookmarkEnd w:id="48"/>
    </w:p>
    <w:p>
      <w:pPr>
        <w:spacing w:line="400" w:lineRule="exact"/>
        <w:ind w:firstLine="480" w:firstLineChars="200"/>
        <w:rPr>
          <w:rFonts w:ascii="幼圆" w:eastAsia="幼圆" w:hAnsi="幼圆" w:cs="幼圆" w:hint="eastAsia"/>
          <w:color w:val="auto"/>
          <w:sz w:val="24"/>
        </w:rPr>
      </w:pP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有专门的采购部来负责公司的采购工作，同时还负责企业的原材料需求量统计，结合生产排期和库存情况，合理制定各阶段的详细采购计划，保证生产供货正常又不积压库存。在选取合格供应商后，制定并审核相关订货合同，交由</w:t>
      </w:r>
      <w:r>
        <w:rPr>
          <w:rFonts w:ascii="幼圆" w:eastAsia="幼圆" w:hAnsi="幼圆" w:cs="幼圆" w:hint="eastAsia"/>
          <w:color w:val="auto"/>
          <w:sz w:val="24"/>
          <w:lang w:eastAsia="zh-CN"/>
        </w:rPr>
        <w:t>安庆博莱雅公司</w:t>
      </w:r>
      <w:r>
        <w:rPr>
          <w:rFonts w:ascii="幼圆" w:eastAsia="幼圆" w:hAnsi="幼圆" w:cs="幼圆" w:hint="eastAsia"/>
          <w:color w:val="auto"/>
          <w:sz w:val="24"/>
        </w:rPr>
        <w:t>管理层批准后再进行采购活动。</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还制定了采购流程，首先，确定采购的原材料项目</w:t>
      </w:r>
      <w:r>
        <w:rPr>
          <w:rFonts w:ascii="幼圆" w:eastAsia="幼圆" w:hAnsi="幼圆" w:cs="幼圆" w:hint="eastAsia"/>
          <w:color w:val="auto"/>
          <w:sz w:val="24"/>
          <w:lang w:val="en-US" w:eastAsia="zh-CN"/>
        </w:rPr>
        <w:t>(江雨梅 ,阎琳韵)</w:t>
      </w:r>
      <w:r>
        <w:rPr>
          <w:rFonts w:ascii="幼圆" w:eastAsia="幼圆" w:hAnsi="幼圆" w:cs="幼圆" w:hint="eastAsia"/>
          <w:color w:val="auto"/>
          <w:sz w:val="24"/>
        </w:rPr>
        <w:t>；其次，选择并确定供应商；最后，签订相关订货合同后开展采购活动。</w:t>
      </w:r>
    </w:p>
    <w:p>
      <w:pPr>
        <w:pStyle w:val="Heading3"/>
        <w:tabs>
          <w:tab w:val="left" w:pos="0"/>
        </w:tabs>
        <w:spacing w:before="200" w:after="200"/>
        <w:rPr>
          <w:rFonts w:ascii="幼圆" w:eastAsia="幼圆" w:hAnsi="幼圆" w:cs="幼圆" w:hint="eastAsia"/>
          <w:color w:val="auto"/>
        </w:rPr>
      </w:pPr>
      <w:r>
        <w:rPr>
          <w:rFonts w:ascii="幼圆" w:eastAsia="幼圆" w:hAnsi="幼圆" w:cs="幼圆" w:hint="eastAsia"/>
          <w:color w:val="auto"/>
        </w:rPr>
        <w:t xml:space="preserve"> </w:t>
      </w:r>
      <w:bookmarkStart w:id="49" w:name="_Toc32556"/>
      <w:r>
        <w:rPr>
          <w:rFonts w:ascii="幼圆" w:eastAsia="幼圆" w:hAnsi="幼圆" w:cs="幼圆" w:hint="eastAsia"/>
          <w:color w:val="auto"/>
        </w:rPr>
        <w:t>生产环节成本控制现状</w:t>
      </w:r>
      <w:bookmarkEnd w:id="49"/>
    </w:p>
    <w:p>
      <w:pPr>
        <w:spacing w:line="400" w:lineRule="exact"/>
        <w:ind w:firstLine="480" w:firstLineChars="200"/>
        <w:rPr>
          <w:rFonts w:ascii="幼圆" w:eastAsia="幼圆" w:hAnsi="幼圆" w:cs="幼圆" w:hint="eastAsia"/>
          <w:color w:val="auto"/>
          <w:sz w:val="24"/>
        </w:rPr>
      </w:pPr>
      <w:r>
        <w:rPr>
          <w:rFonts w:ascii="幼圆" w:eastAsia="幼圆" w:hAnsi="幼圆" w:cs="幼圆" w:hint="eastAsia"/>
          <w:color w:val="auto"/>
          <w:sz w:val="24"/>
        </w:rPr>
        <w:t>在生产方面，</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生产部门依照销售部门制定的销售计划以及各市场调研情况，结合上期的具体生产情况制定本年的月度及季度生产计划，经生产部门管理者审核通过，提交给企业决策层批准后，抄送给各个关联部门用于参考、执行。</w:t>
      </w:r>
    </w:p>
    <w:p>
      <w:pPr>
        <w:spacing w:line="400" w:lineRule="exact"/>
        <w:ind w:firstLine="480" w:firstLineChars="200"/>
        <w:rPr>
          <w:rFonts w:ascii="幼圆" w:eastAsia="幼圆" w:hAnsi="幼圆" w:cs="幼圆" w:hint="eastAsia"/>
          <w:color w:val="auto"/>
          <w:kern w:val="0"/>
          <w:sz w:val="24"/>
          <w:lang w:bidi="ar"/>
        </w:rPr>
      </w:pPr>
      <w:r>
        <w:rPr>
          <w:rFonts w:ascii="幼圆" w:eastAsia="幼圆" w:hAnsi="幼圆" w:cs="幼圆" w:hint="eastAsia"/>
          <w:color w:val="auto"/>
          <w:sz w:val="24"/>
        </w:rPr>
        <w:t>为了顺应当前市场形势，在</w:t>
      </w:r>
      <w:r>
        <w:rPr>
          <w:rFonts w:ascii="幼圆" w:eastAsia="幼圆" w:hAnsi="幼圆" w:cs="幼圆" w:hint="eastAsia"/>
          <w:color w:val="auto"/>
          <w:sz w:val="24"/>
          <w:lang w:eastAsia="zh-CN"/>
        </w:rPr>
        <w:t>休闲服饰</w:t>
      </w:r>
      <w:r>
        <w:rPr>
          <w:rFonts w:ascii="幼圆" w:eastAsia="幼圆" w:hAnsi="幼圆" w:cs="幼圆" w:hint="eastAsia"/>
          <w:color w:val="auto"/>
          <w:sz w:val="24"/>
        </w:rPr>
        <w:t>市场中占据有利位置，提高产品供应能力，丰富产品品种，降低</w:t>
      </w:r>
      <w:r>
        <w:rPr>
          <w:rFonts w:ascii="幼圆" w:eastAsia="幼圆" w:hAnsi="幼圆" w:cs="幼圆" w:hint="eastAsia"/>
          <w:color w:val="auto"/>
          <w:sz w:val="24"/>
          <w:lang w:eastAsia="zh-CN"/>
        </w:rPr>
        <w:t>安庆博莱雅</w:t>
      </w:r>
      <w:r>
        <w:rPr>
          <w:rFonts w:ascii="幼圆" w:eastAsia="幼圆" w:hAnsi="幼圆" w:cs="幼圆" w:hint="eastAsia"/>
          <w:color w:val="auto"/>
          <w:sz w:val="24"/>
        </w:rPr>
        <w:t>企业整体运营成本，</w:t>
      </w:r>
      <w:r>
        <w:rPr>
          <w:rFonts w:ascii="幼圆" w:eastAsia="幼圆" w:hAnsi="幼圆" w:cs="幼圆" w:hint="eastAsia"/>
          <w:color w:val="auto"/>
          <w:sz w:val="24"/>
          <w:lang w:eastAsia="zh-CN"/>
        </w:rPr>
        <w:t>博莱雅</w:t>
      </w:r>
      <w:r>
        <w:rPr>
          <w:rFonts w:ascii="幼圆" w:eastAsia="幼圆" w:hAnsi="幼圆" w:cs="幼圆" w:hint="eastAsia"/>
          <w:color w:val="auto"/>
          <w:sz w:val="24"/>
        </w:rPr>
        <w:t>企业充分利用行业资源和优势，形成自主生产和委托生产二者互相结合的生产模式</w:t>
      </w:r>
      <w:r>
        <w:rPr>
          <w:rFonts w:ascii="幼圆" w:eastAsia="幼圆" w:hAnsi="幼圆" w:cs="幼圆" w:hint="eastAsia"/>
          <w:color w:val="auto"/>
          <w:sz w:val="24"/>
          <w:lang w:val="en-US" w:eastAsia="zh-CN"/>
        </w:rPr>
        <w:t>(袁秋柔 ,邓瑞娟 ,苏婉,2021)</w:t>
      </w:r>
      <w:r>
        <w:rPr>
          <w:rFonts w:ascii="幼圆" w:eastAsia="幼圆" w:hAnsi="幼圆" w:cs="幼圆" w:hint="eastAsia"/>
          <w:color w:val="auto"/>
          <w:sz w:val="24"/>
        </w:rPr>
        <w:t>。自主生产模式下，企业使用自身拥有的厂房、生产设备、员工以及企业自主研发的生产技术组织生产产品。委托生产模式下，</w:t>
      </w:r>
      <w:r>
        <w:rPr>
          <w:rFonts w:ascii="幼圆" w:eastAsia="幼圆" w:hAnsi="幼圆" w:cs="幼圆" w:hint="eastAsia"/>
          <w:color w:val="auto"/>
          <w:sz w:val="24"/>
          <w:lang w:eastAsia="zh-CN"/>
        </w:rPr>
        <w:t>安庆博莱雅公司</w:t>
      </w:r>
      <w:r>
        <w:rPr>
          <w:rFonts w:ascii="幼圆" w:eastAsia="幼圆" w:hAnsi="幼圆" w:cs="幼圆" w:hint="eastAsia"/>
          <w:color w:val="auto"/>
          <w:sz w:val="24"/>
        </w:rPr>
        <w:t>将自身研发或他方研发的产品委托给选定的合作厂家，</w:t>
      </w:r>
      <w:r>
        <w:rPr>
          <w:rFonts w:ascii="幼圆" w:eastAsia="幼圆" w:hAnsi="幼圆" w:cs="幼圆" w:hint="eastAsia"/>
          <w:color w:val="auto"/>
          <w:sz w:val="24"/>
          <w:lang w:eastAsia="zh-CN"/>
        </w:rPr>
        <w:t>安庆博莱雅公司的</w:t>
      </w:r>
      <w:r>
        <w:rPr>
          <w:rFonts w:ascii="幼圆" w:eastAsia="幼圆" w:hAnsi="幼圆" w:cs="幼圆" w:hint="eastAsia"/>
          <w:color w:val="auto"/>
          <w:sz w:val="24"/>
        </w:rPr>
        <w:t>合作厂家根据企业标准要求进行生产，产品由企业负责销售。</w:t>
      </w:r>
    </w:p>
    <w:p>
      <w:pPr>
        <w:spacing w:line="400" w:lineRule="exact"/>
        <w:ind w:firstLine="480" w:firstLineChars="200"/>
        <w:rPr>
          <w:rFonts w:ascii="幼圆" w:eastAsia="幼圆" w:hAnsi="幼圆" w:cs="幼圆" w:hint="eastAsia"/>
          <w:color w:val="auto"/>
          <w:sz w:val="24"/>
          <w:highlight w:val="lightGray"/>
        </w:rPr>
      </w:pPr>
      <w:r>
        <w:rPr>
          <w:rFonts w:ascii="幼圆" w:eastAsia="幼圆" w:hAnsi="幼圆" w:cs="幼圆" w:hint="eastAsia"/>
          <w:color w:val="auto"/>
          <w:sz w:val="24"/>
        </w:rPr>
        <w:t>生产环节是每个</w:t>
      </w:r>
      <w:r>
        <w:rPr>
          <w:rFonts w:ascii="幼圆" w:eastAsia="幼圆" w:hAnsi="幼圆" w:cs="幼圆" w:hint="eastAsia"/>
          <w:color w:val="auto"/>
          <w:sz w:val="24"/>
          <w:lang w:eastAsia="zh-CN"/>
        </w:rPr>
        <w:t>休闲服饰</w:t>
      </w:r>
      <w:r>
        <w:rPr>
          <w:rFonts w:ascii="幼圆" w:eastAsia="幼圆" w:hAnsi="幼圆" w:cs="幼圆" w:hint="eastAsia"/>
          <w:color w:val="auto"/>
          <w:sz w:val="24"/>
        </w:rPr>
        <w:t>企业成本控制的重点，</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生产成本主要构成情况如表3-</w:t>
      </w:r>
      <w:r>
        <w:rPr>
          <w:rFonts w:ascii="幼圆" w:eastAsia="幼圆" w:hAnsi="幼圆" w:cs="幼圆" w:hint="eastAsia"/>
          <w:color w:val="auto"/>
          <w:sz w:val="24"/>
          <w:lang w:val="en-US" w:eastAsia="zh-CN"/>
        </w:rPr>
        <w:t>2</w:t>
      </w:r>
      <w:r>
        <w:rPr>
          <w:rFonts w:ascii="幼圆" w:eastAsia="幼圆" w:hAnsi="幼圆" w:cs="幼圆" w:hint="eastAsia"/>
          <w:color w:val="auto"/>
          <w:sz w:val="24"/>
        </w:rPr>
        <w:t>、图3.</w:t>
      </w:r>
      <w:r>
        <w:rPr>
          <w:rFonts w:ascii="幼圆" w:eastAsia="幼圆" w:hAnsi="幼圆" w:cs="幼圆" w:hint="eastAsia"/>
          <w:color w:val="auto"/>
          <w:sz w:val="24"/>
          <w:lang w:val="en-US" w:eastAsia="zh-CN"/>
        </w:rPr>
        <w:t>2</w:t>
      </w:r>
      <w:r>
        <w:rPr>
          <w:rFonts w:ascii="幼圆" w:eastAsia="幼圆" w:hAnsi="幼圆" w:cs="幼圆" w:hint="eastAsia"/>
          <w:color w:val="auto"/>
          <w:sz w:val="24"/>
        </w:rPr>
        <w:t>所示。</w:t>
      </w:r>
    </w:p>
    <w:p>
      <w:pPr>
        <w:spacing w:line="400" w:lineRule="exact"/>
        <w:ind w:firstLine="480" w:firstLineChars="200"/>
        <w:rPr>
          <w:rFonts w:ascii="幼圆" w:eastAsia="幼圆" w:hAnsi="幼圆" w:cs="幼圆" w:hint="eastAsia"/>
          <w:color w:val="auto"/>
          <w:sz w:val="24"/>
          <w:highlight w:val="lightGray"/>
        </w:rPr>
      </w:pPr>
    </w:p>
    <w:p>
      <w:pPr>
        <w:pStyle w:val="Caption"/>
        <w:spacing w:line="400" w:lineRule="exact"/>
        <w:ind w:firstLine="420" w:firstLineChars="200"/>
        <w:jc w:val="center"/>
        <w:rPr>
          <w:rFonts w:ascii="幼圆" w:eastAsia="幼圆" w:hAnsi="幼圆" w:cs="幼圆" w:hint="eastAsia"/>
          <w:color w:val="auto"/>
          <w:sz w:val="21"/>
          <w:szCs w:val="24"/>
        </w:rPr>
      </w:pPr>
      <w:r>
        <w:rPr>
          <w:rFonts w:ascii="幼圆" w:eastAsia="幼圆" w:hAnsi="幼圆" w:cs="幼圆" w:hint="eastAsia"/>
          <w:color w:val="auto"/>
          <w:sz w:val="21"/>
          <w:szCs w:val="24"/>
        </w:rPr>
        <w:t xml:space="preserve">表 </w:t>
      </w:r>
      <w:r>
        <w:rPr>
          <w:rFonts w:ascii="幼圆" w:eastAsia="幼圆" w:hAnsi="幼圆" w:cs="幼圆" w:hint="eastAsia"/>
          <w:color w:val="auto"/>
          <w:sz w:val="21"/>
          <w:szCs w:val="24"/>
        </w:rPr>
        <w:fldChar w:fldCharType="begin"/>
      </w:r>
      <w:r>
        <w:rPr>
          <w:rFonts w:ascii="幼圆" w:eastAsia="幼圆" w:hAnsi="幼圆" w:cs="幼圆" w:hint="eastAsia"/>
          <w:color w:val="auto"/>
          <w:sz w:val="21"/>
          <w:szCs w:val="24"/>
        </w:rPr>
        <w:instrText xml:space="preserve"> STYLEREF 1 \s </w:instrText>
      </w:r>
      <w:r>
        <w:rPr>
          <w:rFonts w:ascii="幼圆" w:eastAsia="幼圆" w:hAnsi="幼圆" w:cs="幼圆" w:hint="eastAsia"/>
          <w:color w:val="auto"/>
          <w:sz w:val="21"/>
          <w:szCs w:val="24"/>
        </w:rPr>
        <w:fldChar w:fldCharType="separate"/>
      </w:r>
      <w:r>
        <w:rPr>
          <w:rFonts w:ascii="幼圆" w:eastAsia="幼圆" w:hAnsi="幼圆" w:cs="幼圆" w:hint="eastAsia"/>
          <w:color w:val="auto"/>
          <w:sz w:val="21"/>
          <w:szCs w:val="24"/>
        </w:rPr>
        <w:t>3</w:t>
      </w:r>
      <w:r>
        <w:rPr>
          <w:rFonts w:ascii="幼圆" w:eastAsia="幼圆" w:hAnsi="幼圆" w:cs="幼圆" w:hint="eastAsia"/>
          <w:color w:val="auto"/>
          <w:sz w:val="21"/>
          <w:szCs w:val="24"/>
        </w:rPr>
        <w:fldChar w:fldCharType="end"/>
      </w:r>
      <w:r>
        <w:rPr>
          <w:rFonts w:ascii="幼圆" w:eastAsia="幼圆" w:hAnsi="幼圆" w:cs="幼圆" w:hint="eastAsia"/>
          <w:color w:val="auto"/>
          <w:sz w:val="21"/>
          <w:szCs w:val="24"/>
        </w:rPr>
        <w:t>-</w:t>
      </w:r>
      <w:bookmarkStart w:id="50" w:name="_Toc19897"/>
      <w:r>
        <w:rPr>
          <w:rFonts w:ascii="幼圆" w:eastAsia="幼圆" w:hAnsi="幼圆" w:cs="幼圆" w:hint="eastAsia"/>
          <w:color w:val="auto"/>
          <w:sz w:val="21"/>
          <w:szCs w:val="24"/>
          <w:lang w:val="en-US" w:eastAsia="zh-CN"/>
        </w:rPr>
        <w:t>2</w:t>
      </w:r>
      <w:r>
        <w:rPr>
          <w:rFonts w:ascii="幼圆" w:eastAsia="幼圆" w:hAnsi="幼圆" w:cs="幼圆" w:hint="eastAsia"/>
          <w:color w:val="auto"/>
          <w:sz w:val="21"/>
          <w:szCs w:val="24"/>
        </w:rPr>
        <w:t xml:space="preserve"> </w:t>
      </w:r>
      <w:r>
        <w:rPr>
          <w:rFonts w:ascii="幼圆" w:eastAsia="幼圆" w:hAnsi="幼圆" w:cs="幼圆" w:hint="eastAsia"/>
          <w:color w:val="auto"/>
          <w:sz w:val="21"/>
          <w:szCs w:val="24"/>
          <w:lang w:eastAsia="zh-CN"/>
        </w:rPr>
        <w:t>安庆博莱雅休闲服饰公司</w:t>
      </w:r>
      <w:r>
        <w:rPr>
          <w:rFonts w:ascii="幼圆" w:eastAsia="幼圆" w:hAnsi="幼圆" w:cs="幼圆" w:hint="eastAsia"/>
          <w:color w:val="auto"/>
          <w:sz w:val="21"/>
          <w:szCs w:val="24"/>
        </w:rPr>
        <w:t>生产成本主要构成情况  单位：万元</w:t>
      </w:r>
    </w:p>
    <w:tbl>
      <w:tblPr>
        <w:tblStyle w:val="TableNormal"/>
        <w:tblW w:w="0" w:type="auto"/>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2031"/>
        <w:gridCol w:w="1138"/>
        <w:gridCol w:w="1276"/>
        <w:gridCol w:w="1276"/>
        <w:gridCol w:w="1276"/>
        <w:gridCol w:w="1276"/>
      </w:tblGrid>
      <w:tr>
        <w:tblPrEx>
          <w:tblW w:w="0" w:type="auto"/>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c>
          <w:tcPr>
            <w:tcW w:w="2031" w:type="dxa"/>
            <w:tcBorders>
              <w:top w:val="single" w:sz="12" w:space="0" w:color="000000"/>
              <w:left w:val="nil"/>
              <w:bottom w:val="single" w:sz="4" w:space="0" w:color="000000"/>
              <w:right w:val="nil"/>
            </w:tcBorders>
          </w:tcPr>
          <w:p>
            <w:pPr>
              <w:spacing w:line="400" w:lineRule="exact"/>
              <w:jc w:val="center"/>
              <w:rPr>
                <w:rFonts w:ascii="幼圆" w:eastAsia="幼圆" w:hAnsi="幼圆" w:cs="幼圆" w:hint="eastAsia"/>
                <w:color w:val="auto"/>
                <w:szCs w:val="21"/>
              </w:rPr>
            </w:pPr>
            <w:bookmarkEnd w:id="50"/>
            <w:r>
              <w:rPr>
                <w:rFonts w:ascii="幼圆" w:eastAsia="幼圆" w:hAnsi="幼圆" w:cs="幼圆" w:hint="eastAsia"/>
                <w:color w:val="auto"/>
                <w:szCs w:val="21"/>
              </w:rPr>
              <w:t>时间</w:t>
            </w:r>
          </w:p>
        </w:tc>
        <w:tc>
          <w:tcPr>
            <w:tcW w:w="1138" w:type="dxa"/>
            <w:tcBorders>
              <w:top w:val="single" w:sz="12" w:space="0" w:color="000000"/>
              <w:left w:val="nil"/>
              <w:bottom w:val="single" w:sz="4" w:space="0" w:color="000000"/>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rPr>
              <w:t>2016</w:t>
            </w:r>
          </w:p>
        </w:tc>
        <w:tc>
          <w:tcPr>
            <w:tcW w:w="1276" w:type="dxa"/>
            <w:tcBorders>
              <w:top w:val="single" w:sz="12" w:space="0" w:color="000000"/>
              <w:left w:val="nil"/>
              <w:bottom w:val="single" w:sz="4" w:space="0" w:color="000000"/>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rPr>
              <w:t>2017</w:t>
            </w:r>
          </w:p>
        </w:tc>
        <w:tc>
          <w:tcPr>
            <w:tcW w:w="1276" w:type="dxa"/>
            <w:tcBorders>
              <w:top w:val="single" w:sz="12" w:space="0" w:color="000000"/>
              <w:left w:val="nil"/>
              <w:bottom w:val="single" w:sz="4" w:space="0" w:color="000000"/>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rPr>
              <w:t>2018</w:t>
            </w:r>
          </w:p>
        </w:tc>
        <w:tc>
          <w:tcPr>
            <w:tcW w:w="1276" w:type="dxa"/>
            <w:tcBorders>
              <w:top w:val="single" w:sz="12" w:space="0" w:color="000000"/>
              <w:left w:val="nil"/>
              <w:bottom w:val="single" w:sz="4" w:space="0" w:color="000000"/>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rPr>
              <w:t>2019</w:t>
            </w:r>
          </w:p>
        </w:tc>
        <w:tc>
          <w:tcPr>
            <w:tcW w:w="1276" w:type="dxa"/>
            <w:tcBorders>
              <w:top w:val="single" w:sz="12" w:space="0" w:color="000000"/>
              <w:left w:val="nil"/>
              <w:bottom w:val="single" w:sz="4" w:space="0" w:color="000000"/>
              <w:right w:val="nil"/>
            </w:tcBorders>
          </w:tcPr>
          <w:p>
            <w:pPr>
              <w:spacing w:line="400" w:lineRule="exact"/>
              <w:jc w:val="center"/>
              <w:rPr>
                <w:rFonts w:ascii="幼圆" w:eastAsia="幼圆" w:hAnsi="幼圆" w:cs="幼圆" w:hint="eastAsia"/>
                <w:color w:val="auto"/>
              </w:rPr>
            </w:pPr>
            <w:r>
              <w:rPr>
                <w:rFonts w:ascii="幼圆" w:eastAsia="幼圆" w:hAnsi="幼圆" w:cs="幼圆" w:hint="eastAsia"/>
                <w:color w:val="auto"/>
              </w:rPr>
              <w:t>2020</w:t>
            </w:r>
          </w:p>
        </w:tc>
      </w:tr>
      <w:tr>
        <w:tblPrEx>
          <w:tblW w:w="0" w:type="auto"/>
          <w:tblInd w:w="458" w:type="dxa"/>
          <w:tblLayout w:type="fixed"/>
          <w:tblCellMar>
            <w:top w:w="0" w:type="dxa"/>
            <w:left w:w="108" w:type="dxa"/>
            <w:bottom w:w="0" w:type="dxa"/>
            <w:right w:w="108" w:type="dxa"/>
          </w:tblCellMar>
          <w:tblLook w:val="0000"/>
        </w:tblPrEx>
        <w:tc>
          <w:tcPr>
            <w:tcW w:w="2031" w:type="dxa"/>
            <w:tcBorders>
              <w:top w:val="single" w:sz="4" w:space="0" w:color="000000"/>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原材料</w:t>
            </w:r>
          </w:p>
        </w:tc>
        <w:tc>
          <w:tcPr>
            <w:tcW w:w="1138" w:type="dxa"/>
            <w:tcBorders>
              <w:top w:val="single" w:sz="4" w:space="0" w:color="000000"/>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14489.46</w:t>
            </w:r>
          </w:p>
        </w:tc>
        <w:tc>
          <w:tcPr>
            <w:tcW w:w="1276" w:type="dxa"/>
            <w:tcBorders>
              <w:top w:val="single" w:sz="4" w:space="0" w:color="000000"/>
              <w:left w:val="nil"/>
              <w:bottom w:val="nil"/>
              <w:right w:val="nil"/>
            </w:tcBorders>
            <w:vAlign w:val="bottom"/>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15614.47</w:t>
            </w:r>
          </w:p>
        </w:tc>
        <w:tc>
          <w:tcPr>
            <w:tcW w:w="1276" w:type="dxa"/>
            <w:tcBorders>
              <w:top w:val="single" w:sz="4" w:space="0" w:color="000000"/>
              <w:left w:val="nil"/>
              <w:bottom w:val="nil"/>
              <w:right w:val="nil"/>
            </w:tcBorders>
            <w:vAlign w:val="bottom"/>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15581.06</w:t>
            </w:r>
          </w:p>
        </w:tc>
        <w:tc>
          <w:tcPr>
            <w:tcW w:w="1276" w:type="dxa"/>
            <w:tcBorders>
              <w:top w:val="single" w:sz="4" w:space="0" w:color="000000"/>
              <w:left w:val="nil"/>
              <w:bottom w:val="nil"/>
              <w:right w:val="nil"/>
            </w:tcBorders>
            <w:vAlign w:val="bottom"/>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11808.07</w:t>
            </w:r>
          </w:p>
        </w:tc>
        <w:tc>
          <w:tcPr>
            <w:tcW w:w="1276" w:type="dxa"/>
            <w:tcBorders>
              <w:top w:val="single" w:sz="4" w:space="0" w:color="000000"/>
              <w:left w:val="nil"/>
              <w:bottom w:val="nil"/>
              <w:right w:val="nil"/>
            </w:tcBorders>
            <w:vAlign w:val="bottom"/>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9568.29</w:t>
            </w:r>
          </w:p>
        </w:tc>
      </w:tr>
      <w:tr>
        <w:tblPrEx>
          <w:tblW w:w="0" w:type="auto"/>
          <w:tblInd w:w="458" w:type="dxa"/>
          <w:tblLayout w:type="fixed"/>
          <w:tblCellMar>
            <w:top w:w="0" w:type="dxa"/>
            <w:left w:w="108" w:type="dxa"/>
            <w:bottom w:w="0" w:type="dxa"/>
            <w:right w:w="108" w:type="dxa"/>
          </w:tblCellMar>
          <w:tblLook w:val="0000"/>
        </w:tblPrEx>
        <w:tc>
          <w:tcPr>
            <w:tcW w:w="2031"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直接人工</w:t>
            </w:r>
          </w:p>
        </w:tc>
        <w:tc>
          <w:tcPr>
            <w:tcW w:w="1138"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481.46</w:t>
            </w:r>
          </w:p>
        </w:tc>
        <w:tc>
          <w:tcPr>
            <w:tcW w:w="1276" w:type="dxa"/>
            <w:tcBorders>
              <w:top w:val="nil"/>
              <w:left w:val="nil"/>
              <w:bottom w:val="nil"/>
              <w:right w:val="nil"/>
            </w:tcBorders>
            <w:vAlign w:val="bottom"/>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536.59</w:t>
            </w:r>
          </w:p>
        </w:tc>
        <w:tc>
          <w:tcPr>
            <w:tcW w:w="1276" w:type="dxa"/>
            <w:tcBorders>
              <w:top w:val="nil"/>
              <w:left w:val="nil"/>
              <w:bottom w:val="nil"/>
              <w:right w:val="nil"/>
            </w:tcBorders>
            <w:vAlign w:val="bottom"/>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492.04</w:t>
            </w:r>
          </w:p>
        </w:tc>
        <w:tc>
          <w:tcPr>
            <w:tcW w:w="1276" w:type="dxa"/>
            <w:tcBorders>
              <w:top w:val="nil"/>
              <w:left w:val="nil"/>
              <w:bottom w:val="nil"/>
              <w:right w:val="nil"/>
            </w:tcBorders>
            <w:vAlign w:val="bottom"/>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396.00</w:t>
            </w:r>
          </w:p>
        </w:tc>
        <w:tc>
          <w:tcPr>
            <w:tcW w:w="1276" w:type="dxa"/>
            <w:tcBorders>
              <w:top w:val="nil"/>
              <w:left w:val="nil"/>
              <w:bottom w:val="nil"/>
              <w:right w:val="nil"/>
            </w:tcBorders>
            <w:vAlign w:val="bottom"/>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330.77</w:t>
            </w:r>
          </w:p>
        </w:tc>
      </w:tr>
      <w:tr>
        <w:tblPrEx>
          <w:tblW w:w="0" w:type="auto"/>
          <w:tblInd w:w="458" w:type="dxa"/>
          <w:tblLayout w:type="fixed"/>
          <w:tblCellMar>
            <w:top w:w="0" w:type="dxa"/>
            <w:left w:w="108" w:type="dxa"/>
            <w:bottom w:w="0" w:type="dxa"/>
            <w:right w:w="108" w:type="dxa"/>
          </w:tblCellMar>
          <w:tblLook w:val="0000"/>
        </w:tblPrEx>
        <w:tc>
          <w:tcPr>
            <w:tcW w:w="2031"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制造费用</w:t>
            </w:r>
          </w:p>
        </w:tc>
        <w:tc>
          <w:tcPr>
            <w:tcW w:w="1138" w:type="dxa"/>
            <w:tcBorders>
              <w:top w:val="nil"/>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2262.12</w:t>
            </w:r>
          </w:p>
        </w:tc>
        <w:tc>
          <w:tcPr>
            <w:tcW w:w="1276" w:type="dxa"/>
            <w:tcBorders>
              <w:top w:val="nil"/>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2047.61</w:t>
            </w:r>
          </w:p>
        </w:tc>
        <w:tc>
          <w:tcPr>
            <w:tcW w:w="1276" w:type="dxa"/>
            <w:tcBorders>
              <w:top w:val="nil"/>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1799.51</w:t>
            </w:r>
          </w:p>
        </w:tc>
        <w:tc>
          <w:tcPr>
            <w:tcW w:w="1276" w:type="dxa"/>
            <w:tcBorders>
              <w:top w:val="nil"/>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1732.41</w:t>
            </w:r>
          </w:p>
        </w:tc>
        <w:tc>
          <w:tcPr>
            <w:tcW w:w="1276" w:type="dxa"/>
            <w:tcBorders>
              <w:top w:val="nil"/>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1650.42</w:t>
            </w:r>
          </w:p>
        </w:tc>
      </w:tr>
    </w:tbl>
    <w:p>
      <w:pPr>
        <w:sectPr>
          <w:headerReference w:type="even" r:id="rId17"/>
          <w:headerReference w:type="default" r:id="rId18"/>
          <w:footerReference w:type="default" r:id="rId19"/>
          <w:type w:val="nextPage"/>
          <w:pgSz w:w="11906" w:h="16838"/>
          <w:pgMar w:top="1417" w:right="1418" w:bottom="1417" w:left="1418" w:header="851" w:footer="992" w:gutter="0"/>
          <w:pgNumType w:start="6"/>
          <w:cols w:space="708"/>
          <w:titlePg w:val="0"/>
          <w:rtlGutter/>
          <w:docGrid w:type="lines" w:linePitch="400" w:charSpace="0"/>
        </w:sectPr>
      </w:pPr>
    </w:p>
    <w:tbl>
      <w:tblPr>
        <w:tblStyle w:val="TableNormal"/>
        <w:tblW w:w="0" w:type="auto"/>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2031"/>
        <w:gridCol w:w="1138"/>
        <w:gridCol w:w="1276"/>
        <w:gridCol w:w="1276"/>
        <w:gridCol w:w="1276"/>
        <w:gridCol w:w="1276"/>
      </w:tblGrid>
      <w:tr>
        <w:tblPrEx>
          <w:tblW w:w="0" w:type="auto"/>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c>
          <w:tcPr>
            <w:tcW w:w="2031"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制造费用中：辅料</w:t>
            </w:r>
          </w:p>
        </w:tc>
        <w:tc>
          <w:tcPr>
            <w:tcW w:w="1138" w:type="dxa"/>
            <w:tcBorders>
              <w:top w:val="nil"/>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452.42</w:t>
            </w:r>
          </w:p>
        </w:tc>
        <w:tc>
          <w:tcPr>
            <w:tcW w:w="1276" w:type="dxa"/>
            <w:tcBorders>
              <w:top w:val="nil"/>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409.52</w:t>
            </w:r>
          </w:p>
        </w:tc>
        <w:tc>
          <w:tcPr>
            <w:tcW w:w="1276" w:type="dxa"/>
            <w:tcBorders>
              <w:top w:val="nil"/>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359.90</w:t>
            </w:r>
          </w:p>
        </w:tc>
        <w:tc>
          <w:tcPr>
            <w:tcW w:w="1276" w:type="dxa"/>
            <w:tcBorders>
              <w:top w:val="nil"/>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346.48</w:t>
            </w:r>
          </w:p>
        </w:tc>
        <w:tc>
          <w:tcPr>
            <w:tcW w:w="1276" w:type="dxa"/>
            <w:tcBorders>
              <w:top w:val="nil"/>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330.08</w:t>
            </w:r>
          </w:p>
        </w:tc>
      </w:tr>
      <w:tr>
        <w:tblPrEx>
          <w:tblW w:w="0" w:type="auto"/>
          <w:tblInd w:w="458" w:type="dxa"/>
          <w:tblLayout w:type="fixed"/>
          <w:tblCellMar>
            <w:top w:w="0" w:type="dxa"/>
            <w:left w:w="108" w:type="dxa"/>
            <w:bottom w:w="0" w:type="dxa"/>
            <w:right w:w="108" w:type="dxa"/>
          </w:tblCellMar>
          <w:tblLook w:val="0000"/>
        </w:tblPrEx>
        <w:tc>
          <w:tcPr>
            <w:tcW w:w="2031"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制造费用中：水电费</w:t>
            </w:r>
          </w:p>
        </w:tc>
        <w:tc>
          <w:tcPr>
            <w:tcW w:w="1138" w:type="dxa"/>
            <w:tcBorders>
              <w:top w:val="nil"/>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1346.97</w:t>
            </w:r>
          </w:p>
        </w:tc>
        <w:tc>
          <w:tcPr>
            <w:tcW w:w="1276" w:type="dxa"/>
            <w:tcBorders>
              <w:top w:val="nil"/>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1285.12</w:t>
            </w:r>
          </w:p>
        </w:tc>
        <w:tc>
          <w:tcPr>
            <w:tcW w:w="1276" w:type="dxa"/>
            <w:tcBorders>
              <w:top w:val="nil"/>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1024.86</w:t>
            </w:r>
          </w:p>
        </w:tc>
        <w:tc>
          <w:tcPr>
            <w:tcW w:w="1276" w:type="dxa"/>
            <w:tcBorders>
              <w:top w:val="nil"/>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891.80</w:t>
            </w:r>
          </w:p>
        </w:tc>
        <w:tc>
          <w:tcPr>
            <w:tcW w:w="1276" w:type="dxa"/>
            <w:tcBorders>
              <w:top w:val="nil"/>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952.03</w:t>
            </w:r>
          </w:p>
        </w:tc>
      </w:tr>
      <w:tr>
        <w:tblPrEx>
          <w:tblW w:w="0" w:type="auto"/>
          <w:tblInd w:w="458" w:type="dxa"/>
          <w:tblLayout w:type="fixed"/>
          <w:tblCellMar>
            <w:top w:w="0" w:type="dxa"/>
            <w:left w:w="108" w:type="dxa"/>
            <w:bottom w:w="0" w:type="dxa"/>
            <w:right w:w="108" w:type="dxa"/>
          </w:tblCellMar>
          <w:tblLook w:val="0000"/>
        </w:tblPrEx>
        <w:tc>
          <w:tcPr>
            <w:tcW w:w="2031" w:type="dxa"/>
            <w:tcBorders>
              <w:top w:val="nil"/>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制造费用中：其他</w:t>
            </w:r>
          </w:p>
        </w:tc>
        <w:tc>
          <w:tcPr>
            <w:tcW w:w="1138" w:type="dxa"/>
            <w:tcBorders>
              <w:top w:val="nil"/>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462.73</w:t>
            </w:r>
          </w:p>
        </w:tc>
        <w:tc>
          <w:tcPr>
            <w:tcW w:w="1276" w:type="dxa"/>
            <w:tcBorders>
              <w:top w:val="nil"/>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352.97</w:t>
            </w:r>
          </w:p>
        </w:tc>
        <w:tc>
          <w:tcPr>
            <w:tcW w:w="1276" w:type="dxa"/>
            <w:tcBorders>
              <w:top w:val="nil"/>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414.75</w:t>
            </w:r>
          </w:p>
        </w:tc>
        <w:tc>
          <w:tcPr>
            <w:tcW w:w="1276" w:type="dxa"/>
            <w:tcBorders>
              <w:top w:val="nil"/>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494.13</w:t>
            </w:r>
          </w:p>
        </w:tc>
        <w:tc>
          <w:tcPr>
            <w:tcW w:w="1276" w:type="dxa"/>
            <w:tcBorders>
              <w:top w:val="nil"/>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368.31</w:t>
            </w:r>
          </w:p>
        </w:tc>
      </w:tr>
      <w:tr>
        <w:tblPrEx>
          <w:tblW w:w="0" w:type="auto"/>
          <w:tblInd w:w="458" w:type="dxa"/>
          <w:tblLayout w:type="fixed"/>
          <w:tblCellMar>
            <w:top w:w="0" w:type="dxa"/>
            <w:left w:w="108" w:type="dxa"/>
            <w:bottom w:w="0" w:type="dxa"/>
            <w:right w:w="108" w:type="dxa"/>
          </w:tblCellMar>
          <w:tblLook w:val="0000"/>
        </w:tblPrEx>
        <w:tc>
          <w:tcPr>
            <w:tcW w:w="2031" w:type="dxa"/>
            <w:tcBorders>
              <w:top w:val="nil"/>
              <w:left w:val="nil"/>
              <w:bottom w:val="single" w:sz="12" w:space="0" w:color="000000"/>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合计</w:t>
            </w:r>
          </w:p>
        </w:tc>
        <w:tc>
          <w:tcPr>
            <w:tcW w:w="1138" w:type="dxa"/>
            <w:tcBorders>
              <w:top w:val="nil"/>
              <w:left w:val="nil"/>
              <w:bottom w:val="single" w:sz="12" w:space="0" w:color="000000"/>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17233.03</w:t>
            </w:r>
          </w:p>
        </w:tc>
        <w:tc>
          <w:tcPr>
            <w:tcW w:w="1276" w:type="dxa"/>
            <w:tcBorders>
              <w:top w:val="nil"/>
              <w:left w:val="nil"/>
              <w:bottom w:val="single" w:sz="12" w:space="0" w:color="000000"/>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18198.67</w:t>
            </w:r>
          </w:p>
        </w:tc>
        <w:tc>
          <w:tcPr>
            <w:tcW w:w="1276" w:type="dxa"/>
            <w:tcBorders>
              <w:top w:val="nil"/>
              <w:left w:val="nil"/>
              <w:bottom w:val="single" w:sz="12" w:space="0" w:color="000000"/>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17872.61</w:t>
            </w:r>
          </w:p>
        </w:tc>
        <w:tc>
          <w:tcPr>
            <w:tcW w:w="1276" w:type="dxa"/>
            <w:tcBorders>
              <w:top w:val="nil"/>
              <w:left w:val="nil"/>
              <w:bottom w:val="single" w:sz="12" w:space="0" w:color="000000"/>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13936.48</w:t>
            </w:r>
          </w:p>
        </w:tc>
        <w:tc>
          <w:tcPr>
            <w:tcW w:w="1276" w:type="dxa"/>
            <w:tcBorders>
              <w:top w:val="nil"/>
              <w:left w:val="nil"/>
              <w:bottom w:val="single" w:sz="12" w:space="0" w:color="000000"/>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11549.48</w:t>
            </w:r>
          </w:p>
        </w:tc>
      </w:tr>
    </w:tbl>
    <w:p>
      <w:pPr>
        <w:tabs>
          <w:tab w:val="left" w:pos="4221"/>
        </w:tabs>
        <w:spacing w:line="400" w:lineRule="exact"/>
        <w:rPr>
          <w:rFonts w:ascii="幼圆" w:eastAsia="幼圆" w:hAnsi="幼圆" w:cs="幼圆" w:hint="eastAsia"/>
          <w:color w:val="auto"/>
          <w:sz w:val="24"/>
          <w:highlight w:val="lightGray"/>
        </w:rPr>
      </w:pPr>
      <w:r>
        <w:rPr>
          <w:rFonts w:ascii="幼圆" w:eastAsia="幼圆" w:hAnsi="幼圆" w:cs="幼圆" w:hint="eastAsia"/>
          <w:color w:val="auto"/>
          <w:sz w:val="24"/>
        </w:rPr>
        <w:t>数据来源：</w:t>
      </w:r>
      <w:r>
        <w:rPr>
          <w:rFonts w:ascii="幼圆" w:eastAsia="幼圆" w:hAnsi="幼圆" w:cs="幼圆" w:hint="eastAsia"/>
          <w:color w:val="auto"/>
          <w:sz w:val="24"/>
          <w:lang w:eastAsia="zh-CN"/>
        </w:rPr>
        <w:t>安庆博莱雅</w:t>
      </w:r>
      <w:r>
        <w:rPr>
          <w:rFonts w:ascii="幼圆" w:eastAsia="幼圆" w:hAnsi="幼圆" w:cs="幼圆" w:hint="eastAsia"/>
          <w:color w:val="auto"/>
          <w:sz w:val="24"/>
        </w:rPr>
        <w:t>公司公报，华经产业研究院整理</w:t>
      </w:r>
    </w:p>
    <w:p>
      <w:pPr>
        <w:ind w:firstLine="420" w:firstLineChars="200"/>
        <w:jc w:val="center"/>
        <w:rPr>
          <w:rFonts w:ascii="幼圆" w:eastAsia="幼圆" w:hAnsi="幼圆" w:cs="幼圆" w:hint="eastAsia"/>
          <w:color w:val="auto"/>
          <w:sz w:val="24"/>
        </w:rPr>
      </w:pPr>
      <w:r>
        <w:rPr>
          <w:rFonts w:ascii="幼圆" w:eastAsia="幼圆" w:hAnsi="幼圆" w:cs="幼圆" w:hint="eastAsia"/>
          <w:color w:val="auto"/>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表 75" o:spid="_x0000_i1025" type="#_x0000_t75" style="width:358.5pt;height:204pt;mso-position-horizontal-relative:page;mso-position-vertical-relative:page;mso-wrap-style:square" filled="f" stroked="f">
            <v:stroke linestyle="single"/>
            <v:imagedata r:id="rId20" o:title=""/>
            <v:path o:extrusionok="f"/>
            <o:lock v:ext="edit" aspectratio="t"/>
          </v:shape>
        </w:pict>
      </w:r>
    </w:p>
    <w:p>
      <w:pPr>
        <w:pStyle w:val="Caption"/>
        <w:spacing w:line="400" w:lineRule="exact"/>
        <w:ind w:firstLine="420" w:firstLineChars="200"/>
        <w:jc w:val="center"/>
        <w:rPr>
          <w:rFonts w:ascii="幼圆" w:eastAsia="幼圆" w:hAnsi="幼圆" w:cs="幼圆" w:hint="eastAsia"/>
          <w:color w:val="auto"/>
          <w:sz w:val="24"/>
        </w:rPr>
      </w:pPr>
      <w:r>
        <w:rPr>
          <w:rFonts w:ascii="幼圆" w:eastAsia="幼圆" w:hAnsi="幼圆" w:cs="幼圆" w:hint="eastAsia"/>
          <w:color w:val="auto"/>
          <w:sz w:val="21"/>
          <w:szCs w:val="24"/>
        </w:rPr>
        <w:t xml:space="preserve">图 </w:t>
      </w:r>
      <w:r>
        <w:rPr>
          <w:rFonts w:ascii="幼圆" w:eastAsia="幼圆" w:hAnsi="幼圆" w:cs="幼圆" w:hint="eastAsia"/>
          <w:color w:val="auto"/>
          <w:sz w:val="21"/>
          <w:szCs w:val="24"/>
        </w:rPr>
        <w:fldChar w:fldCharType="begin"/>
      </w:r>
      <w:r>
        <w:rPr>
          <w:rFonts w:ascii="幼圆" w:eastAsia="幼圆" w:hAnsi="幼圆" w:cs="幼圆" w:hint="eastAsia"/>
          <w:color w:val="auto"/>
          <w:sz w:val="21"/>
          <w:szCs w:val="24"/>
        </w:rPr>
        <w:instrText xml:space="preserve"> STYLEREF 1 \s </w:instrText>
      </w:r>
      <w:r>
        <w:rPr>
          <w:rFonts w:ascii="幼圆" w:eastAsia="幼圆" w:hAnsi="幼圆" w:cs="幼圆" w:hint="eastAsia"/>
          <w:color w:val="auto"/>
          <w:sz w:val="21"/>
          <w:szCs w:val="24"/>
        </w:rPr>
        <w:fldChar w:fldCharType="separate"/>
      </w:r>
      <w:r>
        <w:rPr>
          <w:rFonts w:ascii="幼圆" w:eastAsia="幼圆" w:hAnsi="幼圆" w:cs="幼圆" w:hint="eastAsia"/>
          <w:color w:val="auto"/>
          <w:sz w:val="21"/>
          <w:szCs w:val="24"/>
        </w:rPr>
        <w:t>3</w:t>
      </w:r>
      <w:r>
        <w:rPr>
          <w:rFonts w:ascii="幼圆" w:eastAsia="幼圆" w:hAnsi="幼圆" w:cs="幼圆" w:hint="eastAsia"/>
          <w:color w:val="auto"/>
          <w:sz w:val="21"/>
          <w:szCs w:val="24"/>
        </w:rPr>
        <w:fldChar w:fldCharType="end"/>
      </w:r>
      <w:r>
        <w:rPr>
          <w:rFonts w:ascii="幼圆" w:eastAsia="幼圆" w:hAnsi="幼圆" w:cs="幼圆" w:hint="eastAsia"/>
          <w:color w:val="auto"/>
          <w:sz w:val="21"/>
          <w:szCs w:val="24"/>
        </w:rPr>
        <w:t>.</w:t>
      </w:r>
      <w:bookmarkStart w:id="51" w:name="_Toc27426"/>
      <w:r>
        <w:rPr>
          <w:rFonts w:ascii="幼圆" w:eastAsia="幼圆" w:hAnsi="幼圆" w:cs="幼圆" w:hint="eastAsia"/>
          <w:color w:val="auto"/>
          <w:sz w:val="21"/>
          <w:szCs w:val="24"/>
          <w:lang w:val="en-US" w:eastAsia="zh-CN"/>
        </w:rPr>
        <w:t>2</w:t>
      </w:r>
      <w:r>
        <w:rPr>
          <w:rFonts w:ascii="幼圆" w:eastAsia="幼圆" w:hAnsi="幼圆" w:cs="幼圆" w:hint="eastAsia"/>
          <w:color w:val="auto"/>
          <w:sz w:val="21"/>
          <w:szCs w:val="24"/>
        </w:rPr>
        <w:t xml:space="preserve"> </w:t>
      </w:r>
      <w:r>
        <w:rPr>
          <w:rFonts w:ascii="幼圆" w:eastAsia="幼圆" w:hAnsi="幼圆" w:cs="幼圆" w:hint="eastAsia"/>
          <w:color w:val="auto"/>
          <w:sz w:val="21"/>
          <w:szCs w:val="24"/>
          <w:lang w:eastAsia="zh-CN"/>
        </w:rPr>
        <w:t>安庆博莱雅休闲服饰公司</w:t>
      </w:r>
      <w:r>
        <w:rPr>
          <w:rFonts w:ascii="幼圆" w:eastAsia="幼圆" w:hAnsi="幼圆" w:cs="幼圆" w:hint="eastAsia"/>
          <w:color w:val="auto"/>
          <w:sz w:val="21"/>
          <w:szCs w:val="24"/>
        </w:rPr>
        <w:t>生产成本主要构成的占比情况</w:t>
      </w:r>
      <w:bookmarkEnd w:id="51"/>
    </w:p>
    <w:p>
      <w:pPr>
        <w:spacing w:line="400" w:lineRule="exact"/>
        <w:rPr>
          <w:rFonts w:ascii="幼圆" w:eastAsia="幼圆" w:hAnsi="幼圆" w:cs="幼圆" w:hint="eastAsia"/>
          <w:color w:val="auto"/>
          <w:sz w:val="24"/>
          <w:highlight w:val="lightGray"/>
        </w:rPr>
      </w:pPr>
    </w:p>
    <w:p>
      <w:pPr>
        <w:spacing w:line="400" w:lineRule="exact"/>
        <w:ind w:firstLine="480" w:firstLineChars="200"/>
        <w:rPr>
          <w:rFonts w:ascii="幼圆" w:eastAsia="幼圆" w:hAnsi="幼圆" w:cs="幼圆" w:hint="eastAsia"/>
          <w:color w:val="auto"/>
          <w:sz w:val="24"/>
        </w:rPr>
      </w:pPr>
      <w:r>
        <w:rPr>
          <w:rFonts w:ascii="幼圆" w:eastAsia="幼圆" w:hAnsi="幼圆" w:cs="幼圆" w:hint="eastAsia"/>
          <w:color w:val="auto"/>
          <w:sz w:val="24"/>
        </w:rPr>
        <w:t>由表3-</w:t>
      </w:r>
      <w:r>
        <w:rPr>
          <w:rFonts w:ascii="幼圆" w:eastAsia="幼圆" w:hAnsi="幼圆" w:cs="幼圆" w:hint="eastAsia"/>
          <w:color w:val="auto"/>
          <w:sz w:val="24"/>
          <w:lang w:val="en-US" w:eastAsia="zh-CN"/>
        </w:rPr>
        <w:t>2</w:t>
      </w:r>
      <w:r>
        <w:rPr>
          <w:rFonts w:ascii="幼圆" w:eastAsia="幼圆" w:hAnsi="幼圆" w:cs="幼圆" w:hint="eastAsia"/>
          <w:color w:val="auto"/>
          <w:sz w:val="24"/>
        </w:rPr>
        <w:t>、图3.</w:t>
      </w:r>
      <w:r>
        <w:rPr>
          <w:rFonts w:ascii="幼圆" w:eastAsia="幼圆" w:hAnsi="幼圆" w:cs="幼圆" w:hint="eastAsia"/>
          <w:color w:val="auto"/>
          <w:sz w:val="24"/>
          <w:lang w:val="en-US" w:eastAsia="zh-CN"/>
        </w:rPr>
        <w:t>2</w:t>
      </w:r>
      <w:r>
        <w:rPr>
          <w:rFonts w:ascii="幼圆" w:eastAsia="幼圆" w:hAnsi="幼圆" w:cs="幼圆" w:hint="eastAsia"/>
          <w:color w:val="auto"/>
          <w:sz w:val="24"/>
        </w:rPr>
        <w:t>可知，</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在生产其产品环节时，需要控制的成本主要有原材料成本、制造成本以及员工成本。</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在2016-2020年的成本构成项目都呈现整体下降趋势，尤其是</w:t>
      </w:r>
      <w:r>
        <w:rPr>
          <w:rFonts w:ascii="幼圆" w:eastAsia="幼圆" w:hAnsi="幼圆" w:cs="幼圆" w:hint="eastAsia"/>
          <w:color w:val="auto"/>
          <w:sz w:val="24"/>
          <w:lang w:eastAsia="zh-CN"/>
        </w:rPr>
        <w:t>安庆博莱雅公司的</w:t>
      </w:r>
      <w:r>
        <w:rPr>
          <w:rFonts w:ascii="幼圆" w:eastAsia="幼圆" w:hAnsi="幼圆" w:cs="幼圆" w:hint="eastAsia"/>
          <w:color w:val="auto"/>
          <w:sz w:val="24"/>
        </w:rPr>
        <w:t>制造费用，连续五年内持续减少，但基本保持在10%以上</w:t>
      </w:r>
      <w:r>
        <w:rPr>
          <w:rFonts w:ascii="幼圆" w:eastAsia="幼圆" w:hAnsi="幼圆" w:cs="幼圆" w:hint="eastAsia"/>
          <w:color w:val="auto"/>
          <w:sz w:val="24"/>
          <w:lang w:val="en-US" w:eastAsia="zh-CN"/>
        </w:rPr>
        <w:t>(罗曼青 ,罗小茹)</w:t>
      </w:r>
      <w:r>
        <w:rPr>
          <w:rFonts w:ascii="幼圆" w:eastAsia="幼圆" w:hAnsi="幼圆" w:cs="幼圆" w:hint="eastAsia"/>
          <w:color w:val="auto"/>
          <w:sz w:val="24"/>
        </w:rPr>
        <w:t>。</w:t>
      </w:r>
      <w:r>
        <w:rPr>
          <w:rFonts w:ascii="幼圆" w:eastAsia="幼圆" w:hAnsi="幼圆" w:cs="幼圆" w:hint="eastAsia"/>
          <w:color w:val="auto"/>
          <w:sz w:val="24"/>
          <w:lang w:eastAsia="zh-CN"/>
        </w:rPr>
        <w:t>博莱雅公司的</w:t>
      </w:r>
      <w:r>
        <w:rPr>
          <w:rFonts w:ascii="幼圆" w:eastAsia="幼圆" w:hAnsi="幼圆" w:cs="幼圆" w:hint="eastAsia"/>
          <w:color w:val="auto"/>
          <w:sz w:val="24"/>
        </w:rPr>
        <w:t>直接人工占比都保持2.5%左右，较稳定。原材料占总成本的85%左右，所占比重较大，也就是说在所有成本当中，原材料成本需要重点控制，因此控制和降低材料的耗费也就成了整个生产环节成本控制的关键。</w:t>
      </w:r>
    </w:p>
    <w:p>
      <w:pPr>
        <w:pStyle w:val="Heading3"/>
        <w:tabs>
          <w:tab w:val="left" w:pos="0"/>
        </w:tabs>
        <w:spacing w:before="200" w:after="200"/>
        <w:rPr>
          <w:rFonts w:ascii="幼圆" w:eastAsia="幼圆" w:hAnsi="幼圆" w:cs="幼圆" w:hint="eastAsia"/>
          <w:color w:val="auto"/>
        </w:rPr>
      </w:pPr>
      <w:r>
        <w:rPr>
          <w:rFonts w:ascii="幼圆" w:eastAsia="幼圆" w:hAnsi="幼圆" w:cs="幼圆" w:hint="eastAsia"/>
          <w:color w:val="auto"/>
        </w:rPr>
        <w:t xml:space="preserve"> </w:t>
      </w:r>
      <w:bookmarkStart w:id="52" w:name="_Toc19387"/>
      <w:r>
        <w:rPr>
          <w:rFonts w:ascii="幼圆" w:eastAsia="幼圆" w:hAnsi="幼圆" w:cs="幼圆" w:hint="eastAsia"/>
          <w:color w:val="auto"/>
        </w:rPr>
        <w:t>销售环节成本控制现状</w:t>
      </w:r>
      <w:bookmarkEnd w:id="52"/>
    </w:p>
    <w:p>
      <w:pPr>
        <w:spacing w:line="400" w:lineRule="exact"/>
        <w:ind w:firstLine="480" w:firstLineChars="200"/>
        <w:rPr>
          <w:rFonts w:ascii="幼圆" w:eastAsia="幼圆" w:hAnsi="幼圆" w:cs="幼圆" w:hint="eastAsia"/>
          <w:color w:val="auto"/>
          <w:sz w:val="24"/>
        </w:rPr>
      </w:pPr>
      <w:r>
        <w:rPr>
          <w:rFonts w:ascii="幼圆" w:eastAsia="幼圆" w:hAnsi="幼圆" w:cs="幼圆" w:hint="eastAsia"/>
          <w:color w:val="auto"/>
          <w:sz w:val="24"/>
        </w:rPr>
        <w:t>在销售方面，主要分析</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的销售费用情况。销售费用指的是企业在和经销商进行交易以及进行各项销售活动的时候，在销售环节内产生的费用。</w:t>
      </w:r>
      <w:r>
        <w:rPr>
          <w:rFonts w:ascii="幼圆" w:eastAsia="幼圆" w:hAnsi="幼圆" w:cs="幼圆" w:hint="eastAsia"/>
          <w:color w:val="auto"/>
          <w:sz w:val="24"/>
          <w:lang w:eastAsia="zh-CN"/>
        </w:rPr>
        <w:t>安庆博莱雅公司</w:t>
      </w:r>
      <w:r>
        <w:rPr>
          <w:rFonts w:ascii="幼圆" w:eastAsia="幼圆" w:hAnsi="幼圆" w:cs="幼圆" w:hint="eastAsia"/>
          <w:color w:val="auto"/>
          <w:sz w:val="24"/>
        </w:rPr>
        <w:t>的销售费用消耗如表3-</w:t>
      </w:r>
      <w:r>
        <w:rPr>
          <w:rFonts w:ascii="幼圆" w:eastAsia="幼圆" w:hAnsi="幼圆" w:cs="幼圆" w:hint="eastAsia"/>
          <w:color w:val="auto"/>
          <w:sz w:val="24"/>
          <w:lang w:val="en-US" w:eastAsia="zh-CN"/>
        </w:rPr>
        <w:t>3</w:t>
      </w:r>
      <w:r>
        <w:rPr>
          <w:rFonts w:ascii="幼圆" w:eastAsia="幼圆" w:hAnsi="幼圆" w:cs="幼圆" w:hint="eastAsia"/>
          <w:color w:val="auto"/>
          <w:sz w:val="24"/>
        </w:rPr>
        <w:t>所示。</w:t>
      </w:r>
    </w:p>
    <w:p>
      <w:pPr>
        <w:pStyle w:val="Caption"/>
        <w:spacing w:line="400" w:lineRule="exact"/>
        <w:ind w:firstLine="420" w:firstLineChars="200"/>
        <w:jc w:val="center"/>
        <w:rPr>
          <w:rFonts w:ascii="幼圆" w:eastAsia="幼圆" w:hAnsi="幼圆" w:cs="幼圆" w:hint="eastAsia"/>
          <w:color w:val="auto"/>
          <w:sz w:val="21"/>
          <w:szCs w:val="24"/>
        </w:rPr>
      </w:pPr>
      <w:r>
        <w:rPr>
          <w:rFonts w:ascii="幼圆" w:eastAsia="幼圆" w:hAnsi="幼圆" w:cs="幼圆" w:hint="eastAsia"/>
          <w:color w:val="auto"/>
          <w:sz w:val="21"/>
          <w:szCs w:val="24"/>
        </w:rPr>
        <w:t xml:space="preserve">表 </w:t>
      </w:r>
      <w:r>
        <w:rPr>
          <w:rFonts w:ascii="幼圆" w:eastAsia="幼圆" w:hAnsi="幼圆" w:cs="幼圆" w:hint="eastAsia"/>
          <w:color w:val="auto"/>
          <w:sz w:val="21"/>
          <w:szCs w:val="24"/>
        </w:rPr>
        <w:fldChar w:fldCharType="begin"/>
      </w:r>
      <w:r>
        <w:rPr>
          <w:rFonts w:ascii="幼圆" w:eastAsia="幼圆" w:hAnsi="幼圆" w:cs="幼圆" w:hint="eastAsia"/>
          <w:color w:val="auto"/>
          <w:sz w:val="21"/>
          <w:szCs w:val="24"/>
        </w:rPr>
        <w:instrText xml:space="preserve"> STYLEREF 1 \s </w:instrText>
      </w:r>
      <w:r>
        <w:rPr>
          <w:rFonts w:ascii="幼圆" w:eastAsia="幼圆" w:hAnsi="幼圆" w:cs="幼圆" w:hint="eastAsia"/>
          <w:color w:val="auto"/>
          <w:sz w:val="21"/>
          <w:szCs w:val="24"/>
        </w:rPr>
        <w:fldChar w:fldCharType="separate"/>
      </w:r>
      <w:r>
        <w:rPr>
          <w:rFonts w:ascii="幼圆" w:eastAsia="幼圆" w:hAnsi="幼圆" w:cs="幼圆" w:hint="eastAsia"/>
          <w:color w:val="auto"/>
          <w:sz w:val="21"/>
          <w:szCs w:val="24"/>
        </w:rPr>
        <w:t>3</w:t>
      </w:r>
      <w:r>
        <w:rPr>
          <w:rFonts w:ascii="幼圆" w:eastAsia="幼圆" w:hAnsi="幼圆" w:cs="幼圆" w:hint="eastAsia"/>
          <w:color w:val="auto"/>
          <w:sz w:val="21"/>
          <w:szCs w:val="24"/>
        </w:rPr>
        <w:fldChar w:fldCharType="end"/>
      </w:r>
      <w:r>
        <w:rPr>
          <w:rFonts w:ascii="幼圆" w:eastAsia="幼圆" w:hAnsi="幼圆" w:cs="幼圆" w:hint="eastAsia"/>
          <w:color w:val="auto"/>
          <w:sz w:val="21"/>
          <w:szCs w:val="24"/>
        </w:rPr>
        <w:t>-</w:t>
      </w:r>
      <w:bookmarkStart w:id="53" w:name="_Toc19625"/>
      <w:r>
        <w:rPr>
          <w:rFonts w:ascii="幼圆" w:eastAsia="幼圆" w:hAnsi="幼圆" w:cs="幼圆" w:hint="eastAsia"/>
          <w:color w:val="auto"/>
          <w:sz w:val="21"/>
          <w:szCs w:val="24"/>
          <w:lang w:val="en-US" w:eastAsia="zh-CN"/>
        </w:rPr>
        <w:t>3</w:t>
      </w:r>
      <w:r>
        <w:rPr>
          <w:rFonts w:ascii="幼圆" w:eastAsia="幼圆" w:hAnsi="幼圆" w:cs="幼圆" w:hint="eastAsia"/>
          <w:color w:val="auto"/>
          <w:sz w:val="21"/>
          <w:szCs w:val="24"/>
        </w:rPr>
        <w:t xml:space="preserve"> </w:t>
      </w:r>
      <w:r>
        <w:rPr>
          <w:rFonts w:ascii="幼圆" w:eastAsia="幼圆" w:hAnsi="幼圆" w:cs="幼圆" w:hint="eastAsia"/>
          <w:color w:val="auto"/>
          <w:sz w:val="21"/>
          <w:szCs w:val="24"/>
          <w:lang w:eastAsia="zh-CN"/>
        </w:rPr>
        <w:t>安庆博莱雅休闲服饰公司</w:t>
      </w:r>
      <w:r>
        <w:rPr>
          <w:rFonts w:ascii="幼圆" w:eastAsia="幼圆" w:hAnsi="幼圆" w:cs="幼圆" w:hint="eastAsia"/>
          <w:color w:val="auto"/>
          <w:sz w:val="21"/>
          <w:szCs w:val="24"/>
        </w:rPr>
        <w:t>销售费用总体情况  单位：万元</w:t>
      </w:r>
    </w:p>
    <w:tbl>
      <w:tblPr>
        <w:tblStyle w:val="TableNormal"/>
        <w:tblW w:w="0" w:type="auto"/>
        <w:tblInd w:w="1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2788"/>
        <w:gridCol w:w="1191"/>
        <w:gridCol w:w="1191"/>
        <w:gridCol w:w="1191"/>
        <w:gridCol w:w="1191"/>
        <w:gridCol w:w="1191"/>
      </w:tblGrid>
      <w:tr>
        <w:tblPrEx>
          <w:tblW w:w="0" w:type="auto"/>
          <w:tblInd w:w="1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c>
          <w:tcPr>
            <w:tcW w:w="2788" w:type="dxa"/>
            <w:tcBorders>
              <w:top w:val="single" w:sz="12" w:space="0" w:color="auto"/>
              <w:left w:val="nil"/>
              <w:bottom w:val="single" w:sz="4" w:space="0" w:color="auto"/>
              <w:right w:val="nil"/>
            </w:tcBorders>
          </w:tcPr>
          <w:p>
            <w:pPr>
              <w:spacing w:line="400" w:lineRule="exact"/>
              <w:jc w:val="center"/>
              <w:rPr>
                <w:rFonts w:ascii="幼圆" w:eastAsia="幼圆" w:hAnsi="幼圆" w:cs="幼圆" w:hint="eastAsia"/>
                <w:color w:val="auto"/>
                <w:szCs w:val="21"/>
              </w:rPr>
            </w:pPr>
            <w:bookmarkEnd w:id="53"/>
            <w:r>
              <w:rPr>
                <w:rFonts w:ascii="幼圆" w:eastAsia="幼圆" w:hAnsi="幼圆" w:cs="幼圆" w:hint="eastAsia"/>
                <w:color w:val="auto"/>
                <w:szCs w:val="21"/>
              </w:rPr>
              <w:t>时间</w:t>
            </w:r>
          </w:p>
        </w:tc>
        <w:tc>
          <w:tcPr>
            <w:tcW w:w="1191" w:type="dxa"/>
            <w:tcBorders>
              <w:top w:val="single" w:sz="12" w:space="0" w:color="auto"/>
              <w:left w:val="nil"/>
              <w:bottom w:val="single" w:sz="4" w:space="0" w:color="auto"/>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2016</w:t>
            </w:r>
          </w:p>
        </w:tc>
        <w:tc>
          <w:tcPr>
            <w:tcW w:w="1191" w:type="dxa"/>
            <w:tcBorders>
              <w:top w:val="single" w:sz="12" w:space="0" w:color="auto"/>
              <w:left w:val="nil"/>
              <w:bottom w:val="single" w:sz="4" w:space="0" w:color="auto"/>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2017</w:t>
            </w:r>
          </w:p>
        </w:tc>
        <w:tc>
          <w:tcPr>
            <w:tcW w:w="1191" w:type="dxa"/>
            <w:tcBorders>
              <w:top w:val="single" w:sz="12" w:space="0" w:color="auto"/>
              <w:left w:val="nil"/>
              <w:bottom w:val="single" w:sz="4" w:space="0" w:color="auto"/>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2018</w:t>
            </w:r>
          </w:p>
        </w:tc>
        <w:tc>
          <w:tcPr>
            <w:tcW w:w="1191" w:type="dxa"/>
            <w:tcBorders>
              <w:top w:val="single" w:sz="12" w:space="0" w:color="auto"/>
              <w:left w:val="nil"/>
              <w:bottom w:val="single" w:sz="4" w:space="0" w:color="auto"/>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2019</w:t>
            </w:r>
          </w:p>
        </w:tc>
        <w:tc>
          <w:tcPr>
            <w:tcW w:w="1191" w:type="dxa"/>
            <w:tcBorders>
              <w:top w:val="single" w:sz="12" w:space="0" w:color="auto"/>
              <w:left w:val="nil"/>
              <w:bottom w:val="single" w:sz="4" w:space="0" w:color="auto"/>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2020</w:t>
            </w:r>
          </w:p>
        </w:tc>
      </w:tr>
      <w:tr>
        <w:tblPrEx>
          <w:tblW w:w="0" w:type="auto"/>
          <w:tblInd w:w="179" w:type="dxa"/>
          <w:tblLayout w:type="fixed"/>
          <w:tblCellMar>
            <w:top w:w="0" w:type="dxa"/>
            <w:left w:w="108" w:type="dxa"/>
            <w:bottom w:w="0" w:type="dxa"/>
            <w:right w:w="108" w:type="dxa"/>
          </w:tblCellMar>
          <w:tblLook w:val="0000"/>
        </w:tblPrEx>
        <w:tc>
          <w:tcPr>
            <w:tcW w:w="2788" w:type="dxa"/>
            <w:tcBorders>
              <w:top w:val="single" w:sz="4" w:space="0" w:color="auto"/>
              <w:left w:val="nil"/>
              <w:bottom w:val="nil"/>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销售费用</w:t>
            </w:r>
          </w:p>
        </w:tc>
        <w:tc>
          <w:tcPr>
            <w:tcW w:w="1191" w:type="dxa"/>
            <w:tcBorders>
              <w:top w:val="single" w:sz="4" w:space="0" w:color="auto"/>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3882.81</w:t>
            </w:r>
          </w:p>
        </w:tc>
        <w:tc>
          <w:tcPr>
            <w:tcW w:w="1191" w:type="dxa"/>
            <w:tcBorders>
              <w:top w:val="single" w:sz="4" w:space="0" w:color="auto"/>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4252.86</w:t>
            </w:r>
          </w:p>
        </w:tc>
        <w:tc>
          <w:tcPr>
            <w:tcW w:w="1191" w:type="dxa"/>
            <w:tcBorders>
              <w:top w:val="single" w:sz="4" w:space="0" w:color="auto"/>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4458.16</w:t>
            </w:r>
          </w:p>
        </w:tc>
        <w:tc>
          <w:tcPr>
            <w:tcW w:w="1191" w:type="dxa"/>
            <w:tcBorders>
              <w:top w:val="single" w:sz="4" w:space="0" w:color="auto"/>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3826.21</w:t>
            </w:r>
          </w:p>
        </w:tc>
        <w:tc>
          <w:tcPr>
            <w:tcW w:w="1191" w:type="dxa"/>
            <w:tcBorders>
              <w:top w:val="single" w:sz="4" w:space="0" w:color="auto"/>
              <w:left w:val="nil"/>
              <w:bottom w:val="nil"/>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1341.78</w:t>
            </w:r>
          </w:p>
        </w:tc>
      </w:tr>
      <w:tr>
        <w:tblPrEx>
          <w:tblW w:w="0" w:type="auto"/>
          <w:tblInd w:w="179" w:type="dxa"/>
          <w:tblLayout w:type="fixed"/>
          <w:tblCellMar>
            <w:top w:w="0" w:type="dxa"/>
            <w:left w:w="108" w:type="dxa"/>
            <w:bottom w:w="0" w:type="dxa"/>
            <w:right w:w="108" w:type="dxa"/>
          </w:tblCellMar>
          <w:tblLook w:val="0000"/>
        </w:tblPrEx>
        <w:tc>
          <w:tcPr>
            <w:tcW w:w="2788" w:type="dxa"/>
            <w:tcBorders>
              <w:top w:val="nil"/>
              <w:left w:val="nil"/>
              <w:bottom w:val="single" w:sz="12" w:space="0" w:color="auto"/>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销售费用占营业收入的比重</w:t>
            </w:r>
          </w:p>
        </w:tc>
        <w:tc>
          <w:tcPr>
            <w:tcW w:w="1191" w:type="dxa"/>
            <w:tcBorders>
              <w:top w:val="nil"/>
              <w:left w:val="nil"/>
              <w:bottom w:val="single" w:sz="12" w:space="0" w:color="auto"/>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13.02%</w:t>
            </w:r>
          </w:p>
        </w:tc>
        <w:tc>
          <w:tcPr>
            <w:tcW w:w="1191" w:type="dxa"/>
            <w:tcBorders>
              <w:top w:val="nil"/>
              <w:left w:val="nil"/>
              <w:bottom w:val="single" w:sz="12" w:space="0" w:color="auto"/>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14.82%</w:t>
            </w:r>
          </w:p>
        </w:tc>
        <w:tc>
          <w:tcPr>
            <w:tcW w:w="1191" w:type="dxa"/>
            <w:tcBorders>
              <w:top w:val="nil"/>
              <w:left w:val="nil"/>
              <w:bottom w:val="single" w:sz="12" w:space="0" w:color="auto"/>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13.98%</w:t>
            </w:r>
          </w:p>
        </w:tc>
        <w:tc>
          <w:tcPr>
            <w:tcW w:w="1191" w:type="dxa"/>
            <w:tcBorders>
              <w:top w:val="nil"/>
              <w:left w:val="nil"/>
              <w:bottom w:val="single" w:sz="12" w:space="0" w:color="auto"/>
              <w:right w:val="nil"/>
            </w:tcBorders>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12.9%</w:t>
            </w:r>
          </w:p>
        </w:tc>
        <w:tc>
          <w:tcPr>
            <w:tcW w:w="1191" w:type="dxa"/>
            <w:tcBorders>
              <w:top w:val="nil"/>
              <w:left w:val="nil"/>
              <w:bottom w:val="single" w:sz="12" w:space="0" w:color="auto"/>
              <w:right w:val="nil"/>
            </w:tcBorders>
            <w:vAlign w:val="center"/>
          </w:tcPr>
          <w:p>
            <w:pPr>
              <w:spacing w:line="400" w:lineRule="exact"/>
              <w:jc w:val="center"/>
              <w:rPr>
                <w:rFonts w:ascii="幼圆" w:eastAsia="幼圆" w:hAnsi="幼圆" w:cs="幼圆" w:hint="eastAsia"/>
                <w:color w:val="auto"/>
                <w:szCs w:val="21"/>
              </w:rPr>
            </w:pPr>
            <w:r>
              <w:rPr>
                <w:rFonts w:ascii="幼圆" w:eastAsia="幼圆" w:hAnsi="幼圆" w:cs="幼圆" w:hint="eastAsia"/>
                <w:color w:val="auto"/>
                <w:szCs w:val="21"/>
              </w:rPr>
              <w:t>11.68%</w:t>
            </w:r>
          </w:p>
        </w:tc>
      </w:tr>
    </w:tbl>
    <w:p>
      <w:pPr>
        <w:sectPr>
          <w:headerReference w:type="even" r:id="rId21"/>
          <w:headerReference w:type="default" r:id="rId22"/>
          <w:footerReference w:type="default" r:id="rId23"/>
          <w:type w:val="nextPage"/>
          <w:pgSz w:w="11906" w:h="16838"/>
          <w:pgMar w:top="1417" w:right="1418" w:bottom="1417" w:left="1418" w:header="851" w:footer="992" w:gutter="0"/>
          <w:pgNumType w:start="7"/>
          <w:cols w:space="708"/>
          <w:titlePg w:val="0"/>
          <w:rtlGutter/>
          <w:docGrid w:type="lines" w:linePitch="400" w:charSpace="0"/>
        </w:sectPr>
      </w:pPr>
    </w:p>
    <w:p>
      <w:pPr>
        <w:tabs>
          <w:tab w:val="left" w:pos="4221"/>
        </w:tabs>
        <w:spacing w:line="400" w:lineRule="exact"/>
        <w:outlineLvl w:val="0"/>
        <w:rPr>
          <w:rFonts w:ascii="幼圆" w:eastAsia="幼圆" w:hAnsi="幼圆" w:cs="幼圆" w:hint="eastAsia"/>
          <w:color w:val="auto"/>
          <w:sz w:val="24"/>
        </w:rPr>
      </w:pPr>
      <w:bookmarkStart w:id="54" w:name="_Toc18031"/>
      <w:r>
        <w:rPr>
          <w:rFonts w:ascii="幼圆" w:eastAsia="幼圆" w:hAnsi="幼圆" w:cs="幼圆" w:hint="eastAsia"/>
          <w:color w:val="auto"/>
          <w:sz w:val="24"/>
        </w:rPr>
        <w:t>数据来源：</w:t>
      </w:r>
      <w:r>
        <w:rPr>
          <w:rFonts w:ascii="幼圆" w:eastAsia="幼圆" w:hAnsi="幼圆" w:cs="幼圆" w:hint="eastAsia"/>
          <w:color w:val="auto"/>
          <w:sz w:val="24"/>
          <w:lang w:eastAsia="zh-CN"/>
        </w:rPr>
        <w:t>安庆博莱雅</w:t>
      </w:r>
      <w:r>
        <w:rPr>
          <w:rFonts w:ascii="幼圆" w:eastAsia="幼圆" w:hAnsi="幼圆" w:cs="幼圆" w:hint="eastAsia"/>
          <w:color w:val="auto"/>
          <w:sz w:val="24"/>
        </w:rPr>
        <w:t>公司</w:t>
      </w:r>
      <w:r>
        <w:rPr>
          <w:rFonts w:ascii="幼圆" w:eastAsia="幼圆" w:hAnsi="幼圆" w:cs="幼圆" w:hint="eastAsia"/>
          <w:color w:val="auto"/>
          <w:sz w:val="24"/>
          <w:lang w:eastAsia="zh-CN"/>
        </w:rPr>
        <w:t>财</w:t>
      </w:r>
      <w:r>
        <w:rPr>
          <w:rFonts w:ascii="幼圆" w:eastAsia="幼圆" w:hAnsi="幼圆" w:cs="幼圆" w:hint="eastAsia"/>
          <w:color w:val="auto"/>
          <w:sz w:val="24"/>
        </w:rPr>
        <w:t>报，华经产业研究院整理</w:t>
      </w:r>
      <w:bookmarkEnd w:id="54"/>
    </w:p>
    <w:p>
      <w:pPr>
        <w:spacing w:line="400" w:lineRule="exact"/>
        <w:ind w:firstLine="480" w:firstLineChars="200"/>
        <w:rPr>
          <w:rFonts w:ascii="幼圆" w:eastAsia="幼圆" w:hAnsi="幼圆" w:cs="幼圆" w:hint="eastAsia"/>
          <w:color w:val="auto"/>
          <w:sz w:val="24"/>
        </w:rPr>
      </w:pPr>
      <w:r>
        <w:rPr>
          <w:rFonts w:ascii="幼圆" w:eastAsia="幼圆" w:hAnsi="幼圆" w:cs="幼圆" w:hint="eastAsia"/>
          <w:color w:val="auto"/>
          <w:sz w:val="24"/>
        </w:rPr>
        <w:t>由表3-</w:t>
      </w:r>
      <w:r>
        <w:rPr>
          <w:rFonts w:ascii="幼圆" w:eastAsia="幼圆" w:hAnsi="幼圆" w:cs="幼圆" w:hint="eastAsia"/>
          <w:color w:val="auto"/>
          <w:sz w:val="24"/>
          <w:lang w:val="en-US" w:eastAsia="zh-CN"/>
        </w:rPr>
        <w:t>3</w:t>
      </w:r>
      <w:r>
        <w:rPr>
          <w:rFonts w:ascii="幼圆" w:eastAsia="幼圆" w:hAnsi="幼圆" w:cs="幼圆" w:hint="eastAsia"/>
          <w:color w:val="auto"/>
          <w:sz w:val="24"/>
        </w:rPr>
        <w:t>可以看出，</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近五年的销售费用及销售费用占营业收入的比重呈现先上升后下降的趋势，基本与各年的产销变动趋势保持一致。2020年的下降趋势在近五年内较大，主要是因为受到疫情的影响，同时</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进行了营销改革，努力细化市场销售渠道，快速导入</w:t>
      </w:r>
      <w:r>
        <w:rPr>
          <w:rFonts w:ascii="幼圆" w:eastAsia="幼圆" w:hAnsi="幼圆" w:cs="幼圆" w:hint="eastAsia"/>
          <w:color w:val="auto"/>
          <w:sz w:val="24"/>
          <w:lang w:eastAsia="zh-CN"/>
        </w:rPr>
        <w:t>安庆博莱雅公司</w:t>
      </w:r>
      <w:r>
        <w:rPr>
          <w:rFonts w:ascii="幼圆" w:eastAsia="幼圆" w:hAnsi="幼圆" w:cs="幼圆" w:hint="eastAsia"/>
          <w:color w:val="auto"/>
          <w:sz w:val="24"/>
        </w:rPr>
        <w:t>产品并抢占产品市场份额，所以导致销售费用减少较多。</w:t>
      </w:r>
    </w:p>
    <w:p>
      <w:pPr>
        <w:spacing w:line="400" w:lineRule="exact"/>
        <w:ind w:firstLine="480" w:firstLineChars="200"/>
        <w:rPr>
          <w:rFonts w:ascii="幼圆" w:eastAsia="幼圆" w:hAnsi="幼圆" w:cs="幼圆" w:hint="eastAsia"/>
          <w:color w:val="auto"/>
          <w:sz w:val="24"/>
        </w:rPr>
      </w:pPr>
      <w:r>
        <w:rPr>
          <w:rFonts w:ascii="幼圆" w:eastAsia="幼圆" w:hAnsi="幼圆" w:cs="幼圆" w:hint="eastAsia"/>
          <w:color w:val="auto"/>
          <w:sz w:val="24"/>
        </w:rPr>
        <w:t>本章内容先对</w:t>
      </w:r>
      <w:r>
        <w:rPr>
          <w:rFonts w:ascii="幼圆" w:eastAsia="幼圆" w:hAnsi="幼圆" w:cs="幼圆" w:hint="eastAsia"/>
          <w:color w:val="auto"/>
          <w:sz w:val="24"/>
          <w:lang w:eastAsia="zh-CN"/>
        </w:rPr>
        <w:t>安庆博莱雅公司</w:t>
      </w:r>
      <w:r>
        <w:rPr>
          <w:rFonts w:ascii="幼圆" w:eastAsia="幼圆" w:hAnsi="幼圆" w:cs="幼圆" w:hint="eastAsia"/>
          <w:color w:val="auto"/>
          <w:sz w:val="24"/>
        </w:rPr>
        <w:t>的整体经营情况进行阐述，随后从企业成本产生的主要活动出发，首先对</w:t>
      </w:r>
      <w:r>
        <w:rPr>
          <w:rFonts w:ascii="幼圆" w:eastAsia="幼圆" w:hAnsi="幼圆" w:cs="幼圆" w:hint="eastAsia"/>
          <w:color w:val="auto"/>
          <w:sz w:val="24"/>
          <w:lang w:eastAsia="zh-CN"/>
        </w:rPr>
        <w:t>安庆博莱雅公司</w:t>
      </w:r>
      <w:r>
        <w:rPr>
          <w:rFonts w:ascii="幼圆" w:eastAsia="幼圆" w:hAnsi="幼圆" w:cs="幼圆" w:hint="eastAsia"/>
          <w:color w:val="auto"/>
          <w:sz w:val="24"/>
        </w:rPr>
        <w:t>的成本构成情况进行分析阐述，然后详细分析了当前</w:t>
      </w:r>
      <w:r>
        <w:rPr>
          <w:rFonts w:ascii="幼圆" w:eastAsia="幼圆" w:hAnsi="幼圆" w:cs="幼圆" w:hint="eastAsia"/>
          <w:color w:val="auto"/>
          <w:sz w:val="24"/>
          <w:lang w:eastAsia="zh-CN"/>
        </w:rPr>
        <w:t>安庆博莱雅公司</w:t>
      </w:r>
      <w:r>
        <w:rPr>
          <w:rFonts w:ascii="幼圆" w:eastAsia="幼圆" w:hAnsi="幼圆" w:cs="幼圆" w:hint="eastAsia"/>
          <w:color w:val="auto"/>
          <w:sz w:val="24"/>
        </w:rPr>
        <w:t>在研发、采购、生产以及销售四个环节的成本控制现状，通过对主要影响</w:t>
      </w:r>
      <w:r>
        <w:rPr>
          <w:rFonts w:ascii="幼圆" w:eastAsia="幼圆" w:hAnsi="幼圆" w:cs="幼圆" w:hint="eastAsia"/>
          <w:color w:val="auto"/>
          <w:sz w:val="24"/>
          <w:lang w:eastAsia="zh-CN"/>
        </w:rPr>
        <w:t>安庆博莱雅公司</w:t>
      </w:r>
      <w:r>
        <w:rPr>
          <w:rFonts w:ascii="幼圆" w:eastAsia="幼圆" w:hAnsi="幼圆" w:cs="幼圆" w:hint="eastAsia"/>
          <w:color w:val="auto"/>
          <w:sz w:val="24"/>
        </w:rPr>
        <w:t>营业成本相关项目的数据进行分析与比较，接着指出</w:t>
      </w:r>
      <w:r>
        <w:rPr>
          <w:rFonts w:ascii="幼圆" w:eastAsia="幼圆" w:hAnsi="幼圆" w:cs="幼圆" w:hint="eastAsia"/>
          <w:color w:val="auto"/>
          <w:sz w:val="24"/>
          <w:lang w:eastAsia="zh-CN"/>
        </w:rPr>
        <w:t>博莱雅休闲服饰</w:t>
      </w:r>
      <w:r>
        <w:rPr>
          <w:rFonts w:ascii="幼圆" w:eastAsia="幼圆" w:hAnsi="幼圆" w:cs="幼圆" w:hint="eastAsia"/>
          <w:color w:val="auto"/>
          <w:sz w:val="24"/>
        </w:rPr>
        <w:t>企业在成本控制方面所存在的研发收益率低、材料采购方式不合理、生产加工废品率偏高及运输耗费大的问题</w:t>
      </w:r>
      <w:r>
        <w:rPr>
          <w:rFonts w:ascii="幼圆" w:eastAsia="幼圆" w:hAnsi="幼圆" w:cs="幼圆" w:hint="eastAsia"/>
          <w:color w:val="auto"/>
          <w:sz w:val="24"/>
          <w:lang w:val="en-US" w:eastAsia="zh-CN"/>
        </w:rPr>
        <w:t>(陆思佳 ,石瑞婷 ,贺心怡,2022)</w:t>
      </w:r>
      <w:r>
        <w:rPr>
          <w:rFonts w:ascii="幼圆" w:eastAsia="幼圆" w:hAnsi="幼圆" w:cs="幼圆" w:hint="eastAsia"/>
          <w:color w:val="auto"/>
          <w:sz w:val="24"/>
        </w:rPr>
        <w:t>。论文的下一章内容将结合</w:t>
      </w:r>
      <w:r>
        <w:rPr>
          <w:rFonts w:ascii="幼圆" w:eastAsia="幼圆" w:hAnsi="幼圆" w:cs="幼圆" w:hint="eastAsia"/>
          <w:color w:val="auto"/>
          <w:sz w:val="24"/>
          <w:lang w:eastAsia="zh-CN"/>
        </w:rPr>
        <w:t>安庆博莱雅公司</w:t>
      </w:r>
      <w:r>
        <w:rPr>
          <w:rFonts w:ascii="幼圆" w:eastAsia="幼圆" w:hAnsi="幼圆" w:cs="幼圆" w:hint="eastAsia"/>
          <w:color w:val="auto"/>
          <w:sz w:val="24"/>
        </w:rPr>
        <w:t>在成本控制方面存在的问题，将价值链成本控制应用于</w:t>
      </w:r>
      <w:r>
        <w:rPr>
          <w:rFonts w:ascii="幼圆" w:eastAsia="幼圆" w:hAnsi="幼圆" w:cs="幼圆" w:hint="eastAsia"/>
          <w:color w:val="auto"/>
          <w:sz w:val="24"/>
          <w:lang w:eastAsia="zh-CN"/>
        </w:rPr>
        <w:t>安庆博莱雅公司</w:t>
      </w:r>
      <w:r>
        <w:rPr>
          <w:rFonts w:ascii="幼圆" w:eastAsia="幼圆" w:hAnsi="幼圆" w:cs="幼圆" w:hint="eastAsia"/>
          <w:color w:val="auto"/>
          <w:sz w:val="24"/>
        </w:rPr>
        <w:t>并进行分析，为</w:t>
      </w:r>
      <w:r>
        <w:rPr>
          <w:rFonts w:ascii="幼圆" w:eastAsia="幼圆" w:hAnsi="幼圆" w:cs="幼圆" w:hint="eastAsia"/>
          <w:color w:val="auto"/>
          <w:sz w:val="24"/>
          <w:lang w:eastAsia="zh-CN"/>
        </w:rPr>
        <w:t>安庆博莱雅公司</w:t>
      </w:r>
      <w:r>
        <w:rPr>
          <w:rFonts w:ascii="幼圆" w:eastAsia="幼圆" w:hAnsi="幼圆" w:cs="幼圆" w:hint="eastAsia"/>
          <w:color w:val="auto"/>
          <w:sz w:val="24"/>
        </w:rPr>
        <w:t>在改善成本控制方面提供新思路。</w:t>
      </w:r>
    </w:p>
    <w:p>
      <w:pPr>
        <w:pStyle w:val="Heading1"/>
        <w:tabs>
          <w:tab w:val="left" w:pos="0"/>
        </w:tabs>
        <w:spacing w:before="200" w:after="400"/>
        <w:rPr>
          <w:rFonts w:ascii="幼圆" w:eastAsia="幼圆" w:hAnsi="幼圆" w:cs="幼圆" w:hint="eastAsia"/>
          <w:color w:val="auto"/>
        </w:rPr>
      </w:pPr>
      <w:r>
        <w:rPr>
          <w:rFonts w:ascii="幼圆" w:eastAsia="幼圆" w:hAnsi="幼圆" w:cs="幼圆" w:hint="eastAsia"/>
          <w:color w:val="auto"/>
        </w:rPr>
        <w:t xml:space="preserve"> </w:t>
      </w:r>
      <w:bookmarkStart w:id="55" w:name="_Toc422"/>
      <w:bookmarkStart w:id="56" w:name="_Toc3171"/>
      <w:r>
        <w:rPr>
          <w:rFonts w:ascii="幼圆" w:eastAsia="幼圆" w:hAnsi="幼圆" w:cs="幼圆" w:hint="eastAsia"/>
          <w:color w:val="auto"/>
          <w:lang w:eastAsia="zh-CN"/>
        </w:rPr>
        <w:t>安庆博莱雅休闲服饰公司</w:t>
      </w:r>
      <w:r>
        <w:rPr>
          <w:rFonts w:ascii="幼圆" w:eastAsia="幼圆" w:hAnsi="幼圆" w:cs="幼圆" w:hint="eastAsia"/>
          <w:color w:val="auto"/>
        </w:rPr>
        <w:t>成本控制存在的问题</w:t>
      </w:r>
      <w:bookmarkEnd w:id="56"/>
      <w:bookmarkEnd w:id="55"/>
    </w:p>
    <w:p>
      <w:pPr>
        <w:spacing w:line="400" w:lineRule="exact"/>
        <w:ind w:firstLine="480" w:firstLineChars="200"/>
        <w:rPr>
          <w:rFonts w:ascii="幼圆" w:eastAsia="幼圆" w:hAnsi="幼圆" w:cs="幼圆" w:hint="eastAsia"/>
          <w:color w:val="auto"/>
          <w:sz w:val="24"/>
        </w:rPr>
      </w:pPr>
      <w:r>
        <w:rPr>
          <w:rFonts w:ascii="幼圆" w:eastAsia="幼圆" w:hAnsi="幼圆" w:cs="幼圆" w:hint="eastAsia"/>
          <w:color w:val="auto"/>
          <w:sz w:val="24"/>
        </w:rPr>
        <w:t>通过上述对</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成本控制现状分析可以得知目前成本控制总体现状存在问题。主要表现在以下几点：</w:t>
      </w:r>
    </w:p>
    <w:p>
      <w:pPr>
        <w:pStyle w:val="Heading2"/>
        <w:tabs>
          <w:tab w:val="left" w:pos="0"/>
        </w:tabs>
        <w:spacing w:before="400" w:after="200"/>
        <w:rPr>
          <w:rFonts w:ascii="幼圆" w:eastAsia="幼圆" w:hAnsi="幼圆" w:cs="幼圆" w:hint="eastAsia"/>
          <w:color w:val="auto"/>
        </w:rPr>
      </w:pPr>
      <w:r>
        <w:rPr>
          <w:rFonts w:ascii="幼圆" w:eastAsia="幼圆" w:hAnsi="幼圆" w:cs="幼圆" w:hint="eastAsia"/>
          <w:color w:val="auto"/>
        </w:rPr>
        <w:t xml:space="preserve"> </w:t>
      </w:r>
      <w:bookmarkStart w:id="57" w:name="_Toc26829"/>
      <w:bookmarkStart w:id="58" w:name="_Toc12557"/>
      <w:r>
        <w:rPr>
          <w:rFonts w:ascii="幼圆" w:eastAsia="幼圆" w:hAnsi="幼圆" w:cs="幼圆" w:hint="eastAsia"/>
          <w:color w:val="auto"/>
        </w:rPr>
        <w:t>研发收益率低</w:t>
      </w:r>
      <w:bookmarkEnd w:id="58"/>
      <w:bookmarkEnd w:id="57"/>
    </w:p>
    <w:p>
      <w:pPr>
        <w:spacing w:line="400" w:lineRule="exact"/>
        <w:ind w:firstLine="480" w:firstLineChars="200"/>
        <w:rPr>
          <w:rFonts w:ascii="幼圆" w:eastAsia="幼圆" w:hAnsi="幼圆" w:cs="幼圆" w:hint="eastAsia"/>
          <w:color w:val="auto"/>
          <w:sz w:val="24"/>
        </w:rPr>
      </w:pPr>
      <w:r>
        <w:rPr>
          <w:rFonts w:ascii="幼圆" w:eastAsia="幼圆" w:hAnsi="幼圆" w:cs="幼圆" w:hint="eastAsia"/>
          <w:color w:val="auto"/>
          <w:sz w:val="24"/>
        </w:rPr>
        <w:t>由现状分析可知，在最近五年时间里，</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对研发方面的投入额都始终保持在国家对高新技术企业的认定标准，即3%以上，</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管理层鼓励创新研发，对于研发方面的投入也不少，除了2020年因疫情减少了研发投入，每年都在1000万以上</w:t>
      </w:r>
      <w:r>
        <w:rPr>
          <w:rFonts w:ascii="幼圆" w:eastAsia="幼圆" w:hAnsi="幼圆" w:cs="幼圆" w:hint="eastAsia"/>
          <w:color w:val="auto"/>
          <w:sz w:val="24"/>
          <w:lang w:val="en-US" w:eastAsia="zh-CN"/>
        </w:rPr>
        <w:t>(倪初丹 ,孙雅洁, 高萌,2019)</w:t>
      </w:r>
      <w:r>
        <w:rPr>
          <w:rFonts w:ascii="幼圆" w:eastAsia="幼圆" w:hAnsi="幼圆" w:cs="幼圆" w:hint="eastAsia"/>
          <w:color w:val="auto"/>
          <w:sz w:val="24"/>
        </w:rPr>
        <w:t>。但通过前文对</w:t>
      </w:r>
      <w:r>
        <w:rPr>
          <w:rFonts w:ascii="幼圆" w:eastAsia="幼圆" w:hAnsi="幼圆" w:cs="幼圆" w:hint="eastAsia"/>
          <w:color w:val="auto"/>
          <w:sz w:val="24"/>
          <w:lang w:eastAsia="zh-CN"/>
        </w:rPr>
        <w:t>安庆博莱雅公司</w:t>
      </w:r>
      <w:r>
        <w:rPr>
          <w:rFonts w:ascii="幼圆" w:eastAsia="幼圆" w:hAnsi="幼圆" w:cs="幼圆" w:hint="eastAsia"/>
          <w:color w:val="auto"/>
          <w:sz w:val="24"/>
        </w:rPr>
        <w:t>经营状况的分析可以看出，</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营业收入在近五年呈现整体下降趋势，且销售量也在逐年递减，这与高额的研发投入并不相符。同时，通过前文分析同样可知，</w:t>
      </w:r>
      <w:r>
        <w:rPr>
          <w:rFonts w:ascii="幼圆" w:eastAsia="幼圆" w:hAnsi="幼圆" w:cs="幼圆" w:hint="eastAsia"/>
          <w:color w:val="auto"/>
          <w:sz w:val="24"/>
          <w:lang w:eastAsia="zh-CN"/>
        </w:rPr>
        <w:t>安庆博莱雅公司</w:t>
      </w:r>
      <w:r>
        <w:rPr>
          <w:rFonts w:ascii="幼圆" w:eastAsia="幼圆" w:hAnsi="幼圆" w:cs="幼圆" w:hint="eastAsia"/>
          <w:color w:val="auto"/>
          <w:sz w:val="24"/>
        </w:rPr>
        <w:t>近五年并没有进行资本化研发，因此可以得出企业研发收益率并不理想，甚至存在虚增成本的可能。</w:t>
      </w:r>
    </w:p>
    <w:p>
      <w:pPr>
        <w:pStyle w:val="Heading2"/>
        <w:tabs>
          <w:tab w:val="left" w:pos="0"/>
        </w:tabs>
        <w:spacing w:before="400" w:after="200"/>
        <w:rPr>
          <w:rFonts w:ascii="幼圆" w:eastAsia="幼圆" w:hAnsi="幼圆" w:cs="幼圆" w:hint="eastAsia"/>
          <w:color w:val="auto"/>
        </w:rPr>
      </w:pPr>
      <w:r>
        <w:rPr>
          <w:rFonts w:ascii="幼圆" w:eastAsia="幼圆" w:hAnsi="幼圆" w:cs="幼圆" w:hint="eastAsia"/>
          <w:color w:val="auto"/>
        </w:rPr>
        <w:t xml:space="preserve"> </w:t>
      </w:r>
      <w:bookmarkStart w:id="59" w:name="_Toc913"/>
      <w:bookmarkStart w:id="60" w:name="_Toc31468"/>
      <w:r>
        <w:rPr>
          <w:rFonts w:ascii="幼圆" w:eastAsia="幼圆" w:hAnsi="幼圆" w:cs="幼圆" w:hint="eastAsia"/>
          <w:color w:val="auto"/>
        </w:rPr>
        <w:t>材料采购方式不合理</w:t>
      </w:r>
      <w:bookmarkEnd w:id="59"/>
      <w:bookmarkEnd w:id="60"/>
    </w:p>
    <w:p>
      <w:pPr>
        <w:spacing w:line="400" w:lineRule="exact"/>
        <w:ind w:firstLine="480" w:firstLineChars="200"/>
        <w:rPr>
          <w:rFonts w:ascii="幼圆" w:eastAsia="幼圆" w:hAnsi="幼圆" w:cs="幼圆" w:hint="eastAsia"/>
          <w:color w:val="auto"/>
          <w:sz w:val="24"/>
        </w:rPr>
        <w:sectPr>
          <w:headerReference w:type="even" r:id="rId24"/>
          <w:headerReference w:type="default" r:id="rId25"/>
          <w:footerReference w:type="default" r:id="rId26"/>
          <w:type w:val="nextPage"/>
          <w:pgSz w:w="11906" w:h="16838"/>
          <w:pgMar w:top="1417" w:right="1418" w:bottom="1417" w:left="1418" w:header="851" w:footer="992" w:gutter="0"/>
          <w:pgNumType w:start="8"/>
          <w:cols w:space="708"/>
          <w:titlePg w:val="0"/>
          <w:rtlGutter/>
          <w:docGrid w:type="lines" w:linePitch="400" w:charSpace="0"/>
        </w:sectPr>
      </w:pPr>
      <w:r>
        <w:rPr>
          <w:rFonts w:ascii="幼圆" w:eastAsia="幼圆" w:hAnsi="幼圆" w:cs="幼圆" w:hint="eastAsia"/>
          <w:color w:val="auto"/>
          <w:sz w:val="24"/>
        </w:rPr>
        <w:t>由前文现状分析可知，</w:t>
      </w:r>
      <w:r>
        <w:rPr>
          <w:rFonts w:ascii="幼圆" w:eastAsia="幼圆" w:hAnsi="幼圆" w:cs="幼圆" w:hint="eastAsia"/>
          <w:color w:val="auto"/>
          <w:sz w:val="24"/>
          <w:lang w:eastAsia="zh-CN"/>
        </w:rPr>
        <w:t>安庆博莱雅休闲服饰公司</w:t>
      </w:r>
    </w:p>
    <w:p>
      <w:pPr>
        <w:spacing w:line="400" w:lineRule="exact"/>
        <w:ind w:firstLine="480" w:firstLineChars="200"/>
        <w:rPr>
          <w:rFonts w:ascii="幼圆" w:eastAsia="幼圆" w:hAnsi="幼圆" w:cs="幼圆" w:hint="eastAsia"/>
          <w:color w:val="auto"/>
          <w:sz w:val="24"/>
        </w:rPr>
      </w:pPr>
      <w:r>
        <w:rPr>
          <w:rFonts w:ascii="幼圆" w:eastAsia="幼圆" w:hAnsi="幼圆" w:cs="幼圆" w:hint="eastAsia"/>
          <w:color w:val="auto"/>
          <w:sz w:val="24"/>
        </w:rPr>
        <w:t>没有采取源头采购或直接采购的模式，而是通过供应商进行自行采购，从供应商处采购本就可能比源头采购或直接采购成本要高。同时，通过对</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原材料采购人员询问得知，曾与</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合作过的供应商有300多家，但企业和这其中大多数的供应商并没有达成长期合作的意向。由于</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能够选择并达成合作意向的供应商数量较多，没有长期稳定的往来供应商合作方，</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没有完整详细地分析判断采购价格是否是最佳价格，所以可以知道，</w:t>
      </w:r>
      <w:r>
        <w:rPr>
          <w:rFonts w:ascii="幼圆" w:eastAsia="幼圆" w:hAnsi="幼圆" w:cs="幼圆" w:hint="eastAsia"/>
          <w:color w:val="auto"/>
          <w:sz w:val="24"/>
          <w:lang w:eastAsia="zh-CN"/>
        </w:rPr>
        <w:t>安庆博莱雅公司</w:t>
      </w:r>
      <w:r>
        <w:rPr>
          <w:rFonts w:ascii="幼圆" w:eastAsia="幼圆" w:hAnsi="幼圆" w:cs="幼圆" w:hint="eastAsia"/>
          <w:color w:val="auto"/>
          <w:sz w:val="24"/>
        </w:rPr>
        <w:t>的采购成本还可以再稍微降低一点</w:t>
      </w:r>
      <w:r>
        <w:rPr>
          <w:rFonts w:ascii="幼圆" w:eastAsia="幼圆" w:hAnsi="幼圆" w:cs="幼圆" w:hint="eastAsia"/>
          <w:color w:val="auto"/>
          <w:sz w:val="24"/>
          <w:lang w:val="en-US" w:eastAsia="zh-CN"/>
        </w:rPr>
        <w:t>(沈嘉怡 ,潘绮文,2022)</w:t>
      </w:r>
      <w:r>
        <w:rPr>
          <w:rFonts w:ascii="幼圆" w:eastAsia="幼圆" w:hAnsi="幼圆" w:cs="幼圆" w:hint="eastAsia"/>
          <w:color w:val="auto"/>
          <w:sz w:val="24"/>
        </w:rPr>
        <w:t>。</w:t>
      </w:r>
    </w:p>
    <w:p>
      <w:pPr>
        <w:spacing w:line="400" w:lineRule="exact"/>
        <w:ind w:firstLine="480" w:firstLineChars="200"/>
        <w:rPr>
          <w:rFonts w:ascii="幼圆" w:eastAsia="幼圆" w:hAnsi="幼圆" w:cs="幼圆" w:hint="eastAsia"/>
          <w:color w:val="auto"/>
          <w:sz w:val="24"/>
          <w:highlight w:val="lightGray"/>
        </w:rPr>
      </w:pP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在采购原材料时，通常会以高于采购计划所规定的采购量，并选择那些给采购方提供类似买多返点价格优惠政策的供应商，以此来减少</w:t>
      </w:r>
      <w:r>
        <w:rPr>
          <w:rFonts w:ascii="幼圆" w:eastAsia="幼圆" w:hAnsi="幼圆" w:cs="幼圆" w:hint="eastAsia"/>
          <w:color w:val="auto"/>
          <w:sz w:val="24"/>
          <w:lang w:eastAsia="zh-CN"/>
        </w:rPr>
        <w:t>安庆博莱雅公司的</w:t>
      </w:r>
      <w:r>
        <w:rPr>
          <w:rFonts w:ascii="幼圆" w:eastAsia="幼圆" w:hAnsi="幼圆" w:cs="幼圆" w:hint="eastAsia"/>
          <w:color w:val="auto"/>
          <w:sz w:val="24"/>
        </w:rPr>
        <w:t>采购时的成本。但事实上，过高的采购量必然会使库存增加，进而造成储存成本增加，最终导致</w:t>
      </w:r>
      <w:r>
        <w:rPr>
          <w:rFonts w:ascii="幼圆" w:eastAsia="幼圆" w:hAnsi="幼圆" w:cs="幼圆" w:hint="eastAsia"/>
          <w:color w:val="auto"/>
          <w:sz w:val="24"/>
          <w:lang w:eastAsia="zh-CN"/>
        </w:rPr>
        <w:t>安庆博莱雅公司</w:t>
      </w:r>
      <w:r>
        <w:rPr>
          <w:rFonts w:ascii="幼圆" w:eastAsia="幼圆" w:hAnsi="幼圆" w:cs="幼圆" w:hint="eastAsia"/>
          <w:color w:val="auto"/>
          <w:sz w:val="24"/>
        </w:rPr>
        <w:t>资金的浪费。由前文对采购环节成本控制现状的分析也可以看出</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这种不够合理的采购方式，主要体现在</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近五年产品的原材料基本都达到产品成本的85%左右，要远远高于其他同行</w:t>
      </w:r>
      <w:r>
        <w:rPr>
          <w:rFonts w:ascii="幼圆" w:eastAsia="幼圆" w:hAnsi="幼圆" w:cs="幼圆" w:hint="eastAsia"/>
          <w:color w:val="auto"/>
          <w:sz w:val="24"/>
          <w:lang w:eastAsia="zh-CN"/>
        </w:rPr>
        <w:t>休闲服饰</w:t>
      </w:r>
      <w:r>
        <w:rPr>
          <w:rFonts w:ascii="幼圆" w:eastAsia="幼圆" w:hAnsi="幼圆" w:cs="幼圆" w:hint="eastAsia"/>
          <w:color w:val="auto"/>
          <w:sz w:val="24"/>
        </w:rPr>
        <w:t>企业的采购成本。因此，较高的采购成本势必会影响其产品成本</w:t>
      </w:r>
      <w:r>
        <w:rPr>
          <w:rFonts w:ascii="幼圆" w:eastAsia="幼圆" w:hAnsi="幼圆" w:cs="幼圆" w:hint="eastAsia"/>
          <w:color w:val="auto"/>
          <w:sz w:val="24"/>
          <w:vertAlign w:val="superscript"/>
          <w:lang w:val="en-US" w:eastAsia="zh-CN"/>
        </w:rPr>
        <w:t>[7]</w:t>
      </w:r>
      <w:r>
        <w:rPr>
          <w:rFonts w:ascii="幼圆" w:eastAsia="幼圆" w:hAnsi="幼圆" w:cs="幼圆" w:hint="eastAsia"/>
          <w:color w:val="auto"/>
          <w:sz w:val="24"/>
          <w:lang w:val="en-US" w:eastAsia="zh-CN"/>
        </w:rPr>
        <w:t>(何婷婷 ,邱纯真 ,易桐)</w:t>
      </w:r>
      <w:r>
        <w:rPr>
          <w:rFonts w:ascii="幼圆" w:eastAsia="幼圆" w:hAnsi="幼圆" w:cs="幼圆" w:hint="eastAsia"/>
          <w:color w:val="auto"/>
          <w:sz w:val="24"/>
        </w:rPr>
        <w:t>。</w:t>
      </w:r>
    </w:p>
    <w:p>
      <w:pPr>
        <w:pStyle w:val="Heading2"/>
        <w:tabs>
          <w:tab w:val="left" w:pos="0"/>
        </w:tabs>
        <w:spacing w:before="400" w:after="200"/>
        <w:rPr>
          <w:rFonts w:ascii="幼圆" w:eastAsia="幼圆" w:hAnsi="幼圆" w:cs="幼圆" w:hint="eastAsia"/>
          <w:color w:val="auto"/>
        </w:rPr>
      </w:pPr>
      <w:r>
        <w:rPr>
          <w:rFonts w:ascii="幼圆" w:eastAsia="幼圆" w:hAnsi="幼圆" w:cs="幼圆" w:hint="eastAsia"/>
          <w:color w:val="auto"/>
        </w:rPr>
        <w:t xml:space="preserve"> </w:t>
      </w:r>
      <w:bookmarkStart w:id="61" w:name="_Toc30700"/>
      <w:bookmarkStart w:id="62" w:name="_Toc11591"/>
      <w:r>
        <w:rPr>
          <w:rFonts w:ascii="幼圆" w:eastAsia="幼圆" w:hAnsi="幼圆" w:cs="幼圆" w:hint="eastAsia"/>
          <w:color w:val="auto"/>
        </w:rPr>
        <w:t>生产加工的废品率偏高</w:t>
      </w:r>
      <w:bookmarkEnd w:id="61"/>
      <w:bookmarkEnd w:id="62"/>
    </w:p>
    <w:p>
      <w:pPr>
        <w:spacing w:line="400" w:lineRule="exact"/>
        <w:ind w:firstLine="480" w:firstLineChars="200"/>
        <w:rPr>
          <w:rFonts w:ascii="幼圆" w:eastAsia="幼圆" w:hAnsi="幼圆" w:cs="幼圆" w:hint="eastAsia"/>
          <w:color w:val="auto"/>
          <w:sz w:val="24"/>
        </w:rPr>
      </w:pPr>
      <w:r>
        <w:rPr>
          <w:rFonts w:ascii="幼圆" w:eastAsia="幼圆" w:hAnsi="幼圆" w:cs="幼圆" w:hint="eastAsia"/>
          <w:color w:val="auto"/>
          <w:sz w:val="24"/>
        </w:rPr>
        <w:t>虽然</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在生产过程中会对损耗量进行统计，但却没有对废品设置一个明确的标准。由前文分析可知</w:t>
      </w:r>
      <w:r>
        <w:rPr>
          <w:rFonts w:ascii="幼圆" w:eastAsia="幼圆" w:hAnsi="幼圆" w:cs="幼圆" w:hint="eastAsia"/>
          <w:color w:val="auto"/>
          <w:sz w:val="24"/>
          <w:lang w:eastAsia="zh-CN"/>
        </w:rPr>
        <w:t>安庆博莱雅休闲服饰公司</w:t>
      </w:r>
      <w:r>
        <w:rPr>
          <w:rFonts w:ascii="幼圆" w:eastAsia="幼圆" w:hAnsi="幼圆" w:cs="幼圆" w:hint="eastAsia"/>
          <w:color w:val="auto"/>
          <w:sz w:val="24"/>
        </w:rPr>
        <w:t>生产主要产品</w:t>
      </w:r>
      <w:r>
        <w:rPr>
          <w:rFonts w:ascii="幼圆" w:eastAsia="幼圆" w:hAnsi="幼圆" w:cs="幼圆" w:hint="eastAsia"/>
          <w:color w:val="auto"/>
          <w:sz w:val="24"/>
          <w:lang w:eastAsia="zh-CN"/>
        </w:rPr>
        <w:t>休闲服饰</w:t>
      </w:r>
      <w:r>
        <w:rPr>
          <w:rFonts w:ascii="幼圆" w:eastAsia="幼圆" w:hAnsi="幼圆" w:cs="幼圆" w:hint="eastAsia"/>
          <w:color w:val="auto"/>
          <w:sz w:val="24"/>
          <w:lang w:val="en-US" w:eastAsia="zh-CN"/>
        </w:rPr>
        <w:t>产品</w:t>
      </w:r>
      <w:r>
        <w:rPr>
          <w:rFonts w:ascii="幼圆" w:eastAsia="幼圆" w:hAnsi="幼圆" w:cs="幼圆" w:hint="eastAsia"/>
          <w:color w:val="auto"/>
          <w:sz w:val="24"/>
        </w:rPr>
        <w:t>废品率大约为4.5%，企业月平均废品率甚至达到5%。废品的成本不仅包含它本身，伴随废品产生的人工及水电费也同样需要纳入废品成本中，但事实上废品并无法产生任何价值。因此，</w:t>
      </w:r>
      <w:r>
        <w:rPr>
          <w:rFonts w:ascii="幼圆" w:eastAsia="幼圆" w:hAnsi="幼圆" w:cs="幼圆" w:hint="eastAsia"/>
          <w:color w:val="auto"/>
          <w:sz w:val="24"/>
          <w:lang w:eastAsia="zh-CN"/>
        </w:rPr>
        <w:t>安庆博莱雅公司</w:t>
      </w:r>
      <w:r>
        <w:rPr>
          <w:rFonts w:ascii="幼圆" w:eastAsia="幼圆" w:hAnsi="幼圆" w:cs="幼圆" w:hint="eastAsia"/>
          <w:color w:val="auto"/>
          <w:sz w:val="24"/>
        </w:rPr>
        <w:t>生产部门应重视对废品的控制，降低废品率，最终达到降低生产成本的结果。</w:t>
      </w:r>
    </w:p>
    <w:p>
      <w:pPr>
        <w:pStyle w:val="Heading1"/>
        <w:tabs>
          <w:tab w:val="left" w:pos="0"/>
        </w:tabs>
        <w:spacing w:before="200" w:after="400"/>
        <w:rPr>
          <w:rFonts w:ascii="幼圆" w:eastAsia="幼圆" w:hAnsi="幼圆" w:cs="幼圆" w:hint="eastAsia"/>
          <w:color w:val="auto"/>
        </w:rPr>
      </w:pPr>
      <w:r>
        <w:rPr>
          <w:rFonts w:ascii="幼圆" w:eastAsia="幼圆" w:hAnsi="幼圆" w:cs="幼圆" w:hint="eastAsia"/>
          <w:color w:val="auto"/>
        </w:rPr>
        <w:t xml:space="preserve"> </w:t>
      </w:r>
      <w:bookmarkStart w:id="63" w:name="_Toc5148"/>
      <w:bookmarkStart w:id="64" w:name="_Toc10884"/>
      <w:r>
        <w:rPr>
          <w:rFonts w:ascii="幼圆" w:eastAsia="幼圆" w:hAnsi="幼圆" w:cs="幼圆" w:hint="eastAsia"/>
          <w:color w:val="auto"/>
          <w:lang w:eastAsia="zh-CN"/>
        </w:rPr>
        <w:t>安庆博莱雅休闲服饰公司</w:t>
      </w:r>
      <w:r>
        <w:rPr>
          <w:rFonts w:ascii="幼圆" w:eastAsia="幼圆" w:hAnsi="幼圆" w:cs="幼圆" w:hint="eastAsia"/>
          <w:color w:val="auto"/>
        </w:rPr>
        <w:t>价值链成本控制应用</w:t>
      </w:r>
      <w:bookmarkEnd w:id="63"/>
      <w:bookmarkEnd w:id="64"/>
    </w:p>
    <w:p>
      <w:pPr>
        <w:spacing w:line="400" w:lineRule="exact"/>
        <w:ind w:firstLine="480" w:firstLineChars="200"/>
        <w:rPr>
          <w:rFonts w:ascii="幼圆" w:eastAsia="幼圆" w:hAnsi="幼圆" w:cs="幼圆" w:hint="eastAsia"/>
          <w:color w:val="auto"/>
          <w:sz w:val="24"/>
        </w:rPr>
      </w:pPr>
      <w:r>
        <w:rPr>
          <w:rFonts w:ascii="幼圆" w:eastAsia="幼圆" w:hAnsi="幼圆" w:cs="幼圆" w:hint="eastAsia"/>
          <w:color w:val="auto"/>
          <w:sz w:val="24"/>
        </w:rPr>
        <w:t>对</w:t>
      </w:r>
      <w:r>
        <w:rPr>
          <w:rFonts w:ascii="幼圆" w:eastAsia="幼圆" w:hAnsi="幼圆" w:cs="幼圆" w:hint="eastAsia"/>
          <w:color w:val="auto"/>
          <w:sz w:val="24"/>
          <w:lang w:eastAsia="zh-CN"/>
        </w:rPr>
        <w:t>安庆博莱雅公司</w:t>
      </w:r>
      <w:r>
        <w:rPr>
          <w:rFonts w:ascii="幼圆" w:eastAsia="幼圆" w:hAnsi="幼圆" w:cs="幼圆" w:hint="eastAsia"/>
          <w:color w:val="auto"/>
          <w:sz w:val="24"/>
        </w:rPr>
        <w:t>来讲，企业的成本控制的研究应该从内外价值链方面开展，而外部价值链又可分为横向价值链以及纵向价值链。就企业外部价值链而言，在横向价值链应该考虑到企业在所处行业的价值和地位，同时，从</w:t>
      </w:r>
      <w:r>
        <w:rPr>
          <w:rFonts w:ascii="幼圆" w:eastAsia="幼圆" w:hAnsi="幼圆" w:cs="幼圆" w:hint="eastAsia"/>
          <w:color w:val="auto"/>
          <w:sz w:val="24"/>
          <w:lang w:eastAsia="zh-CN"/>
        </w:rPr>
        <w:t>安庆博莱雅公司</w:t>
      </w:r>
      <w:r>
        <w:rPr>
          <w:rFonts w:ascii="幼圆" w:eastAsia="幼圆" w:hAnsi="幼圆" w:cs="幼圆" w:hint="eastAsia"/>
          <w:color w:val="auto"/>
          <w:sz w:val="24"/>
        </w:rPr>
        <w:t>成本控制方面分析，企业和其他同行企业之间的</w:t>
      </w:r>
      <w:r>
        <w:rPr>
          <w:rFonts w:ascii="幼圆" w:eastAsia="幼圆" w:hAnsi="幼圆" w:cs="幼圆" w:hint="eastAsia"/>
          <w:color w:val="auto"/>
          <w:sz w:val="24"/>
        </w:rPr>
        <w:t>“</w:t>
      </w:r>
      <w:r>
        <w:rPr>
          <w:rFonts w:ascii="幼圆" w:eastAsia="幼圆" w:hAnsi="幼圆" w:cs="幼圆" w:hint="eastAsia"/>
          <w:color w:val="auto"/>
          <w:sz w:val="24"/>
        </w:rPr>
        <w:t>竞争力</w:t>
      </w:r>
      <w:r>
        <w:rPr>
          <w:rFonts w:ascii="幼圆" w:eastAsia="幼圆" w:hAnsi="幼圆" w:cs="幼圆" w:hint="eastAsia"/>
          <w:color w:val="auto"/>
          <w:sz w:val="24"/>
        </w:rPr>
        <w:t>”</w:t>
      </w:r>
      <w:r>
        <w:rPr>
          <w:rFonts w:ascii="幼圆" w:eastAsia="幼圆" w:hAnsi="幼圆" w:cs="幼圆" w:hint="eastAsia"/>
          <w:color w:val="auto"/>
          <w:sz w:val="24"/>
        </w:rPr>
        <w:t>差距。纵向价值链要求企业应该注重供应商以及产业链。在分析内部价值链的过程当中，</w:t>
      </w:r>
      <w:r>
        <w:rPr>
          <w:rFonts w:ascii="幼圆" w:eastAsia="幼圆" w:hAnsi="幼圆" w:cs="幼圆" w:hint="eastAsia"/>
          <w:color w:val="auto"/>
          <w:sz w:val="24"/>
          <w:lang w:eastAsia="zh-CN"/>
        </w:rPr>
        <w:t>安庆博莱雅公司</w:t>
      </w:r>
      <w:r>
        <w:rPr>
          <w:rFonts w:ascii="幼圆" w:eastAsia="幼圆" w:hAnsi="幼圆" w:cs="幼圆" w:hint="eastAsia"/>
          <w:color w:val="auto"/>
          <w:sz w:val="24"/>
        </w:rPr>
        <w:t>有必要在经营活动中明确企业的战略规划，将产品从研发到销售的整个环节进行价值链分析，同时进行分类经营，合理分配企业资源，明确增值活动以及普通经营活动的成本投入</w:t>
      </w:r>
      <w:r>
        <w:rPr>
          <w:rFonts w:ascii="幼圆" w:eastAsia="幼圆" w:hAnsi="幼圆" w:cs="幼圆" w:hint="eastAsia"/>
          <w:color w:val="auto"/>
          <w:sz w:val="24"/>
          <w:vertAlign w:val="superscript"/>
          <w:lang w:val="en-US" w:eastAsia="zh-CN"/>
        </w:rPr>
        <w:t>[8]</w:t>
      </w:r>
      <w:r>
        <w:rPr>
          <w:rFonts w:ascii="幼圆" w:eastAsia="幼圆" w:hAnsi="幼圆" w:cs="幼圆" w:hint="eastAsia"/>
          <w:color w:val="auto"/>
          <w:sz w:val="24"/>
          <w:lang w:val="en-US" w:eastAsia="zh-CN"/>
        </w:rPr>
        <w:t>(杨婉娜 ,赵宛菡)</w:t>
      </w:r>
      <w:r>
        <w:rPr>
          <w:rFonts w:ascii="幼圆" w:eastAsia="幼圆" w:hAnsi="幼圆" w:cs="幼圆" w:hint="eastAsia"/>
          <w:color w:val="auto"/>
          <w:sz w:val="24"/>
        </w:rPr>
        <w:t>。最后，</w:t>
      </w:r>
      <w:r>
        <w:rPr>
          <w:rFonts w:ascii="幼圆" w:eastAsia="幼圆" w:hAnsi="幼圆" w:cs="幼圆" w:hint="eastAsia"/>
          <w:color w:val="auto"/>
          <w:sz w:val="24"/>
          <w:lang w:eastAsia="zh-CN"/>
        </w:rPr>
        <w:t>安庆博莱雅公司</w:t>
      </w:r>
      <w:r>
        <w:rPr>
          <w:rFonts w:ascii="幼圆" w:eastAsia="幼圆" w:hAnsi="幼圆" w:cs="幼圆" w:hint="eastAsia"/>
          <w:color w:val="auto"/>
          <w:sz w:val="24"/>
        </w:rPr>
        <w:t>想要做好成本管理工作，</w:t>
      </w:r>
      <w:r>
        <w:rPr>
          <w:rFonts w:ascii="幼圆" w:eastAsia="幼圆" w:hAnsi="幼圆" w:cs="幼圆" w:hint="eastAsia"/>
          <w:color w:val="auto"/>
          <w:sz w:val="24"/>
          <w:lang w:eastAsia="zh-CN"/>
        </w:rPr>
        <w:t>博莱雅</w:t>
      </w:r>
      <w:r>
        <w:rPr>
          <w:rFonts w:ascii="幼圆" w:eastAsia="幼圆" w:hAnsi="幼圆" w:cs="幼圆" w:hint="eastAsia"/>
          <w:color w:val="auto"/>
          <w:sz w:val="24"/>
        </w:rPr>
        <w:t>企业要从内部的业务流程、外部的合作伙伴、竞争对手乃至整个行业对价值链进行优化，实行适合</w:t>
      </w:r>
      <w:r>
        <w:rPr>
          <w:rFonts w:ascii="幼圆" w:eastAsia="幼圆" w:hAnsi="幼圆" w:cs="幼圆" w:hint="eastAsia"/>
          <w:color w:val="auto"/>
          <w:sz w:val="24"/>
          <w:lang w:eastAsia="zh-CN"/>
        </w:rPr>
        <w:t>安庆博莱雅公司</w:t>
      </w:r>
      <w:r>
        <w:rPr>
          <w:rFonts w:ascii="幼圆" w:eastAsia="幼圆" w:hAnsi="幼圆" w:cs="幼圆" w:hint="eastAsia"/>
          <w:color w:val="auto"/>
          <w:sz w:val="24"/>
        </w:rPr>
        <w:br/>
      </w:r>
      <w:r>
        <w:rPr>
          <w:rFonts w:ascii="幼圆" w:eastAsia="幼圆" w:hAnsi="幼圆" w:cs="幼圆" w:hint="eastAsia"/>
          <w:color w:val="auto"/>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https://d.book118.com/215321333122011041</w:t>
        </w:r>
      </w:hyperlink>
    </w:p>
    <w:p>
      <w:pPr>
        <w:spacing w:line="400" w:lineRule="exact"/>
        <w:ind w:firstLine="480" w:firstLineChars="200"/>
        <w:rPr>
          <w:rFonts w:ascii="幼圆" w:eastAsia="幼圆" w:hAnsi="幼圆" w:cs="幼圆" w:hint="eastAsia"/>
          <w:color w:val="auto"/>
          <w:sz w:val="24"/>
        </w:rPr>
      </w:pPr>
    </w:p>
    <w:sectPr>
      <w:headerReference w:type="even" r:id="rId28"/>
      <w:headerReference w:type="default" r:id="rId29"/>
      <w:footerReference w:type="default" r:id="rId30"/>
      <w:type w:val="nextPage"/>
      <w:pgSz w:w="11906" w:h="16838"/>
      <w:pgMar w:top="1417" w:right="1418" w:bottom="1417" w:left="1418" w:header="851" w:footer="992" w:gutter="0"/>
      <w:pgNumType w:start="9"/>
      <w:cols w:space="708"/>
      <w:titlePg w:val="0"/>
      <w:rtlGutter/>
      <w:docGrid w:type="lines" w:linePitch="400" w:charSpace="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default"/>
    <w:sig w:usb0="E4002EFF" w:usb1="C200247B" w:usb2="00000009" w:usb3="00000000" w:csb0="200001FF" w:csb1="00000000"/>
  </w:font>
  <w:font w:name="宋体">
    <w:panose1 w:val="02010600030101010101"/>
    <w:charset w:val="86"/>
    <w:family w:val="auto"/>
    <w:pitch w:val="default"/>
    <w:sig w:usb0="00000203" w:usb1="288F0000" w:usb2="00000006" w:usb3="00000000" w:csb0="00040001" w:csb1="00000000"/>
  </w:font>
  <w:font w:name="Times New Roman">
    <w:panose1 w:val="02020603050405020304"/>
    <w:charset w:val="86"/>
    <w:family w:val="auto"/>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Arial">
    <w:panose1 w:val="020B0604020202020204"/>
    <w:charset w:val="01"/>
    <w:family w:val="swiss"/>
    <w:pitch w:val="default"/>
    <w:sig w:usb0="E0002EFF" w:usb1="C000785B" w:usb2="00000009" w:usb3="00000000" w:csb0="400001FF" w:csb1="FFFF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202" coordsize="21600,21600" o:spt="202" path="m,l,21600r21600,l21600,xe">
          <v:stroke joinstyle="miter"/>
          <v:path gradientshapeok="t" o:connecttype="rect"/>
        </v:shapetype>
        <v:shape id="文本框 68" o:spid="_x0000_s2049" type="#_x0000_t202" style="width:2in;height:2in;margin-top:0;margin-left:0;mso-position-horizontal:right;mso-position-horizontal-relative:margin;mso-wrap-style:none;position:absolute;v-text-anchor:top;z-index:251658240" filled="f" stroked="f">
          <v:fill o:detectmouseclick="t"/>
          <v:stroke linestyle="single"/>
          <o:lock v:ext="edit" aspectratio="f"/>
          <v:textbox style="layout-flow:horizontal;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I</w:t>
                </w:r>
                <w:r>
                  <w:rPr>
                    <w:rFonts w:hint="eastAsia"/>
                    <w:sz w:val="18"/>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202" coordsize="21600,21600" o:spt="202" path="m,l,21600r21600,l21600,xe">
          <v:stroke joinstyle="miter"/>
          <v:path gradientshapeok="t" o:connecttype="rect"/>
        </v:shapetype>
        <v:shape id="文本框 68" o:spid="_x0000_s2050" type="#_x0000_t202" style="width:2in;height:2in;margin-top:0;margin-left:0;mso-position-horizontal:right;mso-position-horizontal-relative:margin;mso-wrap-style:none;position:absolute;v-text-anchor:top;z-index:251659264" filled="f" stroked="f">
          <v:fill o:detectmouseclick="t"/>
          <v:stroke linestyle="single"/>
          <o:lock v:ext="edit" aspectratio="f"/>
          <v:textbox style="layout-flow:horizontal;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II</w:t>
                </w:r>
                <w:r>
                  <w:rPr>
                    <w:rFonts w:hint="eastAsia"/>
                    <w:sz w:val="18"/>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right="360" w:firstLine="360"/>
      <w:jc w:val="center"/>
    </w:pPr>
    <w:r>
      <w:pict>
        <v:shapetype id="_x0000_t202" coordsize="21600,21600" o:spt="202" path="m,l,21600r21600,l21600,xe">
          <v:stroke joinstyle="miter"/>
          <v:path gradientshapeok="t" o:connecttype="rect"/>
        </v:shapetype>
        <v:shape id="文本框 58" o:spid="_x0000_s2051" type="#_x0000_t202" style="width:2in;height:2in;margin-top:0;margin-left:0;mso-position-horizontal:outside;mso-position-horizontal-relative:margin;mso-wrap-style:none;position:absolute;v-text-anchor:top;z-index:251660288" filled="f" stroked="f">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right="360" w:firstLine="360"/>
      <w:jc w:val="center"/>
    </w:pPr>
    <w:r>
      <w:pict>
        <v:shapetype id="_x0000_t202" coordsize="21600,21600" o:spt="202" path="m,l,21600r21600,l21600,xe">
          <v:stroke joinstyle="miter"/>
          <v:path gradientshapeok="t" o:connecttype="rect"/>
        </v:shapetype>
        <v:shape id="文本框 58" o:spid="_x0000_s2052" type="#_x0000_t202" style="width:2in;height:2in;margin-top:0;margin-left:0;mso-position-horizontal:outside;mso-position-horizontal-relative:margin;mso-wrap-style:none;position:absolute;v-text-anchor:top;z-index:251661312" filled="f" stroked="f">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right="360" w:firstLine="360"/>
      <w:jc w:val="center"/>
    </w:pPr>
    <w:r>
      <w:pict>
        <v:shapetype id="_x0000_t202" coordsize="21600,21600" o:spt="202" path="m,l,21600r21600,l21600,xe">
          <v:stroke joinstyle="miter"/>
          <v:path gradientshapeok="t" o:connecttype="rect"/>
        </v:shapetype>
        <v:shape id="文本框 58" o:spid="_x0000_s2053" type="#_x0000_t202" style="width:2in;height:2in;margin-top:0;margin-left:0;mso-position-horizontal:outside;mso-position-horizontal-relative:margin;mso-wrap-style:none;position:absolute;v-text-anchor:top;z-index:251662336" filled="f" stroked="f">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right="360" w:firstLine="360"/>
      <w:jc w:val="center"/>
    </w:pPr>
    <w:r>
      <w:pict>
        <v:shapetype id="_x0000_t202" coordsize="21600,21600" o:spt="202" path="m,l,21600r21600,l21600,xe">
          <v:stroke joinstyle="miter"/>
          <v:path gradientshapeok="t" o:connecttype="rect"/>
        </v:shapetype>
        <v:shape id="文本框 58" o:spid="_x0000_s2054" type="#_x0000_t202" style="width:2in;height:2in;margin-top:0;margin-left:0;mso-position-horizontal:outside;mso-position-horizontal-relative:margin;mso-wrap-style:none;position:absolute;v-text-anchor:top;z-index:251663360" filled="f" stroked="f">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right="360" w:firstLine="360"/>
      <w:jc w:val="center"/>
    </w:pPr>
    <w:r>
      <w:pict>
        <v:shapetype id="_x0000_t202" coordsize="21600,21600" o:spt="202" path="m,l,21600r21600,l21600,xe">
          <v:stroke joinstyle="miter"/>
          <v:path gradientshapeok="t" o:connecttype="rect"/>
        </v:shapetype>
        <v:shape id="文本框 58" o:spid="_x0000_s2055" type="#_x0000_t202" style="width:2in;height:2in;margin-top:0;margin-left:0;mso-position-horizontal:outside;mso-position-horizontal-relative:margin;mso-wrap-style:none;position:absolute;v-text-anchor:top;z-index:251664384" filled="f" stroked="f">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right="360" w:firstLine="360"/>
      <w:jc w:val="center"/>
    </w:pPr>
    <w:r>
      <w:pict>
        <v:shapetype id="_x0000_t202" coordsize="21600,21600" o:spt="202" path="m,l,21600r21600,l21600,xe">
          <v:stroke joinstyle="miter"/>
          <v:path gradientshapeok="t" o:connecttype="rect"/>
        </v:shapetype>
        <v:shape id="文本框 58" o:spid="_x0000_s2056" type="#_x0000_t202" style="width:2in;height:2in;margin-top:0;margin-left:0;mso-position-horizontal:outside;mso-position-horizontal-relative:margin;mso-wrap-style:none;position:absolute;v-text-anchor:top;z-index:251665408" filled="f" stroked="f">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right="360" w:firstLine="360"/>
      <w:jc w:val="center"/>
    </w:pPr>
    <w:r>
      <w:pict>
        <v:shapetype id="_x0000_t202" coordsize="21600,21600" o:spt="202" path="m,l,21600r21600,l21600,xe">
          <v:stroke joinstyle="miter"/>
          <v:path gradientshapeok="t" o:connecttype="rect"/>
        </v:shapetype>
        <v:shape id="文本框 58" o:spid="_x0000_s2057" type="#_x0000_t202" style="width:2in;height:2in;margin-top:0;margin-left:0;mso-position-horizontal:outside;mso-position-horizontal-relative:margin;mso-wrap-style:none;position:absolute;v-text-anchor:top;z-index:251666432" filled="f" stroked="f">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thickThinSmallGap" w:sz="18" w:space="1" w:color="auto"/>
      </w:pBdr>
      <w:tabs>
        <w:tab w:val="center" w:pos="4153"/>
        <w:tab w:val="right" w:pos="8306"/>
      </w:tabs>
    </w:pPr>
    <w:r>
      <w:rPr>
        <w:rFonts w:cs="宋体" w:hint="eastAsia"/>
      </w:rPr>
      <w:t>致  谢</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thickThinSmallGap" w:sz="18" w:space="1" w:color="auto"/>
      </w:pBdr>
      <w:tabs>
        <w:tab w:val="center" w:pos="4153"/>
        <w:tab w:val="right" w:pos="8306"/>
      </w:tabs>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thickThinSmallGap" w:sz="18" w:space="1" w:color="auto"/>
      </w:pBdr>
      <w:tabs>
        <w:tab w:val="center" w:pos="4153"/>
        <w:tab w:val="right" w:pos="8306"/>
      </w:tabs>
    </w:pPr>
    <w:r>
      <w:rPr>
        <w:rFonts w:cs="宋体" w:hint="eastAsia"/>
      </w:rPr>
      <w:t>致  谢</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thickThinSmallGap" w:sz="18" w:space="1" w:color="auto"/>
      </w:pBdr>
      <w:tabs>
        <w:tab w:val="center" w:pos="4153"/>
        <w:tab w:val="right" w:pos="8306"/>
      </w:tabs>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thickThinSmallGap" w:sz="18" w:space="1" w:color="auto"/>
      </w:pBdr>
      <w:tabs>
        <w:tab w:val="center" w:pos="4153"/>
        <w:tab w:val="right" w:pos="8306"/>
      </w:tabs>
    </w:pPr>
    <w:r>
      <w:rPr>
        <w:rFonts w:cs="宋体" w:hint="eastAsia"/>
      </w:rPr>
      <w:t>致  谢</w: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thickThinSmallGap" w:sz="18" w:space="1" w:color="auto"/>
      </w:pBdr>
      <w:tabs>
        <w:tab w:val="center" w:pos="4153"/>
        <w:tab w:val="right" w:pos="8306"/>
      </w:tabs>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thickThinSmallGap" w:sz="18" w:space="1" w:color="auto"/>
      </w:pBdr>
      <w:tabs>
        <w:tab w:val="center" w:pos="4153"/>
        <w:tab w:val="right" w:pos="8306"/>
      </w:tabs>
    </w:pPr>
    <w:r>
      <w:rPr>
        <w:rFonts w:cs="宋体" w:hint="eastAsia"/>
      </w:rPr>
      <w:t>致  谢</w: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thickThinSmallGap" w:sz="18" w:space="1" w:color="auto"/>
      </w:pBdr>
      <w:tabs>
        <w:tab w:val="center" w:pos="4153"/>
        <w:tab w:val="right" w:pos="8306"/>
      </w:tabs>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thickThinSmallGap" w:sz="18" w:space="1" w:color="auto"/>
      </w:pBdr>
      <w:tabs>
        <w:tab w:val="center" w:pos="4153"/>
        <w:tab w:val="right" w:pos="8306"/>
      </w:tabs>
    </w:pPr>
    <w:r>
      <w:rPr>
        <w:rFonts w:cs="宋体" w:hint="eastAsia"/>
      </w:rPr>
      <w:t>致  谢</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thickThinSmallGap" w:sz="18" w:space="1" w:color="auto"/>
      </w:pBdr>
      <w:tabs>
        <w:tab w:val="center" w:pos="4153"/>
        <w:tab w:val="right" w:pos="8306"/>
      </w:tabs>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thickThinSmallGap" w:sz="18" w:space="1" w:color="auto"/>
      </w:pBdr>
      <w:tabs>
        <w:tab w:val="center" w:pos="4153"/>
        <w:tab w:val="right" w:pos="8306"/>
      </w:tabs>
    </w:pPr>
    <w:r>
      <w:rPr>
        <w:rFonts w:cs="宋体" w:hint="eastAsia"/>
      </w:rPr>
      <w:t>致  谢</w: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thickThinSmallGap" w:sz="18" w:space="1" w:color="auto"/>
      </w:pBdr>
      <w:tabs>
        <w:tab w:val="center" w:pos="4153"/>
        <w:tab w:val="right" w:pos="8306"/>
      </w:tabs>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thickThinSmallGap" w:sz="18" w:space="1" w:color="auto"/>
      </w:pBdr>
      <w:tabs>
        <w:tab w:val="center" w:pos="4153"/>
        <w:tab w:val="right" w:pos="8306"/>
      </w:tabs>
    </w:pPr>
    <w:r>
      <w:rPr>
        <w:rFonts w:cs="宋体" w:hint="eastAsia"/>
      </w:rPr>
      <w:t>致  谢</w: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thickThinSmallGap" w:sz="18" w:space="1" w:color="auto"/>
      </w:pBdr>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9875E1"/>
    <w:multiLevelType w:val="multilevel"/>
    <w:tmpl w:val="479875E1"/>
    <w:lvl w:ilvl="0">
      <w:start w:val="1"/>
      <w:numFmt w:val="decimal"/>
      <w:suff w:val="nothing"/>
      <w:lvlText w:val="第%1章"/>
      <w:lvlJc w:val="left"/>
      <w:pPr>
        <w:tabs>
          <w:tab w:val="num" w:pos="420"/>
        </w:tabs>
        <w:ind w:left="0" w:firstLine="0"/>
      </w:pPr>
      <w:rPr>
        <w:rFonts w:ascii="黑体" w:eastAsia="黑体" w:hAnsi="黑体" w:cs="黑体" w:hint="default"/>
        <w:sz w:val="36"/>
      </w:rPr>
    </w:lvl>
    <w:lvl w:ilvl="1">
      <w:start w:val="1"/>
      <w:numFmt w:val="decimal"/>
      <w:suff w:val="nothing"/>
      <w:lvlText w:val="%1.%2"/>
      <w:lvlJc w:val="left"/>
      <w:pPr>
        <w:tabs>
          <w:tab w:val="num" w:pos="420"/>
        </w:tabs>
        <w:ind w:left="0" w:firstLine="0"/>
      </w:pPr>
      <w:rPr>
        <w:rFonts w:ascii="黑体" w:eastAsia="黑体" w:hAnsi="黑体" w:cs="黑体" w:hint="default"/>
        <w:color w:val="auto"/>
        <w:sz w:val="30"/>
      </w:rPr>
    </w:lvl>
    <w:lvl w:ilvl="2">
      <w:start w:val="1"/>
      <w:numFmt w:val="decimal"/>
      <w:suff w:val="nothing"/>
      <w:lvlText w:val="%1.%2.%3"/>
      <w:lvlJc w:val="left"/>
      <w:pPr>
        <w:tabs>
          <w:tab w:val="num" w:pos="420"/>
        </w:tabs>
        <w:ind w:left="0" w:firstLine="0"/>
      </w:pPr>
      <w:rPr>
        <w:rFonts w:ascii="黑体" w:eastAsia="黑体" w:hAnsi="黑体" w:cs="黑体" w:hint="default"/>
        <w:color w:val="auto"/>
        <w:sz w:val="24"/>
      </w:rPr>
    </w:lvl>
    <w:lvl w:ilvl="3">
      <w:start w:val="1"/>
      <w:numFmt w:val="decimal"/>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07BF9"/>
    <w:rsid w:val="0002610E"/>
    <w:rsid w:val="000F6E6D"/>
    <w:rsid w:val="00146EB1"/>
    <w:rsid w:val="00153B72"/>
    <w:rsid w:val="001F3FCA"/>
    <w:rsid w:val="002367AA"/>
    <w:rsid w:val="002B0DBD"/>
    <w:rsid w:val="003F56CA"/>
    <w:rsid w:val="003F79C8"/>
    <w:rsid w:val="00424ED2"/>
    <w:rsid w:val="004F0165"/>
    <w:rsid w:val="00503ADC"/>
    <w:rsid w:val="00535C71"/>
    <w:rsid w:val="00622221"/>
    <w:rsid w:val="00626517"/>
    <w:rsid w:val="009177AA"/>
    <w:rsid w:val="00941DCF"/>
    <w:rsid w:val="00A51E2C"/>
    <w:rsid w:val="00A96F50"/>
    <w:rsid w:val="00BD7BE0"/>
    <w:rsid w:val="00C03E1C"/>
    <w:rsid w:val="00C07BF9"/>
    <w:rsid w:val="00C21FF4"/>
    <w:rsid w:val="00C51A07"/>
    <w:rsid w:val="00D01802"/>
    <w:rsid w:val="00FC08A4"/>
    <w:rsid w:val="043167AF"/>
    <w:rsid w:val="10B04BE1"/>
    <w:rsid w:val="17B45FAA"/>
    <w:rsid w:val="1A3C2C6C"/>
    <w:rsid w:val="1BDF4BF0"/>
    <w:rsid w:val="2D8E6EBB"/>
    <w:rsid w:val="32A22422"/>
    <w:rsid w:val="3BA64341"/>
    <w:rsid w:val="6048224F"/>
    <w:rsid w:val="605F6527"/>
    <w:rsid w:val="61C6414B"/>
    <w:rsid w:val="64596971"/>
    <w:rsid w:val="668D4CDB"/>
    <w:rsid w:val="71EA2443"/>
    <w:rsid w:val="77CD5F54"/>
    <w:rsid w:val="7E795073"/>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next w:val="Normal"/>
    <w:qFormat/>
    <w:pPr>
      <w:keepNext/>
      <w:keepLines/>
      <w:widowControl w:val="0"/>
      <w:numPr>
        <w:ilvl w:val="0"/>
        <w:numId w:val="1"/>
      </w:numPr>
      <w:tabs>
        <w:tab w:val="left" w:pos="0"/>
        <w:tab w:val="clear" w:pos="420"/>
      </w:tabs>
      <w:spacing w:beforeLines="50" w:afterLines="100"/>
      <w:jc w:val="center"/>
      <w:outlineLvl w:val="0"/>
    </w:pPr>
    <w:rPr>
      <w:rFonts w:ascii="黑体" w:eastAsia="黑体" w:hAnsi="Times New Roman" w:cs="Times New Roman"/>
      <w:bCs/>
      <w:kern w:val="44"/>
      <w:sz w:val="36"/>
      <w:szCs w:val="36"/>
      <w:lang w:val="en-US" w:eastAsia="zh-CN" w:bidi="ar-SA"/>
    </w:rPr>
  </w:style>
  <w:style w:type="paragraph" w:styleId="Heading2">
    <w:name w:val="heading 2"/>
    <w:next w:val="Normal"/>
    <w:qFormat/>
    <w:pPr>
      <w:keepNext/>
      <w:keepLines/>
      <w:widowControl w:val="0"/>
      <w:numPr>
        <w:ilvl w:val="1"/>
        <w:numId w:val="1"/>
      </w:numPr>
      <w:tabs>
        <w:tab w:val="left" w:pos="0"/>
        <w:tab w:val="clear" w:pos="420"/>
      </w:tabs>
      <w:spacing w:beforeLines="100" w:afterLines="50"/>
      <w:jc w:val="both"/>
      <w:outlineLvl w:val="1"/>
    </w:pPr>
    <w:rPr>
      <w:rFonts w:ascii="黑体" w:eastAsia="黑体" w:hAnsi="Arial" w:cs="Times New Roman"/>
      <w:bCs/>
      <w:kern w:val="2"/>
      <w:sz w:val="30"/>
      <w:szCs w:val="30"/>
      <w:lang w:val="en-US" w:eastAsia="zh-CN" w:bidi="ar-SA"/>
    </w:rPr>
  </w:style>
  <w:style w:type="paragraph" w:styleId="Heading3">
    <w:name w:val="heading 3"/>
    <w:next w:val="Normal"/>
    <w:qFormat/>
    <w:pPr>
      <w:keepNext/>
      <w:keepLines/>
      <w:widowControl w:val="0"/>
      <w:numPr>
        <w:ilvl w:val="2"/>
        <w:numId w:val="1"/>
      </w:numPr>
      <w:tabs>
        <w:tab w:val="left" w:pos="0"/>
        <w:tab w:val="clear" w:pos="420"/>
      </w:tabs>
      <w:spacing w:beforeLines="50" w:afterLines="50"/>
      <w:jc w:val="both"/>
      <w:outlineLvl w:val="2"/>
    </w:pPr>
    <w:rPr>
      <w:rFonts w:ascii="黑体" w:eastAsia="黑体" w:hAnsi="Times New Roman" w:cs="Times New Roman"/>
      <w:bCs/>
      <w:kern w:val="2"/>
      <w:sz w:val="24"/>
      <w:szCs w:val="24"/>
      <w:lang w:val="en-US" w:eastAsia="zh-CN" w:bidi="ar-SA"/>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BodyText">
    <w:name w:val="Body Text"/>
    <w:basedOn w:val="Normal"/>
    <w:qFormat/>
    <w:pPr>
      <w:spacing w:after="120" w:afterLines="0" w:afterAutospacing="0"/>
    </w:pPr>
  </w:style>
  <w:style w:type="paragraph" w:styleId="Caption">
    <w:name w:val="caption"/>
    <w:next w:val="Normal"/>
    <w:qFormat/>
    <w:pPr>
      <w:widowControl w:val="0"/>
      <w:jc w:val="both"/>
    </w:pPr>
    <w:rPr>
      <w:rFonts w:ascii="Arial" w:eastAsia="黑体" w:hAnsi="Arial" w:cs="Arial"/>
      <w:kern w:val="2"/>
      <w:lang w:val="en-US" w:eastAsia="zh-CN" w:bidi="ar-SA"/>
    </w:rPr>
  </w:style>
  <w:style w:type="paragraph" w:styleId="BodyTextIndent">
    <w:name w:val="Body Text Indent"/>
    <w:qFormat/>
    <w:pPr>
      <w:widowControl w:val="0"/>
      <w:spacing w:after="120"/>
      <w:ind w:left="420" w:leftChars="200"/>
      <w:jc w:val="both"/>
    </w:pPr>
    <w:rPr>
      <w:rFonts w:ascii="Times New Roman" w:eastAsia="宋体" w:hAnsi="Times New Roman" w:cs="Times New Roman"/>
      <w:kern w:val="2"/>
      <w:sz w:val="24"/>
      <w:szCs w:val="21"/>
      <w:lang w:val="en-US" w:eastAsia="zh-CN" w:bidi="ar-SA"/>
    </w:rPr>
  </w:style>
  <w:style w:type="paragraph" w:styleId="TOC3">
    <w:name w:val="toc 3"/>
    <w:next w:val="Normal"/>
    <w:uiPriority w:val="39"/>
    <w:qFormat/>
    <w:pPr>
      <w:widowControl w:val="0"/>
      <w:tabs>
        <w:tab w:val="right" w:leader="dot" w:pos="9120"/>
      </w:tabs>
      <w:ind w:firstLine="960" w:firstLineChars="400"/>
      <w:jc w:val="right"/>
    </w:pPr>
    <w:rPr>
      <w:rFonts w:ascii="Times New Roman" w:eastAsia="宋体" w:hAnsi="Times New Roman" w:cs="Times New Roman"/>
      <w:kern w:val="2"/>
      <w:sz w:val="24"/>
      <w:szCs w:val="21"/>
      <w:lang w:val="en-US" w:eastAsia="zh-CN" w:bidi="ar-SA"/>
    </w:rPr>
  </w:style>
  <w:style w:type="paragraph" w:styleId="Footer">
    <w:name w:val="footer"/>
    <w:uiPriority w:val="99"/>
    <w:qFormat/>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styleId="Header">
    <w:name w:val="header"/>
    <w:qFormat/>
    <w:pPr>
      <w:widowControl w:val="0"/>
      <w:pBdr>
        <w:bottom w:val="single" w:sz="6" w:space="1" w:color="auto"/>
      </w:pBdr>
      <w:tabs>
        <w:tab w:val="center" w:pos="4153"/>
        <w:tab w:val="right" w:pos="8306"/>
      </w:tabs>
      <w:snapToGrid w:val="0"/>
      <w:jc w:val="center"/>
    </w:pPr>
    <w:rPr>
      <w:rFonts w:ascii="Times New Roman" w:eastAsia="宋体" w:hAnsi="Times New Roman" w:cs="Times New Roman"/>
      <w:kern w:val="2"/>
      <w:sz w:val="18"/>
      <w:szCs w:val="18"/>
      <w:lang w:val="en-US" w:eastAsia="zh-CN" w:bidi="ar-SA"/>
    </w:rPr>
  </w:style>
  <w:style w:type="paragraph" w:styleId="TOC1">
    <w:name w:val="toc 1"/>
    <w:next w:val="Normal"/>
    <w:uiPriority w:val="39"/>
    <w:qFormat/>
    <w:pPr>
      <w:widowControl w:val="0"/>
      <w:tabs>
        <w:tab w:val="right" w:leader="dot" w:pos="9120"/>
        <w:tab w:val="right" w:leader="dot" w:pos="9158"/>
      </w:tabs>
      <w:jc w:val="both"/>
    </w:pPr>
    <w:rPr>
      <w:rFonts w:ascii="Times New Roman" w:eastAsia="黑体" w:hAnsi="Times New Roman" w:cs="Times New Roman"/>
      <w:kern w:val="2"/>
      <w:sz w:val="24"/>
      <w:szCs w:val="24"/>
      <w:lang w:val="en-US" w:eastAsia="zh-CN" w:bidi="ar-SA"/>
    </w:rPr>
  </w:style>
  <w:style w:type="paragraph" w:styleId="TOC2">
    <w:name w:val="toc 2"/>
    <w:next w:val="Normal"/>
    <w:uiPriority w:val="39"/>
    <w:qFormat/>
    <w:pPr>
      <w:widowControl w:val="0"/>
      <w:tabs>
        <w:tab w:val="right" w:leader="dot" w:pos="9120"/>
      </w:tabs>
      <w:ind w:firstLine="200" w:firstLineChars="200"/>
      <w:jc w:val="right"/>
      <w:outlineLvl w:val="1"/>
    </w:pPr>
    <w:rPr>
      <w:rFonts w:ascii="Times New Roman" w:eastAsia="宋体" w:hAnsi="Times New Roman" w:cs="Times New Roman"/>
      <w:kern w:val="2"/>
      <w:sz w:val="24"/>
      <w:szCs w:val="21"/>
      <w:lang w:val="en-US" w:eastAsia="zh-CN" w:bidi="ar-SA"/>
    </w:rPr>
  </w:style>
  <w:style w:type="table" w:styleId="TableGrid">
    <w:name w:val="Table Gri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PageNumber">
    <w:name w:val="page number"/>
    <w:qFormat/>
  </w:style>
  <w:style w:type="character" w:styleId="Hyperlink">
    <w:name w:val="Hyperlink"/>
    <w:uiPriority w:val="99"/>
    <w:qFormat/>
    <w:rPr>
      <w:color w:val="0000FF"/>
      <w:u w:val="single"/>
    </w:rPr>
  </w:style>
  <w:style w:type="paragraph" w:styleId="ListParagraph">
    <w:name w:val="List Paragraph"/>
    <w:basedOn w:val="Normal"/>
    <w:uiPriority w:val="99"/>
    <w:qFormat/>
    <w:pPr>
      <w:ind w:firstLine="420" w:firstLineChars="200"/>
    </w:pPr>
  </w:style>
  <w:style w:type="paragraph" w:customStyle="1" w:styleId="WPSOffice1">
    <w:name w:val="WPSOffice手动目录 1"/>
    <w:qFormat/>
    <w:pPr>
      <w:ind w:leftChars="0"/>
    </w:pPr>
    <w:rPr>
      <w:rFonts w:ascii="Calibri" w:eastAsia="宋体" w:hAnsi="Calibri" w:cs="Times New Roman"/>
      <w:sz w:val="20"/>
      <w:szCs w:val="20"/>
    </w:rPr>
  </w:style>
  <w:style w:type="paragraph" w:customStyle="1" w:styleId="WPSOffice2">
    <w:name w:val="WPSOffice手动目录 2"/>
    <w:qFormat/>
    <w:pPr>
      <w:ind w:leftChars="200"/>
    </w:pPr>
    <w:rPr>
      <w:rFonts w:ascii="Calibri" w:eastAsia="宋体" w:hAnsi="Calibri"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footer" Target="footer4.xml" /><Relationship Id="rId14" Type="http://schemas.openxmlformats.org/officeDocument/2006/relationships/header" Target="header7.xml" /><Relationship Id="rId15" Type="http://schemas.openxmlformats.org/officeDocument/2006/relationships/header" Target="header8.xml" /><Relationship Id="rId16" Type="http://schemas.openxmlformats.org/officeDocument/2006/relationships/footer" Target="footer5.xml" /><Relationship Id="rId17" Type="http://schemas.openxmlformats.org/officeDocument/2006/relationships/header" Target="header9.xml" /><Relationship Id="rId18" Type="http://schemas.openxmlformats.org/officeDocument/2006/relationships/header" Target="header10.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1.png" /><Relationship Id="rId21" Type="http://schemas.openxmlformats.org/officeDocument/2006/relationships/header" Target="header11.xml" /><Relationship Id="rId22" Type="http://schemas.openxmlformats.org/officeDocument/2006/relationships/header" Target="header12.xml" /><Relationship Id="rId23" Type="http://schemas.openxmlformats.org/officeDocument/2006/relationships/footer" Target="footer7.xml" /><Relationship Id="rId24" Type="http://schemas.openxmlformats.org/officeDocument/2006/relationships/header" Target="header13.xml" /><Relationship Id="rId25" Type="http://schemas.openxmlformats.org/officeDocument/2006/relationships/header" Target="header14.xml" /><Relationship Id="rId26" Type="http://schemas.openxmlformats.org/officeDocument/2006/relationships/footer" Target="footer8.xml" /><Relationship Id="rId27" Type="http://schemas.openxmlformats.org/officeDocument/2006/relationships/hyperlink" Target="https://d.book118.com/215321333122011041" TargetMode="External" /><Relationship Id="rId28" Type="http://schemas.openxmlformats.org/officeDocument/2006/relationships/header" Target="header15.xml" /><Relationship Id="rId29" Type="http://schemas.openxmlformats.org/officeDocument/2006/relationships/header" Target="header16.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157261920</TotalTime>
  <Pages>12</Pages>
  <Words>14412</Words>
  <Characters>16173</Characters>
  <Application>Microsoft Office Word</Application>
  <DocSecurity>0</DocSecurity>
  <Lines>109</Lines>
  <Paragraphs>30</Paragraphs>
  <ScaleCrop>false</ScaleCrop>
  <Company>Organization</Company>
  <LinksUpToDate>false</LinksUpToDate>
  <CharactersWithSpaces>16472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饿了就睡觉</dc:creator>
  <cp:lastModifiedBy>ABEEL</cp:lastModifiedBy>
  <cp:revision>13</cp:revision>
  <dcterms:created xsi:type="dcterms:W3CDTF">2021-11-27T05:04:00Z</dcterms:created>
  <dcterms:modified xsi:type="dcterms:W3CDTF">2023-08-12T08:43:32Z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A4AA44E465EB4A349FC0A60160B9A9A1_13</vt:lpwstr>
  </property>
  <property fmtid="{D5CDD505-2E9C-101B-9397-08002B2CF9AE}" pid="3" name="KSOProductBuildVer">
    <vt:lpwstr>2052-12.1.0.15120</vt:lpwstr>
  </property>
</Properties>
</file>