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2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1949437</wp:posOffset>
            </wp:positionH>
            <wp:positionV relativeFrom="page">
              <wp:posOffset>6045189</wp:posOffset>
            </wp:positionV>
            <wp:extent cx="1085840" cy="21588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5840" cy="215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5" w:line="212" w:lineRule="auto"/>
        <w:ind w:left="2259"/>
        <w:outlineLvl w:val="0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-6"/>
          <w:sz w:val="20"/>
          <w:szCs w:val="20"/>
        </w:rPr>
        <w:t>高频</w:t>
      </w:r>
      <w:r>
        <w:rPr>
          <w:rFonts w:ascii="SimHei" w:eastAsia="SimHei" w:hAnsi="SimHei" w:cs="SimHei"/>
          <w:spacing w:val="-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22"/>
          <w:w w:val="10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17"/>
          <w:szCs w:val="17"/>
        </w:rPr>
        <w:t>表</w:t>
      </w:r>
      <w:r>
        <w:rPr>
          <w:rFonts w:ascii="SimHei" w:eastAsia="SimHei" w:hAnsi="SimHei" w:cs="SimHei"/>
          <w:spacing w:val="-28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-6"/>
          <w:sz w:val="17"/>
          <w:szCs w:val="17"/>
        </w:rPr>
        <w:t>校</w:t>
      </w:r>
      <w:r>
        <w:rPr>
          <w:rFonts w:ascii="SimHei" w:eastAsia="SimHei" w:hAnsi="SimHei" w:cs="SimHei"/>
          <w:spacing w:val="-26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-6"/>
          <w:sz w:val="17"/>
          <w:szCs w:val="17"/>
        </w:rPr>
        <w:t>准</w:t>
      </w:r>
      <w:r>
        <w:rPr>
          <w:rFonts w:ascii="SimHei" w:eastAsia="SimHei" w:hAnsi="SimHei" w:cs="SimHei"/>
          <w:spacing w:val="-28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-6"/>
          <w:sz w:val="17"/>
          <w:szCs w:val="17"/>
        </w:rPr>
        <w:t>规</w:t>
      </w:r>
      <w:r>
        <w:rPr>
          <w:rFonts w:ascii="SimHei" w:eastAsia="SimHei" w:hAnsi="SimHei" w:cs="SimHei"/>
          <w:spacing w:val="-23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-6"/>
          <w:sz w:val="17"/>
          <w:szCs w:val="17"/>
        </w:rPr>
        <w:t>范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52" w:line="223" w:lineRule="auto"/>
        <w:ind w:left="3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5"/>
          <w:sz w:val="16"/>
          <w:szCs w:val="16"/>
        </w:rPr>
        <w:t>1</w:t>
      </w:r>
      <w:r>
        <w:rPr>
          <w:rFonts w:ascii="SimHei" w:eastAsia="SimHei" w:hAnsi="SimHei" w:cs="SimHei"/>
          <w:spacing w:val="-5"/>
          <w:sz w:val="16"/>
          <w:szCs w:val="16"/>
        </w:rPr>
        <w:t xml:space="preserve">  </w:t>
      </w:r>
      <w:r>
        <w:rPr>
          <w:rFonts w:ascii="SimHei" w:eastAsia="SimHei" w:hAnsi="SimHei" w:cs="SimHei"/>
          <w:spacing w:val="-5"/>
          <w:sz w:val="16"/>
          <w:szCs w:val="16"/>
        </w:rPr>
        <w:t>范围</w:t>
      </w:r>
    </w:p>
    <w:p>
      <w:pPr>
        <w:pStyle w:val="BodyText"/>
        <w:spacing w:before="155" w:line="219" w:lineRule="auto"/>
        <w:ind w:right="9"/>
        <w:jc w:val="right"/>
      </w:pPr>
      <w:r>
        <w:rPr>
          <w:spacing w:val="7"/>
        </w:rPr>
        <w:t>适用于各型高频(50</w:t>
      </w:r>
      <w:r>
        <w:rPr>
          <w:spacing w:val="-33"/>
        </w:rPr>
        <w:t xml:space="preserve"> </w:t>
      </w:r>
      <w:r>
        <w:t>kHz</w:t>
      </w:r>
      <w:r>
        <w:rPr>
          <w:spacing w:val="7"/>
        </w:rPr>
        <w:t xml:space="preserve">～100    </w:t>
      </w:r>
      <w:r>
        <w:t>MHz</w:t>
      </w:r>
      <w:r>
        <w:rPr>
          <w:spacing w:val="7"/>
        </w:rPr>
        <w:t>)Q表的校准，本规范也包括多功能</w:t>
      </w:r>
      <w:r>
        <w:rPr>
          <w:spacing w:val="-28"/>
        </w:rPr>
        <w:t xml:space="preserve"> </w:t>
      </w:r>
      <w:r>
        <w:t>LCR</w:t>
      </w:r>
      <w:r>
        <w:rPr>
          <w:spacing w:val="65"/>
        </w:rPr>
        <w:t xml:space="preserve"> </w:t>
      </w:r>
      <w:r>
        <w:rPr>
          <w:spacing w:val="7"/>
        </w:rPr>
        <w:t>表</w:t>
      </w:r>
    </w:p>
    <w:p>
      <w:pPr>
        <w:pStyle w:val="BodyText"/>
        <w:spacing w:before="60" w:line="350" w:lineRule="exact"/>
        <w:ind w:left="40"/>
      </w:pPr>
      <w:r>
        <w:rPr>
          <w:position w:val="14"/>
        </w:rPr>
        <w:t>中增设的Q</w:t>
      </w:r>
      <w:r>
        <w:rPr>
          <w:spacing w:val="29"/>
          <w:position w:val="14"/>
        </w:rPr>
        <w:t xml:space="preserve"> </w:t>
      </w:r>
      <w:r>
        <w:rPr>
          <w:position w:val="14"/>
        </w:rPr>
        <w:t>附加器校准。</w:t>
      </w:r>
    </w:p>
    <w:p>
      <w:pPr>
        <w:spacing w:line="221" w:lineRule="auto"/>
        <w:ind w:left="2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z w:val="16"/>
          <w:szCs w:val="16"/>
        </w:rPr>
        <w:t>2</w:t>
      </w:r>
      <w:r>
        <w:rPr>
          <w:rFonts w:ascii="SimHei" w:eastAsia="SimHei" w:hAnsi="SimHei" w:cs="SimHei"/>
          <w:sz w:val="16"/>
          <w:szCs w:val="16"/>
        </w:rPr>
        <w:t xml:space="preserve">  </w:t>
      </w:r>
      <w:r>
        <w:rPr>
          <w:rFonts w:ascii="SimHei" w:eastAsia="SimHei" w:hAnsi="SimHei" w:cs="SimHei"/>
          <w:sz w:val="16"/>
          <w:szCs w:val="16"/>
        </w:rPr>
        <w:t>引用文献</w:t>
      </w:r>
    </w:p>
    <w:p>
      <w:pPr>
        <w:pStyle w:val="BodyText"/>
        <w:spacing w:before="188" w:line="219" w:lineRule="auto"/>
        <w:ind w:left="359"/>
      </w:pPr>
      <w:r>
        <w:rPr>
          <w:spacing w:val="-2"/>
        </w:rPr>
        <w:t>本规范引用以下文献：</w:t>
      </w:r>
    </w:p>
    <w:p>
      <w:pPr>
        <w:pStyle w:val="BodyText"/>
        <w:spacing w:before="26" w:line="212" w:lineRule="auto"/>
        <w:ind w:left="339"/>
      </w:pPr>
      <w:r>
        <w:rPr>
          <w:rFonts w:ascii="Times New Roman" w:eastAsia="Times New Roman" w:hAnsi="Times New Roman" w:cs="Times New Roman"/>
          <w:spacing w:val="-5"/>
        </w:rPr>
        <w:t>JJG  69—1990</w:t>
      </w:r>
      <w:r>
        <w:rPr>
          <w:spacing w:val="-5"/>
        </w:rPr>
        <w:t>《高频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Q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5"/>
        </w:rPr>
        <w:t>标准线圈》。</w:t>
      </w:r>
    </w:p>
    <w:p>
      <w:pPr>
        <w:pStyle w:val="BodyText"/>
        <w:spacing w:before="71" w:line="370" w:lineRule="exact"/>
        <w:ind w:left="349"/>
      </w:pPr>
      <w:r>
        <w:rPr>
          <w:spacing w:val="1"/>
          <w:position w:val="16"/>
        </w:rPr>
        <w:t>使用本规范时，应注意上述引用文献的现行有效版本。</w:t>
      </w:r>
    </w:p>
    <w:p>
      <w:pPr>
        <w:spacing w:line="222" w:lineRule="auto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4"/>
          <w:sz w:val="16"/>
          <w:szCs w:val="16"/>
        </w:rPr>
        <w:t>3</w:t>
      </w:r>
      <w:r>
        <w:rPr>
          <w:rFonts w:ascii="SimHei" w:eastAsia="SimHei" w:hAnsi="SimHei" w:cs="SimHei"/>
          <w:spacing w:val="9"/>
          <w:sz w:val="16"/>
          <w:szCs w:val="16"/>
        </w:rPr>
        <w:t xml:space="preserve">  </w:t>
      </w:r>
      <w:r>
        <w:rPr>
          <w:rFonts w:ascii="SimHei" w:eastAsia="SimHei" w:hAnsi="SimHei" w:cs="SimHei"/>
          <w:spacing w:val="-4"/>
          <w:sz w:val="16"/>
          <w:szCs w:val="16"/>
        </w:rPr>
        <w:t>术语</w:t>
      </w:r>
    </w:p>
    <w:p>
      <w:pPr>
        <w:pStyle w:val="BodyText"/>
        <w:spacing w:before="152" w:line="257" w:lineRule="auto"/>
        <w:ind w:left="40" w:right="40" w:firstLine="299"/>
      </w:pPr>
      <w:r>
        <w:rPr>
          <w:spacing w:val="2"/>
        </w:rPr>
        <w:t>指示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2"/>
        </w:rPr>
        <w:t>值——根据谐振回路的电压放大倍数刻度或显示的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2"/>
        </w:rPr>
        <w:t>值，即本规范所适用</w:t>
      </w:r>
      <w:r>
        <w:t xml:space="preserve"> </w:t>
      </w:r>
      <w:r>
        <w:rPr>
          <w:spacing w:val="-2"/>
        </w:rPr>
        <w:t>的计量器具的直接读出值。</w:t>
      </w:r>
    </w:p>
    <w:p>
      <w:pPr>
        <w:pStyle w:val="BodyText"/>
        <w:spacing w:before="26" w:line="259" w:lineRule="auto"/>
        <w:ind w:left="20" w:right="27" w:firstLine="329"/>
      </w:pPr>
      <w:r>
        <w:rPr>
          <w:spacing w:val="3"/>
        </w:rPr>
        <w:t xml:space="preserve">回路有效 </w:t>
      </w:r>
      <w:r>
        <w:rPr>
          <w:rFonts w:ascii="Times New Roman" w:eastAsia="Times New Roman" w:hAnsi="Times New Roman" w:cs="Times New Roman"/>
          <w:spacing w:val="3"/>
        </w:rPr>
        <w:t>Q</w:t>
      </w:r>
      <w:r>
        <w:rPr>
          <w:rFonts w:ascii="Times New Roman" w:eastAsia="Times New Roman" w:hAnsi="Times New Roman" w:cs="Times New Roman"/>
          <w:spacing w:val="32"/>
          <w:w w:val="102"/>
        </w:rPr>
        <w:t xml:space="preserve"> </w:t>
      </w:r>
      <w:r>
        <w:rPr>
          <w:spacing w:val="3"/>
        </w:rPr>
        <w:t>值——在一个谐振回路内，电感线圈或电容器的有效电抗值与整个回</w:t>
      </w:r>
      <w:r>
        <w:t xml:space="preserve"> </w:t>
      </w:r>
      <w:r>
        <w:rPr>
          <w:spacing w:val="2"/>
        </w:rPr>
        <w:t>路的有效串联电阻之比；或有效并联电阻与有效电抗之比。它与谐振电压比</w:t>
      </w:r>
      <w:r>
        <w:rPr>
          <w:spacing w:val="1"/>
        </w:rPr>
        <w:t>方式给出的</w:t>
      </w:r>
      <w:r>
        <w:t xml:space="preserve"> </w:t>
      </w:r>
      <w:r>
        <w:rPr>
          <w:spacing w:val="-6"/>
        </w:rPr>
        <w:t>指示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Q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-6"/>
        </w:rPr>
        <w:t>值等效。</w:t>
      </w:r>
    </w:p>
    <w:p>
      <w:pPr>
        <w:pStyle w:val="BodyText"/>
        <w:spacing w:before="45" w:line="245" w:lineRule="auto"/>
        <w:ind w:left="300" w:right="19" w:firstLine="29"/>
        <w:rPr>
          <w:rFonts w:ascii="FangSong" w:eastAsia="FangSong" w:hAnsi="FangSong" w:cs="FangSong"/>
        </w:rPr>
      </w:pPr>
      <w:r>
        <w:rPr>
          <w:spacing w:val="-1"/>
        </w:rPr>
        <w:t>元件的有效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1"/>
        </w:rPr>
        <w:t>值——某一元件与一理想的无损耗元件组成的谐振回路的有</w:t>
      </w:r>
      <w:r>
        <w:rPr>
          <w:spacing w:val="-2"/>
        </w:rPr>
        <w:t>效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值。</w:t>
      </w:r>
      <w:r>
        <w:t xml:space="preserve"> </w:t>
      </w:r>
      <w:r>
        <w:rPr>
          <w:rFonts w:ascii="FangSong" w:eastAsia="FangSong" w:hAnsi="FangSong" w:cs="FangSong"/>
          <w:spacing w:val="-12"/>
        </w:rPr>
        <w:t>注：当</w:t>
      </w:r>
      <w:r>
        <w:rPr>
          <w:rFonts w:ascii="Times New Roman" w:eastAsia="Times New Roman" w:hAnsi="Times New Roman" w:cs="Times New Roman"/>
          <w:spacing w:val="-12"/>
        </w:rPr>
        <w:t xml:space="preserve">Q </w:t>
      </w:r>
      <w:r>
        <w:rPr>
          <w:rFonts w:ascii="FangSong" w:eastAsia="FangSong" w:hAnsi="FangSong" w:cs="FangSong"/>
          <w:spacing w:val="-12"/>
        </w:rPr>
        <w:t>表谐振测试回路固有残量(残余电阻和残余电感)很小，</w:t>
      </w:r>
      <w:r>
        <w:rPr>
          <w:rFonts w:ascii="FangSong" w:eastAsia="FangSong" w:hAnsi="FangSong" w:cs="FangSong"/>
          <w:spacing w:val="-13"/>
        </w:rPr>
        <w:t>可怒略不计时，读出的指示</w:t>
      </w:r>
    </w:p>
    <w:p>
      <w:pPr>
        <w:pStyle w:val="BodyText"/>
        <w:spacing w:before="33" w:line="377" w:lineRule="exact"/>
        <w:ind w:left="589"/>
      </w:pPr>
      <w:r>
        <w:rPr>
          <w:rFonts w:ascii="Times New Roman" w:eastAsia="Times New Roman" w:hAnsi="Times New Roman" w:cs="Times New Roman"/>
          <w:spacing w:val="-9"/>
          <w:position w:val="17"/>
        </w:rPr>
        <w:t xml:space="preserve">Q </w:t>
      </w:r>
      <w:r>
        <w:rPr>
          <w:spacing w:val="-9"/>
          <w:position w:val="17"/>
        </w:rPr>
        <w:t xml:space="preserve">值 </w:t>
      </w:r>
      <w:r>
        <w:rPr>
          <w:rFonts w:ascii="Times New Roman" w:eastAsia="Times New Roman" w:hAnsi="Times New Roman" w:cs="Times New Roman"/>
          <w:spacing w:val="-9"/>
          <w:position w:val="17"/>
        </w:rPr>
        <w:t>(</w:t>
      </w:r>
      <w:r>
        <w:rPr>
          <w:spacing w:val="-9"/>
          <w:position w:val="17"/>
        </w:rPr>
        <w:t>回路</w:t>
      </w:r>
      <w:r>
        <w:rPr>
          <w:spacing w:val="-16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7"/>
        </w:rPr>
        <w:t>Q</w:t>
      </w:r>
      <w:r>
        <w:rPr>
          <w:rFonts w:ascii="Times New Roman" w:eastAsia="Times New Roman" w:hAnsi="Times New Roman" w:cs="Times New Roman"/>
          <w:spacing w:val="-10"/>
          <w:position w:val="17"/>
        </w:rPr>
        <w:t xml:space="preserve"> </w:t>
      </w:r>
      <w:r>
        <w:rPr>
          <w:spacing w:val="-9"/>
          <w:position w:val="17"/>
        </w:rPr>
        <w:t>值</w:t>
      </w:r>
      <w:r>
        <w:rPr>
          <w:rFonts w:ascii="Times New Roman" w:eastAsia="Times New Roman" w:hAnsi="Times New Roman" w:cs="Times New Roman"/>
          <w:spacing w:val="-9"/>
          <w:position w:val="17"/>
        </w:rPr>
        <w:t>)</w:t>
      </w:r>
      <w:r>
        <w:rPr>
          <w:spacing w:val="-9"/>
          <w:position w:val="17"/>
        </w:rPr>
        <w:t>才可认为是元件的有效</w:t>
      </w:r>
      <w:r>
        <w:rPr>
          <w:spacing w:val="-16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7"/>
        </w:rPr>
        <w:t>Q</w:t>
      </w:r>
      <w:r>
        <w:rPr>
          <w:rFonts w:ascii="Times New Roman" w:eastAsia="Times New Roman" w:hAnsi="Times New Roman" w:cs="Times New Roman"/>
          <w:spacing w:val="-10"/>
          <w:position w:val="17"/>
        </w:rPr>
        <w:t xml:space="preserve"> </w:t>
      </w:r>
      <w:r>
        <w:rPr>
          <w:spacing w:val="-9"/>
          <w:position w:val="17"/>
        </w:rPr>
        <w:t>值。</w:t>
      </w:r>
    </w:p>
    <w:p>
      <w:pPr>
        <w:spacing w:before="1" w:line="220" w:lineRule="auto"/>
        <w:ind w:left="2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-2"/>
          <w:sz w:val="16"/>
          <w:szCs w:val="16"/>
        </w:rPr>
        <w:t>4</w:t>
      </w:r>
      <w:r>
        <w:rPr>
          <w:rFonts w:ascii="SimHei" w:eastAsia="SimHei" w:hAnsi="SimHei" w:cs="SimHei"/>
          <w:spacing w:val="62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2"/>
          <w:sz w:val="16"/>
          <w:szCs w:val="16"/>
        </w:rPr>
        <w:t>概述</w:t>
      </w:r>
    </w:p>
    <w:p>
      <w:pPr>
        <w:pStyle w:val="BodyText"/>
        <w:spacing w:before="161" w:line="269" w:lineRule="auto"/>
        <w:ind w:left="10" w:right="31" w:firstLine="329"/>
        <w:jc w:val="both"/>
        <w:sectPr>
          <w:headerReference w:type="default" r:id="rId5"/>
          <w:footerReference w:type="default" r:id="rId6"/>
          <w:pgSz w:w="7640" w:h="10800"/>
          <w:pgMar w:top="890" w:right="619" w:bottom="824" w:left="820" w:header="713" w:footer="705" w:gutter="0"/>
          <w:cols w:space="708"/>
        </w:sectPr>
      </w:pPr>
      <w:r>
        <w:rPr>
          <w:spacing w:val="5"/>
        </w:rPr>
        <w:t>高频</w:t>
      </w:r>
      <w:r>
        <w:rPr>
          <w:spacing w:val="-39"/>
        </w:rPr>
        <w:t xml:space="preserve"> </w:t>
      </w:r>
      <w:r>
        <w:rPr>
          <w:spacing w:val="5"/>
        </w:rPr>
        <w:t>Q 表是根据被测元件与测试回路固有调谐电容器组成串联谐振回路</w:t>
      </w:r>
      <w:r>
        <w:rPr>
          <w:spacing w:val="4"/>
        </w:rPr>
        <w:t>，并进行</w:t>
      </w:r>
      <w:r>
        <w:t xml:space="preserve"> </w:t>
      </w:r>
      <w:r>
        <w:rPr>
          <w:spacing w:val="4"/>
        </w:rPr>
        <w:t>电压放大倍数测量的原理工作的。</w:t>
      </w:r>
      <w:r>
        <w:rPr>
          <w:rFonts w:ascii="Times New Roman" w:eastAsia="Times New Roman" w:hAnsi="Times New Roman" w:cs="Times New Roman"/>
          <w:spacing w:val="4"/>
        </w:rPr>
        <w:t>Q</w:t>
      </w:r>
      <w:r>
        <w:rPr>
          <w:rFonts w:ascii="Times New Roman" w:eastAsia="Times New Roman" w:hAnsi="Times New Roman" w:cs="Times New Roman"/>
          <w:spacing w:val="24"/>
          <w:w w:val="102"/>
        </w:rPr>
        <w:t xml:space="preserve"> </w:t>
      </w:r>
      <w:r>
        <w:rPr>
          <w:spacing w:val="4"/>
        </w:rPr>
        <w:t>表的指示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Q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4"/>
        </w:rPr>
        <w:t>值是包括被测件损耗及测量回路固有</w:t>
      </w:r>
      <w:r>
        <w:t xml:space="preserve"> </w:t>
      </w:r>
      <w:r>
        <w:rPr>
          <w:spacing w:val="6"/>
        </w:rPr>
        <w:t>部件损耗或残量综合影响的整个谐振回路的有效</w:t>
      </w:r>
      <w:r>
        <w:rPr>
          <w:rFonts w:ascii="Times New Roman" w:eastAsia="Times New Roman" w:hAnsi="Times New Roman" w:cs="Times New Roman"/>
          <w:spacing w:val="6"/>
        </w:rPr>
        <w:t>Q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6"/>
        </w:rPr>
        <w:t>值，严格说来，要得到被测件的有</w:t>
      </w:r>
      <w:r>
        <w:t xml:space="preserve"> </w:t>
      </w:r>
      <w:r>
        <w:rPr>
          <w:spacing w:val="2"/>
        </w:rPr>
        <w:t>效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2"/>
        </w:rPr>
        <w:t>值必须用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2"/>
        </w:rPr>
        <w:t>表测试回路残量修正</w:t>
      </w:r>
      <w:r>
        <w:rPr>
          <w:rFonts w:ascii="Times New Roman" w:eastAsia="Times New Roman" w:hAnsi="Times New Roman" w:cs="Times New Roman"/>
          <w:spacing w:val="2"/>
        </w:rPr>
        <w:t xml:space="preserve">Q </w:t>
      </w:r>
      <w:r>
        <w:rPr>
          <w:spacing w:val="2"/>
        </w:rPr>
        <w:t>表的指示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2"/>
        </w:rPr>
        <w:t xml:space="preserve">值。在一般情况下， </w:t>
      </w:r>
      <w:r>
        <w:rPr>
          <w:rFonts w:ascii="Times New Roman" w:eastAsia="Times New Roman" w:hAnsi="Times New Roman" w:cs="Times New Roman"/>
          <w:spacing w:val="2"/>
        </w:rPr>
        <w:t xml:space="preserve">Q  </w:t>
      </w:r>
      <w:r>
        <w:rPr>
          <w:spacing w:val="2"/>
        </w:rPr>
        <w:t>表作为低</w:t>
      </w:r>
      <w:r>
        <w:t xml:space="preserve"> </w:t>
      </w:r>
      <w:r>
        <w:rPr>
          <w:spacing w:val="5"/>
        </w:rPr>
        <w:t>准确度的多用途电子仪器使用或利用Q</w:t>
      </w:r>
      <w:r>
        <w:rPr>
          <w:spacing w:val="32"/>
        </w:rPr>
        <w:t xml:space="preserve"> </w:t>
      </w:r>
      <w:r>
        <w:rPr>
          <w:spacing w:val="5"/>
        </w:rPr>
        <w:t>表对电感线圈作相对比较测量时，可不必对残</w:t>
      </w:r>
      <w:r>
        <w:t xml:space="preserve"> </w:t>
      </w:r>
      <w:r>
        <w:rPr>
          <w:spacing w:val="-3"/>
        </w:rPr>
        <w:t>量的影响进行修正。</w:t>
      </w:r>
    </w:p>
    <w:p>
      <w:pPr>
        <w:pStyle w:val="BodyText"/>
        <w:spacing w:before="35" w:line="263" w:lineRule="auto"/>
        <w:ind w:left="10" w:right="46" w:firstLine="319"/>
        <w:jc w:val="both"/>
      </w:pPr>
      <w:r>
        <w:rPr>
          <w:spacing w:val="3"/>
        </w:rPr>
        <w:t>高频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Q </w:t>
      </w:r>
      <w:r>
        <w:rPr>
          <w:spacing w:val="3"/>
        </w:rPr>
        <w:t>表主要用于测量电感线圈的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Q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3"/>
        </w:rPr>
        <w:t>值、电感量、电容器的电容量，还可用于测</w:t>
      </w:r>
      <w:r>
        <w:t xml:space="preserve"> </w:t>
      </w:r>
      <w:r>
        <w:rPr>
          <w:spacing w:val="2"/>
        </w:rPr>
        <w:t>量分布电容、分布电感、损耗值、电阻器的有</w:t>
      </w:r>
      <w:r>
        <w:rPr>
          <w:spacing w:val="1"/>
        </w:rPr>
        <w:t>效电阻、绝缘材料的介电常数、损耗角正</w:t>
      </w:r>
      <w:r>
        <w:t xml:space="preserve"> </w:t>
      </w:r>
      <w:r>
        <w:rPr>
          <w:spacing w:val="2"/>
        </w:rPr>
        <w:t>切、传输线的特性阻抗以及磁性材料的导磁率等与阻抗有关的量。</w:t>
      </w:r>
    </w:p>
    <w:p>
      <w:pPr>
        <w:pStyle w:val="BodyText"/>
        <w:spacing w:before="37" w:line="244" w:lineRule="auto"/>
        <w:ind w:left="349" w:right="19" w:hanging="20"/>
      </w:pPr>
      <w:r>
        <w:rPr>
          <w:spacing w:val="2"/>
        </w:rPr>
        <w:t>高频</w:t>
      </w:r>
      <w:r>
        <w:rPr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Q </w:t>
      </w:r>
      <w:r>
        <w:rPr>
          <w:spacing w:val="2"/>
        </w:rPr>
        <w:t>表主要由信号源、测试回路、谐振指示电压表组成，典型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Q </w:t>
      </w:r>
      <w:r>
        <w:rPr>
          <w:spacing w:val="2"/>
        </w:rPr>
        <w:t>表框图如图1。</w:t>
      </w:r>
      <w: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Q </w:t>
      </w:r>
      <w:r>
        <w:rPr>
          <w:spacing w:val="3"/>
        </w:rPr>
        <w:t>值是阻抗复合量，通过下式把有关阻抗量与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Q </w:t>
      </w:r>
      <w:r>
        <w:rPr>
          <w:spacing w:val="3"/>
        </w:rPr>
        <w:t>值联系起来：</w:t>
      </w:r>
    </w:p>
    <w:p>
      <w:pPr>
        <w:pStyle w:val="BodyText"/>
        <w:spacing w:before="244" w:line="222" w:lineRule="auto"/>
        <w:ind w:left="5950"/>
      </w:pPr>
      <w:r>
        <w:rPr>
          <w:spacing w:val="-8"/>
        </w:rPr>
        <w:t>(1)</w:t>
      </w:r>
    </w:p>
    <w:p>
      <w:pPr>
        <w:spacing w:line="222" w:lineRule="auto"/>
        <w:sectPr>
          <w:headerReference w:type="default" r:id="rId7"/>
          <w:footerReference w:type="default" r:id="rId8"/>
          <w:type w:val="nextPage"/>
          <w:pgSz w:w="7640" w:h="10800"/>
          <w:pgMar w:top="890" w:right="619" w:bottom="824" w:left="820" w:header="713" w:footer="705" w:gutter="0"/>
          <w:pgNumType w:start="2"/>
          <w:cols w:space="708"/>
          <w:titlePg w:val="0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line="1730" w:lineRule="exact"/>
        <w:ind w:firstLine="820"/>
      </w:pPr>
      <w:r>
        <w:rPr>
          <w:position w:val="-34"/>
        </w:rPr>
        <w:pict>
          <v:group id="_x0000_i1025" style="width:228.5pt;height:86.5pt;mso-position-horizontal-relative:char;mso-position-vertical-relative:line" coordorigin="0,0" coordsize="4570,17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570;height:173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216;height:1683;left:2119;position:absolute;top:35" filled="f" stroked="f">
              <o:lock v:ext="edit" aspectratio="f"/>
              <v:textbox inset="0,0,0,0">
                <w:txbxContent>
                  <w:p>
                    <w:pPr>
                      <w:spacing w:before="20" w:line="232" w:lineRule="auto"/>
                      <w:ind w:left="120"/>
                      <w:rPr>
                        <w:rFonts w:ascii="FangSong" w:eastAsia="FangSong" w:hAnsi="FangSong" w:cs="FangSong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position w:val="-1"/>
                        <w:sz w:val="15"/>
                        <w:szCs w:val="15"/>
                      </w:rPr>
                      <w:t>激励变压器</w:t>
                    </w:r>
                    <w:r>
                      <w:rPr>
                        <w:rFonts w:ascii="SimSun" w:eastAsia="SimSun" w:hAnsi="SimSun" w:cs="SimSun"/>
                        <w:spacing w:val="10"/>
                        <w:position w:val="-1"/>
                        <w:sz w:val="15"/>
                        <w:szCs w:val="15"/>
                      </w:rPr>
                      <w:t xml:space="preserve">       </w:t>
                    </w:r>
                    <w:r>
                      <w:rPr>
                        <w:rFonts w:ascii="FangSong" w:eastAsia="FangSong" w:hAnsi="FangSong" w:cs="FangSong"/>
                        <w:spacing w:val="-12"/>
                        <w:sz w:val="15"/>
                        <w:szCs w:val="15"/>
                      </w:rPr>
                      <w:t>调谐电感器</w:t>
                    </w:r>
                  </w:p>
                  <w:p>
                    <w:pPr>
                      <w:spacing w:before="241" w:line="222" w:lineRule="auto"/>
                      <w:ind w:right="3"/>
                      <w:jc w:val="right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15"/>
                        <w:szCs w:val="15"/>
                      </w:rPr>
                      <w:t>测试回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15"/>
                        <w:szCs w:val="15"/>
                      </w:rPr>
                      <w:t xml:space="preserve">路   </w:t>
                    </w:r>
                    <w:r>
                      <w:rPr>
                        <w:rFonts w:ascii="SimHei" w:eastAsia="SimHei" w:hAnsi="SimHei" w:cs="SimHei"/>
                        <w:spacing w:val="-14"/>
                        <w:sz w:val="15"/>
                        <w:szCs w:val="15"/>
                      </w:rPr>
                      <w:t>调谐电容</w:t>
                    </w:r>
                    <w:r>
                      <w:rPr>
                        <w:rFonts w:ascii="SimHei" w:eastAsia="SimHei" w:hAnsi="SimHei" w:cs="SimHei"/>
                        <w:spacing w:val="-11"/>
                        <w:sz w:val="15"/>
                        <w:szCs w:val="15"/>
                      </w:rPr>
                      <w:t>器</w:t>
                    </w:r>
                  </w:p>
                  <w:p>
                    <w:pPr>
                      <w:spacing w:line="43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8" w:line="222" w:lineRule="auto"/>
                      <w:ind w:left="2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-7"/>
                        <w:sz w:val="15"/>
                        <w:szCs w:val="15"/>
                      </w:rPr>
                      <w:t>检波</w:t>
                    </w:r>
                  </w:p>
                  <w:p>
                    <w:pPr>
                      <w:spacing w:before="200" w:line="222" w:lineRule="auto"/>
                      <w:ind w:left="24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sz w:val="15"/>
                        <w:szCs w:val="15"/>
                      </w:rPr>
                      <w:t>电压表</w:t>
                    </w:r>
                  </w:p>
                </w:txbxContent>
              </v:textbox>
            </v:shape>
            <v:shape id="_x0000_s1028" type="#_x0000_t202" style="width:855;height:362;left:239;position:absolute;top:86" filled="f" stroked="f">
              <o:lock v:ext="edit" aspectratio="f"/>
              <v:textbox inset="0,0,0,0">
                <w:txbxContent>
                  <w:p>
                    <w:pPr>
                      <w:spacing w:before="20" w:line="215" w:lineRule="auto"/>
                      <w:ind w:left="268" w:right="20" w:hanging="249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w w:val="97"/>
                        <w:sz w:val="15"/>
                        <w:szCs w:val="15"/>
                      </w:rPr>
                      <w:t>信号源和阻抗</w:t>
                    </w:r>
                    <w:r>
                      <w:rPr>
                        <w:rFonts w:ascii="SimSun" w:eastAsia="SimSun" w:hAnsi="SimSun" w:cs="SimSun"/>
                        <w:spacing w:val="7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3"/>
                        <w:sz w:val="15"/>
                        <w:szCs w:val="15"/>
                      </w:rPr>
                      <w:t>变换</w:t>
                    </w:r>
                  </w:p>
                </w:txbxContent>
              </v:textbox>
            </v:shape>
            <v:shape id="_x0000_s1029" type="#_x0000_t202" style="width:675;height:196;left:39;position:absolute;top:1444" filled="f" stroked="f">
              <o:lock v:ext="edit" aspectratio="f"/>
              <v:textbox inset="0,0,0,0">
                <w:txbxContent>
                  <w:p>
                    <w:pPr>
                      <w:spacing w:before="20" w:line="212" w:lineRule="auto"/>
                      <w:jc w:val="right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-12"/>
                        <w:w w:val="97"/>
                        <w:sz w:val="15"/>
                        <w:szCs w:val="15"/>
                      </w:rPr>
                      <w:t>Q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2"/>
                        <w:w w:val="97"/>
                        <w:sz w:val="15"/>
                        <w:szCs w:val="15"/>
                      </w:rPr>
                      <w:t>值指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1"/>
                        <w:w w:val="97"/>
                        <w:sz w:val="15"/>
                        <w:szCs w:val="15"/>
                      </w:rPr>
                      <w:t>示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8"/>
                        <w:w w:val="97"/>
                        <w:sz w:val="15"/>
                        <w:szCs w:val="15"/>
                      </w:rPr>
                      <w:t>表</w:t>
                    </w:r>
                  </w:p>
                </w:txbxContent>
              </v:textbox>
            </v:shape>
            <v:shape id="_x0000_s1030" type="#_x0000_t202" style="width:685;height:190;left:890;position:absolute;top:1136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jc w:val="right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4"/>
                        <w:w w:val="94"/>
                        <w:sz w:val="15"/>
                        <w:szCs w:val="15"/>
                      </w:rPr>
                      <w:t>直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3"/>
                        <w:w w:val="94"/>
                        <w:sz w:val="15"/>
                        <w:szCs w:val="15"/>
                      </w:rPr>
                      <w:t>流放大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7"/>
                        <w:w w:val="94"/>
                        <w:sz w:val="15"/>
                        <w:szCs w:val="15"/>
                      </w:rPr>
                      <w:t>器</w:t>
                    </w:r>
                  </w:p>
                </w:txbxContent>
              </v:textbox>
            </v:shape>
            <v:shape id="_x0000_s1031" type="#_x0000_t202" style="width:587;height:192;left:3949;position:absolute;top:1225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-11"/>
                        <w:sz w:val="15"/>
                        <w:szCs w:val="15"/>
                      </w:rPr>
                      <w:t>分压电容</w:t>
                    </w:r>
                  </w:p>
                </w:txbxContent>
              </v:textbox>
            </v:shape>
            <v:shape id="_x0000_s1032" type="#_x0000_t202" style="width:457;height:192;left:3039;position:absolute;top:1135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15"/>
                        <w:szCs w:val="15"/>
                      </w:rPr>
                      <w:t>放大器</w:t>
                    </w:r>
                  </w:p>
                </w:txbxContent>
              </v:textbox>
            </v:shape>
            <v:shape id="_x0000_s1033" type="#_x0000_t202" style="width:447;height:192;left:1679;position:absolute;top:145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-10"/>
                        <w:sz w:val="15"/>
                        <w:szCs w:val="15"/>
                      </w:rPr>
                      <w:t>放大器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92" w:line="212" w:lineRule="auto"/>
        <w:ind w:left="2499"/>
        <w:rPr>
          <w:rFonts w:ascii="SimHei" w:eastAsia="SimHei" w:hAnsi="SimHei" w:cs="SimHei"/>
          <w:sz w:val="15"/>
          <w:szCs w:val="15"/>
        </w:rPr>
      </w:pPr>
      <w:r>
        <w:rPr>
          <w:rFonts w:ascii="SimHei" w:eastAsia="SimHei" w:hAnsi="SimHei" w:cs="SimHei"/>
          <w:spacing w:val="-3"/>
          <w:sz w:val="15"/>
          <w:szCs w:val="15"/>
        </w:rPr>
        <w:t>图</w:t>
      </w:r>
      <w:r>
        <w:rPr>
          <w:rFonts w:ascii="SimHei" w:eastAsia="SimHei" w:hAnsi="SimHei" w:cs="SimHei"/>
          <w:spacing w:val="-5"/>
          <w:sz w:val="15"/>
          <w:szCs w:val="15"/>
        </w:rPr>
        <w:t xml:space="preserve"> </w:t>
      </w:r>
      <w:r>
        <w:rPr>
          <w:rFonts w:ascii="SimHei" w:eastAsia="SimHei" w:hAnsi="SimHei" w:cs="SimHei"/>
          <w:spacing w:val="-3"/>
          <w:sz w:val="15"/>
          <w:szCs w:val="15"/>
        </w:rPr>
        <w:t>1</w:t>
      </w:r>
      <w:r>
        <w:rPr>
          <w:rFonts w:ascii="SimHei" w:eastAsia="SimHei" w:hAnsi="SimHei" w:cs="SimHei"/>
          <w:spacing w:val="34"/>
          <w:sz w:val="15"/>
          <w:szCs w:val="15"/>
        </w:rPr>
        <w:t xml:space="preserve"> </w:t>
      </w:r>
      <w:r>
        <w:rPr>
          <w:rFonts w:ascii="SimHei" w:eastAsia="SimHei" w:hAnsi="SimHei" w:cs="SimHei"/>
          <w:spacing w:val="-3"/>
          <w:sz w:val="15"/>
          <w:szCs w:val="15"/>
        </w:rPr>
        <w:t>典型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 xml:space="preserve">Q </w:t>
      </w:r>
      <w:r>
        <w:rPr>
          <w:rFonts w:ascii="SimHei" w:eastAsia="SimHei" w:hAnsi="SimHei" w:cs="SimHei"/>
          <w:spacing w:val="-3"/>
          <w:sz w:val="15"/>
          <w:szCs w:val="15"/>
        </w:rPr>
        <w:t>表框图</w:t>
      </w:r>
    </w:p>
    <w:p>
      <w:pPr>
        <w:pStyle w:val="BodyText"/>
        <w:spacing w:before="151" w:line="221" w:lineRule="exact"/>
        <w:ind w:left="20"/>
        <w:rPr>
          <w:sz w:val="15"/>
          <w:szCs w:val="15"/>
        </w:rPr>
      </w:pPr>
      <w:r>
        <w:rPr>
          <w:spacing w:val="4"/>
          <w:position w:val="5"/>
          <w:sz w:val="15"/>
          <w:szCs w:val="15"/>
        </w:rPr>
        <w:t xml:space="preserve">式中： </w:t>
      </w:r>
      <w:r>
        <w:rPr>
          <w:rFonts w:ascii="Times New Roman" w:eastAsia="Times New Roman" w:hAnsi="Times New Roman" w:cs="Times New Roman"/>
          <w:spacing w:val="4"/>
          <w:position w:val="5"/>
          <w:sz w:val="15"/>
          <w:szCs w:val="15"/>
        </w:rPr>
        <w:t>r——</w:t>
      </w:r>
      <w:r>
        <w:rPr>
          <w:rFonts w:ascii="Times New Roman" w:eastAsia="Times New Roman" w:hAnsi="Times New Roman" w:cs="Times New Roman"/>
          <w:spacing w:val="35"/>
          <w:position w:val="5"/>
          <w:sz w:val="15"/>
          <w:szCs w:val="15"/>
        </w:rPr>
        <w:t xml:space="preserve"> </w:t>
      </w:r>
      <w:r>
        <w:rPr>
          <w:spacing w:val="4"/>
          <w:position w:val="5"/>
          <w:sz w:val="15"/>
          <w:szCs w:val="15"/>
        </w:rPr>
        <w:t>测试回路总的等效串联电阻，Ω;</w:t>
      </w:r>
    </w:p>
    <w:p>
      <w:pPr>
        <w:pStyle w:val="BodyText"/>
        <w:spacing w:line="212" w:lineRule="auto"/>
        <w:ind w:left="49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7"/>
          <w:sz w:val="15"/>
          <w:szCs w:val="15"/>
        </w:rPr>
        <w:t>L——</w:t>
      </w:r>
      <w:r>
        <w:rPr>
          <w:rFonts w:ascii="Times New Roman" w:eastAsia="Times New Roman" w:hAnsi="Times New Roman" w:cs="Times New Roman"/>
          <w:spacing w:val="48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测试回路总的有效电感量，</w:t>
      </w:r>
      <w:r>
        <w:rPr>
          <w:rFonts w:ascii="Times New Roman" w:eastAsia="Times New Roman" w:hAnsi="Times New Roman" w:cs="Times New Roman"/>
          <w:spacing w:val="7"/>
          <w:sz w:val="15"/>
          <w:szCs w:val="15"/>
        </w:rPr>
        <w:t>H;</w:t>
      </w:r>
    </w:p>
    <w:p>
      <w:pPr>
        <w:pStyle w:val="BodyText"/>
        <w:spacing w:before="77" w:line="219" w:lineRule="auto"/>
        <w:ind w:left="499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7"/>
          <w:sz w:val="15"/>
          <w:szCs w:val="15"/>
        </w:rPr>
        <w:t xml:space="preserve">R—— </w:t>
      </w:r>
      <w:r>
        <w:rPr>
          <w:spacing w:val="7"/>
          <w:sz w:val="15"/>
          <w:szCs w:val="15"/>
        </w:rPr>
        <w:t>测试回路总的等效并联电阻，Ω;</w:t>
      </w:r>
    </w:p>
    <w:p>
      <w:pPr>
        <w:pStyle w:val="BodyText"/>
        <w:spacing w:before="61" w:line="223" w:lineRule="exact"/>
        <w:ind w:left="499"/>
        <w:rPr>
          <w:sz w:val="15"/>
          <w:szCs w:val="15"/>
        </w:rPr>
      </w:pPr>
      <w:r>
        <w:rPr>
          <w:spacing w:val="8"/>
          <w:position w:val="5"/>
          <w:sz w:val="15"/>
          <w:szCs w:val="15"/>
        </w:rPr>
        <w:t>C—— 测试回路总的有效电容量，F;</w:t>
      </w:r>
    </w:p>
    <w:p>
      <w:pPr>
        <w:pStyle w:val="BodyText"/>
        <w:spacing w:line="212" w:lineRule="auto"/>
        <w:ind w:left="28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t>tg</w:t>
      </w:r>
      <w:r>
        <w:rPr>
          <w:rFonts w:ascii="Times New Roman" w:eastAsia="Times New Roman" w:hAnsi="Times New Roman" w:cs="Times New Roman"/>
          <w:spacing w:val="8"/>
          <w:sz w:val="15"/>
          <w:szCs w:val="15"/>
        </w:rPr>
        <w:t>δ——</w:t>
      </w:r>
      <w:r>
        <w:rPr>
          <w:rFonts w:ascii="Times New Roman" w:eastAsia="Times New Roman" w:hAnsi="Times New Roman" w:cs="Times New Roman"/>
          <w:spacing w:val="39"/>
          <w:sz w:val="15"/>
          <w:szCs w:val="15"/>
        </w:rPr>
        <w:t xml:space="preserve"> </w:t>
      </w:r>
      <w:r>
        <w:rPr>
          <w:spacing w:val="8"/>
          <w:sz w:val="15"/>
          <w:szCs w:val="15"/>
        </w:rPr>
        <w:t>整个测试回路损耗角正切。</w:t>
      </w:r>
    </w:p>
    <w:p>
      <w:pPr>
        <w:pStyle w:val="BodyText"/>
        <w:spacing w:before="103" w:line="258" w:lineRule="auto"/>
        <w:ind w:left="20" w:right="94" w:firstLine="259"/>
        <w:rPr>
          <w:sz w:val="15"/>
          <w:szCs w:val="15"/>
        </w:rPr>
      </w:pPr>
      <w:r>
        <w:rPr>
          <w:spacing w:val="20"/>
          <w:sz w:val="15"/>
          <w:szCs w:val="15"/>
        </w:rPr>
        <w:t>鉴于</w:t>
      </w:r>
      <w:r>
        <w:rPr>
          <w:spacing w:val="-41"/>
          <w:sz w:val="15"/>
          <w:szCs w:val="15"/>
        </w:rPr>
        <w:t xml:space="preserve"> </w:t>
      </w:r>
      <w:r>
        <w:rPr>
          <w:spacing w:val="20"/>
          <w:sz w:val="15"/>
          <w:szCs w:val="15"/>
        </w:rPr>
        <w:t>Q 表是低准确度的多功能仪器，又是多个单元仪表组合而成，考虑到公式</w:t>
      </w:r>
      <w:r>
        <w:rPr>
          <w:sz w:val="15"/>
          <w:szCs w:val="15"/>
        </w:rPr>
        <w:t xml:space="preserve"> </w:t>
      </w:r>
      <w:r>
        <w:rPr>
          <w:spacing w:val="12"/>
          <w:sz w:val="15"/>
          <w:szCs w:val="15"/>
        </w:rPr>
        <w:t>(1)的阻抗关系，校准方法针对</w:t>
      </w:r>
      <w:r>
        <w:rPr>
          <w:spacing w:val="-3"/>
          <w:sz w:val="15"/>
          <w:szCs w:val="15"/>
        </w:rPr>
        <w:t xml:space="preserve"> </w:t>
      </w:r>
      <w:r>
        <w:rPr>
          <w:spacing w:val="12"/>
          <w:sz w:val="15"/>
          <w:szCs w:val="15"/>
        </w:rPr>
        <w:t>Q 值、频率和低频电容值。</w:t>
      </w:r>
    </w:p>
    <w:p>
      <w:pPr>
        <w:spacing w:before="190" w:line="222" w:lineRule="auto"/>
        <w:ind w:left="22"/>
        <w:rPr>
          <w:rFonts w:ascii="SimHei" w:eastAsia="SimHei" w:hAnsi="SimHei" w:cs="SimHei"/>
          <w:sz w:val="15"/>
          <w:szCs w:val="15"/>
        </w:rPr>
      </w:pPr>
      <w:r>
        <w:rPr>
          <w:rFonts w:ascii="SimHei" w:eastAsia="SimHei" w:hAnsi="SimHei" w:cs="SimHei"/>
          <w:b/>
          <w:bCs/>
          <w:spacing w:val="8"/>
          <w:sz w:val="15"/>
          <w:szCs w:val="15"/>
        </w:rPr>
        <w:t>5</w:t>
      </w:r>
      <w:r>
        <w:rPr>
          <w:rFonts w:ascii="SimHei" w:eastAsia="SimHei" w:hAnsi="SimHei" w:cs="SimHei"/>
          <w:spacing w:val="75"/>
          <w:w w:val="101"/>
          <w:sz w:val="15"/>
          <w:szCs w:val="15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15"/>
          <w:szCs w:val="15"/>
        </w:rPr>
        <w:t>计量性能要求</w:t>
      </w:r>
    </w:p>
    <w:p>
      <w:pPr>
        <w:pStyle w:val="BodyText"/>
        <w:spacing w:before="211" w:line="219" w:lineRule="auto"/>
        <w:ind w:left="20"/>
        <w:rPr>
          <w:sz w:val="15"/>
          <w:szCs w:val="15"/>
        </w:rPr>
      </w:pPr>
      <w:r>
        <w:rPr>
          <w:spacing w:val="4"/>
          <w:sz w:val="15"/>
          <w:szCs w:val="15"/>
        </w:rPr>
        <w:t>5.1</w:t>
      </w:r>
      <w:r>
        <w:rPr>
          <w:spacing w:val="11"/>
          <w:sz w:val="15"/>
          <w:szCs w:val="15"/>
        </w:rPr>
        <w:t xml:space="preserve">  </w:t>
      </w:r>
      <w:r>
        <w:rPr>
          <w:spacing w:val="4"/>
          <w:sz w:val="15"/>
          <w:szCs w:val="15"/>
        </w:rPr>
        <w:t>工作频率</w:t>
      </w:r>
    </w:p>
    <w:p>
      <w:pPr>
        <w:pStyle w:val="BodyText"/>
        <w:spacing w:before="73" w:line="219" w:lineRule="auto"/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b/>
          <w:bCs/>
          <w:spacing w:val="1"/>
          <w:sz w:val="15"/>
          <w:szCs w:val="15"/>
        </w:rPr>
        <w:t>5.1.1</w:t>
      </w:r>
      <w:r>
        <w:rPr>
          <w:spacing w:val="20"/>
          <w:sz w:val="15"/>
          <w:szCs w:val="15"/>
        </w:rPr>
        <w:t xml:space="preserve">  </w:t>
      </w:r>
      <w:r>
        <w:rPr>
          <w:spacing w:val="1"/>
          <w:sz w:val="15"/>
          <w:szCs w:val="15"/>
        </w:rPr>
        <w:t>频率范围：50</w:t>
      </w:r>
      <w:r>
        <w:rPr>
          <w:spacing w:val="29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z w:val="15"/>
          <w:szCs w:val="15"/>
        </w:rPr>
        <w:t>kHz</w:t>
      </w:r>
      <w:r>
        <w:rPr>
          <w:spacing w:val="1"/>
          <w:sz w:val="15"/>
          <w:szCs w:val="15"/>
        </w:rPr>
        <w:t>～</w:t>
      </w:r>
      <w:r>
        <w:rPr>
          <w:rFonts w:ascii="Times New Roman" w:eastAsia="Times New Roman" w:hAnsi="Times New Roman" w:cs="Times New Roman"/>
          <w:spacing w:val="1"/>
          <w:sz w:val="15"/>
          <w:szCs w:val="15"/>
        </w:rPr>
        <w:t>100</w:t>
      </w:r>
      <w:r>
        <w:rPr>
          <w:rFonts w:ascii="Times New Roman" w:eastAsia="Times New Roman" w:hAnsi="Times New Roman" w:cs="Times New Roman"/>
          <w:sz w:val="15"/>
          <w:szCs w:val="15"/>
        </w:rPr>
        <w:t xml:space="preserve">   MHz</w:t>
      </w:r>
    </w:p>
    <w:p>
      <w:pPr>
        <w:spacing w:before="37" w:line="212" w:lineRule="auto"/>
        <w:ind w:left="280"/>
        <w:rPr>
          <w:rFonts w:ascii="FangSong" w:eastAsia="FangSong" w:hAnsi="FangSong" w:cs="FangSong"/>
          <w:sz w:val="15"/>
          <w:szCs w:val="15"/>
        </w:rPr>
      </w:pPr>
      <w:r>
        <w:rPr>
          <w:rFonts w:ascii="FangSong" w:eastAsia="FangSong" w:hAnsi="FangSong" w:cs="FangSong"/>
          <w:spacing w:val="-7"/>
          <w:sz w:val="15"/>
          <w:szCs w:val="15"/>
        </w:rPr>
        <w:t>注：不同型号的高频</w:t>
      </w:r>
      <w:r>
        <w:rPr>
          <w:rFonts w:ascii="Times New Roman" w:eastAsia="Times New Roman" w:hAnsi="Times New Roman" w:cs="Times New Roman"/>
          <w:spacing w:val="-7"/>
          <w:sz w:val="15"/>
          <w:szCs w:val="15"/>
        </w:rPr>
        <w:t xml:space="preserve">Q </w:t>
      </w:r>
      <w:r>
        <w:rPr>
          <w:rFonts w:ascii="FangSong" w:eastAsia="FangSong" w:hAnsi="FangSong" w:cs="FangSong"/>
          <w:spacing w:val="-7"/>
          <w:sz w:val="15"/>
          <w:szCs w:val="15"/>
        </w:rPr>
        <w:t>表频率范围可处于其中某一段或全部。</w:t>
      </w:r>
    </w:p>
    <w:p>
      <w:pPr>
        <w:pStyle w:val="BodyText"/>
        <w:spacing w:before="72" w:line="219" w:lineRule="auto"/>
        <w:ind w:left="22"/>
        <w:rPr>
          <w:sz w:val="15"/>
          <w:szCs w:val="15"/>
        </w:rPr>
      </w:pPr>
      <w:r>
        <w:rPr>
          <w:b/>
          <w:bCs/>
          <w:spacing w:val="11"/>
          <w:sz w:val="15"/>
          <w:szCs w:val="15"/>
        </w:rPr>
        <w:t>5.1.2</w:t>
      </w:r>
      <w:r>
        <w:rPr>
          <w:spacing w:val="11"/>
          <w:sz w:val="15"/>
          <w:szCs w:val="15"/>
        </w:rPr>
        <w:t xml:space="preserve">  频率示值误差：±2%。</w:t>
      </w:r>
    </w:p>
    <w:p>
      <w:pPr>
        <w:pStyle w:val="BodyText"/>
        <w:spacing w:before="73" w:line="220" w:lineRule="auto"/>
        <w:ind w:left="20"/>
        <w:rPr>
          <w:sz w:val="15"/>
          <w:szCs w:val="15"/>
        </w:rPr>
      </w:pPr>
      <w:r>
        <w:rPr>
          <w:spacing w:val="5"/>
          <w:sz w:val="15"/>
          <w:szCs w:val="15"/>
        </w:rPr>
        <w:t>5.2</w:t>
      </w:r>
      <w:r>
        <w:rPr>
          <w:spacing w:val="15"/>
          <w:sz w:val="15"/>
          <w:szCs w:val="15"/>
        </w:rPr>
        <w:t xml:space="preserve">  </w:t>
      </w:r>
      <w:r>
        <w:rPr>
          <w:spacing w:val="5"/>
          <w:sz w:val="15"/>
          <w:szCs w:val="15"/>
        </w:rPr>
        <w:t>调谐电容器</w:t>
      </w:r>
    </w:p>
    <w:p>
      <w:pPr>
        <w:pStyle w:val="BodyText"/>
        <w:spacing w:before="44" w:line="212" w:lineRule="auto"/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b/>
          <w:bCs/>
          <w:spacing w:val="6"/>
          <w:sz w:val="15"/>
          <w:szCs w:val="15"/>
        </w:rPr>
        <w:t>5.2.1</w:t>
      </w:r>
      <w:r>
        <w:rPr>
          <w:spacing w:val="27"/>
          <w:sz w:val="15"/>
          <w:szCs w:val="15"/>
        </w:rPr>
        <w:t xml:space="preserve">  </w:t>
      </w:r>
      <w:r>
        <w:rPr>
          <w:spacing w:val="6"/>
          <w:sz w:val="15"/>
          <w:szCs w:val="15"/>
        </w:rPr>
        <w:t>电容范围：(25～500)</w:t>
      </w:r>
      <w:r>
        <w:rPr>
          <w:spacing w:val="-1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z w:val="15"/>
          <w:szCs w:val="15"/>
        </w:rPr>
        <w:t>pF</w:t>
      </w:r>
    </w:p>
    <w:p>
      <w:pPr>
        <w:spacing w:before="67" w:line="212" w:lineRule="auto"/>
        <w:ind w:left="28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FangSong" w:eastAsia="FangSong" w:hAnsi="FangSong" w:cs="FangSong"/>
          <w:spacing w:val="-3"/>
          <w:sz w:val="15"/>
          <w:szCs w:val="15"/>
        </w:rPr>
        <w:t>注：有的高频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Q</w:t>
      </w:r>
      <w:r>
        <w:rPr>
          <w:rFonts w:ascii="Times New Roman" w:eastAsia="Times New Roman" w:hAnsi="Times New Roman" w:cs="Times New Roman"/>
          <w:spacing w:val="37"/>
          <w:sz w:val="15"/>
          <w:szCs w:val="15"/>
        </w:rPr>
        <w:t xml:space="preserve"> </w:t>
      </w:r>
      <w:r>
        <w:rPr>
          <w:rFonts w:ascii="FangSong" w:eastAsia="FangSong" w:hAnsi="FangSong" w:cs="FangSong"/>
          <w:spacing w:val="-3"/>
          <w:sz w:val="15"/>
          <w:szCs w:val="15"/>
        </w:rPr>
        <w:t>表电容范围可处在(20～450)</w:t>
      </w:r>
      <w:r>
        <w:rPr>
          <w:rFonts w:ascii="FangSong" w:eastAsia="FangSong" w:hAnsi="FangSong" w:cs="FangSong"/>
          <w:spacing w:val="-39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pF</w:t>
      </w:r>
    </w:p>
    <w:p>
      <w:pPr>
        <w:pStyle w:val="BodyText"/>
        <w:spacing w:before="61" w:line="214" w:lineRule="auto"/>
        <w:ind w:left="22"/>
        <w:rPr>
          <w:sz w:val="15"/>
          <w:szCs w:val="15"/>
        </w:rPr>
      </w:pPr>
      <w:r>
        <w:rPr>
          <w:b/>
          <w:bCs/>
          <w:spacing w:val="8"/>
          <w:sz w:val="15"/>
          <w:szCs w:val="15"/>
        </w:rPr>
        <w:t>5.2.2</w:t>
      </w:r>
      <w:r>
        <w:rPr>
          <w:spacing w:val="32"/>
          <w:w w:val="101"/>
          <w:sz w:val="15"/>
          <w:szCs w:val="15"/>
        </w:rPr>
        <w:t xml:space="preserve">  </w:t>
      </w:r>
      <w:r>
        <w:rPr>
          <w:spacing w:val="8"/>
          <w:sz w:val="15"/>
          <w:szCs w:val="15"/>
        </w:rPr>
        <w:t>电容示值误差：±1%·电容指示值±1</w:t>
      </w:r>
      <w:r>
        <w:rPr>
          <w:sz w:val="15"/>
          <w:szCs w:val="15"/>
        </w:rPr>
        <w:t>pF</w:t>
      </w:r>
    </w:p>
    <w:p>
      <w:pPr>
        <w:pStyle w:val="BodyText"/>
        <w:spacing w:before="66" w:line="212" w:lineRule="auto"/>
        <w:ind w:left="20"/>
        <w:rPr>
          <w:sz w:val="15"/>
          <w:szCs w:val="15"/>
        </w:rPr>
      </w:pPr>
      <w:r>
        <w:rPr>
          <w:spacing w:val="4"/>
          <w:sz w:val="15"/>
          <w:szCs w:val="15"/>
        </w:rPr>
        <w:t>5.3</w:t>
      </w:r>
      <w:r>
        <w:rPr>
          <w:spacing w:val="18"/>
          <w:sz w:val="15"/>
          <w:szCs w:val="15"/>
        </w:rPr>
        <w:t xml:space="preserve">  </w:t>
      </w:r>
      <w:r>
        <w:rPr>
          <w:rFonts w:ascii="Times New Roman" w:eastAsia="Times New Roman" w:hAnsi="Times New Roman" w:cs="Times New Roman"/>
          <w:spacing w:val="4"/>
          <w:sz w:val="15"/>
          <w:szCs w:val="15"/>
        </w:rPr>
        <w:t>Q</w:t>
      </w:r>
      <w:r>
        <w:rPr>
          <w:rFonts w:ascii="Times New Roman" w:eastAsia="Times New Roman" w:hAnsi="Times New Roman" w:cs="Times New Roman"/>
          <w:spacing w:val="29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值测量</w:t>
      </w:r>
    </w:p>
    <w:p>
      <w:pPr>
        <w:pStyle w:val="BodyText"/>
        <w:spacing w:before="78" w:line="212" w:lineRule="auto"/>
        <w:ind w:left="22"/>
        <w:rPr>
          <w:sz w:val="15"/>
          <w:szCs w:val="15"/>
        </w:rPr>
        <w:sectPr>
          <w:headerReference w:type="default" r:id="rId10"/>
          <w:footerReference w:type="default" r:id="rId11"/>
          <w:pgSz w:w="7640" w:h="10800"/>
          <w:pgMar w:top="920" w:right="770" w:bottom="784" w:left="660" w:header="718" w:footer="665" w:gutter="0"/>
          <w:pgNumType w:start="3"/>
          <w:cols w:space="708"/>
        </w:sectPr>
      </w:pPr>
      <w:r>
        <w:rPr>
          <w:b/>
          <w:bCs/>
          <w:spacing w:val="6"/>
          <w:sz w:val="15"/>
          <w:szCs w:val="15"/>
        </w:rPr>
        <w:t>5.3.1</w:t>
      </w:r>
      <w:r>
        <w:rPr>
          <w:spacing w:val="21"/>
          <w:sz w:val="15"/>
          <w:szCs w:val="15"/>
        </w:rPr>
        <w:t xml:space="preserve">  </w:t>
      </w:r>
      <w:r>
        <w:rPr>
          <w:rFonts w:ascii="Times New Roman" w:eastAsia="Times New Roman" w:hAnsi="Times New Roman" w:cs="Times New Roman"/>
          <w:spacing w:val="6"/>
          <w:sz w:val="15"/>
          <w:szCs w:val="15"/>
        </w:rPr>
        <w:t>Q</w:t>
      </w:r>
      <w:r>
        <w:rPr>
          <w:rFonts w:ascii="Times New Roman" w:eastAsia="Times New Roman" w:hAnsi="Times New Roman" w:cs="Times New Roman"/>
          <w:spacing w:val="30"/>
          <w:w w:val="102"/>
          <w:sz w:val="15"/>
          <w:szCs w:val="15"/>
        </w:rPr>
        <w:t xml:space="preserve"> </w:t>
      </w:r>
      <w:r>
        <w:rPr>
          <w:spacing w:val="6"/>
          <w:sz w:val="15"/>
          <w:szCs w:val="15"/>
        </w:rPr>
        <w:t>值测量范围：10～500</w:t>
      </w:r>
    </w:p>
    <w:p>
      <w:pPr>
        <w:pStyle w:val="BodyText"/>
        <w:spacing w:before="68" w:line="212" w:lineRule="auto"/>
        <w:ind w:left="22"/>
        <w:rPr>
          <w:sz w:val="15"/>
          <w:szCs w:val="15"/>
        </w:rPr>
      </w:pPr>
      <w:r>
        <w:rPr>
          <w:b/>
          <w:bCs/>
          <w:spacing w:val="5"/>
          <w:sz w:val="15"/>
          <w:szCs w:val="15"/>
        </w:rPr>
        <w:t>5.3.2</w:t>
      </w:r>
      <w:r>
        <w:rPr>
          <w:spacing w:val="20"/>
          <w:w w:val="101"/>
          <w:sz w:val="15"/>
          <w:szCs w:val="15"/>
        </w:rPr>
        <w:t xml:space="preserve">  </w:t>
      </w:r>
      <w:r>
        <w:rPr>
          <w:rFonts w:ascii="Times New Roman" w:eastAsia="Times New Roman" w:hAnsi="Times New Roman" w:cs="Times New Roman"/>
          <w:spacing w:val="5"/>
          <w:sz w:val="15"/>
          <w:szCs w:val="15"/>
        </w:rPr>
        <w:t>Q</w:t>
      </w:r>
      <w:r>
        <w:rPr>
          <w:rFonts w:ascii="Times New Roman" w:eastAsia="Times New Roman" w:hAnsi="Times New Roman" w:cs="Times New Roman"/>
          <w:spacing w:val="1"/>
          <w:sz w:val="15"/>
          <w:szCs w:val="15"/>
        </w:rPr>
        <w:t xml:space="preserve">  </w:t>
      </w:r>
      <w:r>
        <w:rPr>
          <w:spacing w:val="5"/>
          <w:sz w:val="15"/>
          <w:szCs w:val="15"/>
        </w:rPr>
        <w:t>值测量误差</w:t>
      </w:r>
    </w:p>
    <w:p>
      <w:pPr>
        <w:pStyle w:val="BodyText"/>
        <w:spacing w:before="87" w:line="212" w:lineRule="auto"/>
        <w:ind w:left="22"/>
        <w:rPr>
          <w:sz w:val="15"/>
          <w:szCs w:val="15"/>
        </w:rPr>
      </w:pPr>
      <w:hyperlink r:id="rId12" w:history="1">
        <w:r>
          <w:rPr>
            <w:b/>
            <w:bCs/>
            <w:spacing w:val="14"/>
            <w:sz w:val="15"/>
            <w:szCs w:val="15"/>
          </w:rPr>
          <w:t>5.3.2.1</w:t>
        </w:r>
      </w:hyperlink>
      <w:r>
        <w:rPr>
          <w:spacing w:val="39"/>
          <w:sz w:val="15"/>
          <w:szCs w:val="15"/>
        </w:rPr>
        <w:t xml:space="preserve">  </w:t>
      </w:r>
      <w:r>
        <w:rPr>
          <w:spacing w:val="14"/>
          <w:sz w:val="15"/>
          <w:szCs w:val="15"/>
        </w:rPr>
        <w:t>回路指示</w:t>
      </w:r>
      <w:r>
        <w:rPr>
          <w:spacing w:val="-4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15"/>
          <w:szCs w:val="15"/>
        </w:rPr>
        <w:t>Q₁</w:t>
      </w:r>
      <w:r>
        <w:rPr>
          <w:rFonts w:ascii="Times New Roman" w:eastAsia="Times New Roman" w:hAnsi="Times New Roman" w:cs="Times New Roman"/>
          <w:spacing w:val="25"/>
          <w:sz w:val="15"/>
          <w:szCs w:val="15"/>
        </w:rPr>
        <w:t xml:space="preserve"> </w:t>
      </w:r>
      <w:r>
        <w:rPr>
          <w:spacing w:val="14"/>
          <w:sz w:val="15"/>
          <w:szCs w:val="15"/>
        </w:rPr>
        <w:t>误差：±(5～20)%±满度值的3%。</w:t>
      </w:r>
    </w:p>
    <w:p>
      <w:pPr>
        <w:pStyle w:val="BodyText"/>
        <w:spacing w:before="52" w:line="270" w:lineRule="auto"/>
        <w:ind w:left="20" w:right="9" w:firstLine="2"/>
        <w:rPr>
          <w:sz w:val="15"/>
          <w:szCs w:val="15"/>
        </w:rPr>
      </w:pPr>
      <w:hyperlink r:id="rId13" w:history="1">
        <w:r>
          <w:rPr>
            <w:b/>
            <w:bCs/>
            <w:spacing w:val="9"/>
            <w:sz w:val="15"/>
            <w:szCs w:val="15"/>
          </w:rPr>
          <w:t>5.3.2.2</w:t>
        </w:r>
      </w:hyperlink>
      <w:r>
        <w:rPr>
          <w:spacing w:val="36"/>
          <w:sz w:val="15"/>
          <w:szCs w:val="15"/>
        </w:rPr>
        <w:t xml:space="preserve">  </w:t>
      </w:r>
      <w:r>
        <w:rPr>
          <w:spacing w:val="9"/>
          <w:sz w:val="15"/>
          <w:szCs w:val="15"/>
        </w:rPr>
        <w:t>被测元件有效</w:t>
      </w:r>
      <w:r>
        <w:rPr>
          <w:spacing w:val="-42"/>
          <w:sz w:val="15"/>
          <w:szCs w:val="15"/>
        </w:rPr>
        <w:t xml:space="preserve"> </w:t>
      </w:r>
      <w:r>
        <w:rPr>
          <w:spacing w:val="9"/>
          <w:sz w:val="15"/>
          <w:szCs w:val="15"/>
        </w:rPr>
        <w:t>Q</w:t>
      </w:r>
      <w:r>
        <w:rPr>
          <w:spacing w:val="35"/>
          <w:sz w:val="15"/>
          <w:szCs w:val="15"/>
        </w:rPr>
        <w:t xml:space="preserve"> </w:t>
      </w:r>
      <w:r>
        <w:rPr>
          <w:spacing w:val="9"/>
          <w:sz w:val="15"/>
          <w:szCs w:val="15"/>
        </w:rPr>
        <w:t>值</w:t>
      </w:r>
      <w:r>
        <w:rPr>
          <w:spacing w:val="-19"/>
          <w:sz w:val="15"/>
          <w:szCs w:val="15"/>
        </w:rPr>
        <w:t xml:space="preserve"> </w:t>
      </w:r>
      <w:r>
        <w:rPr>
          <w:spacing w:val="9"/>
          <w:sz w:val="15"/>
          <w:szCs w:val="15"/>
        </w:rPr>
        <w:t>Q。</w:t>
      </w:r>
      <w:r>
        <w:rPr>
          <w:spacing w:val="-17"/>
          <w:sz w:val="15"/>
          <w:szCs w:val="15"/>
        </w:rPr>
        <w:t xml:space="preserve"> </w:t>
      </w:r>
      <w:r>
        <w:rPr>
          <w:spacing w:val="9"/>
          <w:sz w:val="15"/>
          <w:szCs w:val="15"/>
        </w:rPr>
        <w:t>误差：不同型号的Q 表以不同方式</w:t>
      </w:r>
      <w:r>
        <w:rPr>
          <w:spacing w:val="8"/>
          <w:sz w:val="15"/>
          <w:szCs w:val="15"/>
        </w:rPr>
        <w:t>给出，该项误差均</w:t>
      </w:r>
      <w:r>
        <w:rPr>
          <w:sz w:val="15"/>
          <w:szCs w:val="15"/>
        </w:rPr>
        <w:t xml:space="preserve"> </w:t>
      </w:r>
      <w:r>
        <w:rPr>
          <w:spacing w:val="2"/>
          <w:sz w:val="15"/>
          <w:szCs w:val="15"/>
        </w:rPr>
        <w:t>为参考性质。</w:t>
      </w:r>
    </w:p>
    <w:p>
      <w:pPr>
        <w:pStyle w:val="BodyText"/>
        <w:spacing w:before="65" w:line="224" w:lineRule="auto"/>
        <w:ind w:left="280"/>
        <w:rPr>
          <w:sz w:val="15"/>
          <w:szCs w:val="15"/>
        </w:rPr>
      </w:pPr>
      <w:r>
        <w:rPr>
          <w:spacing w:val="-11"/>
          <w:sz w:val="15"/>
          <w:szCs w:val="15"/>
        </w:rPr>
        <w:t>注：</w:t>
      </w:r>
    </w:p>
    <w:p>
      <w:pPr>
        <w:pStyle w:val="BodyText"/>
        <w:spacing w:before="18" w:line="212" w:lineRule="auto"/>
        <w:ind w:left="280"/>
        <w:rPr>
          <w:sz w:val="15"/>
          <w:szCs w:val="15"/>
        </w:rPr>
      </w:pPr>
      <w:r>
        <w:rPr>
          <w:spacing w:val="-6"/>
          <w:sz w:val="15"/>
          <w:szCs w:val="15"/>
        </w:rPr>
        <w:t>1  质量较好的</w:t>
      </w:r>
      <w:r>
        <w:rPr>
          <w:rFonts w:ascii="Times New Roman" w:eastAsia="Times New Roman" w:hAnsi="Times New Roman" w:cs="Times New Roman"/>
          <w:spacing w:val="-6"/>
          <w:sz w:val="15"/>
          <w:szCs w:val="15"/>
        </w:rPr>
        <w:t>Q</w:t>
      </w:r>
      <w:r>
        <w:rPr>
          <w:rFonts w:ascii="Times New Roman" w:eastAsia="Times New Roman" w:hAnsi="Times New Roman" w:cs="Times New Roman"/>
          <w:spacing w:val="9"/>
          <w:w w:val="102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 xml:space="preserve">表，在低频段(≤10 </w:t>
      </w:r>
      <w:r>
        <w:rPr>
          <w:rFonts w:ascii="Times New Roman" w:eastAsia="Times New Roman" w:hAnsi="Times New Roman" w:cs="Times New Roman"/>
          <w:spacing w:val="-6"/>
          <w:sz w:val="15"/>
          <w:szCs w:val="15"/>
        </w:rPr>
        <w:t>MHz),Q</w:t>
      </w:r>
      <w:r>
        <w:rPr>
          <w:spacing w:val="-6"/>
          <w:sz w:val="15"/>
          <w:szCs w:val="15"/>
        </w:rPr>
        <w:t>。。误差</w:t>
      </w:r>
      <w:r>
        <w:rPr>
          <w:spacing w:val="-7"/>
          <w:sz w:val="15"/>
          <w:szCs w:val="15"/>
        </w:rPr>
        <w:t xml:space="preserve">通常可认为等同于 </w:t>
      </w:r>
      <w:r>
        <w:rPr>
          <w:rFonts w:ascii="Times New Roman" w:eastAsia="Times New Roman" w:hAnsi="Times New Roman" w:cs="Times New Roman"/>
          <w:spacing w:val="-7"/>
          <w:sz w:val="15"/>
          <w:szCs w:val="15"/>
        </w:rPr>
        <w:t>Q₁</w:t>
      </w:r>
      <w:r>
        <w:rPr>
          <w:spacing w:val="-7"/>
          <w:sz w:val="15"/>
          <w:szCs w:val="15"/>
        </w:rPr>
        <w:t>误差。</w:t>
      </w:r>
    </w:p>
    <w:p>
      <w:pPr>
        <w:pStyle w:val="BodyText"/>
        <w:spacing w:before="62" w:line="221" w:lineRule="auto"/>
        <w:ind w:right="15"/>
        <w:jc w:val="right"/>
        <w:rPr>
          <w:rFonts w:ascii="FangSong" w:eastAsia="FangSong" w:hAnsi="FangSong" w:cs="FangSong"/>
          <w:sz w:val="15"/>
          <w:szCs w:val="15"/>
        </w:rPr>
      </w:pPr>
      <w:r>
        <w:rPr>
          <w:rFonts w:ascii="FangSong" w:eastAsia="FangSong" w:hAnsi="FangSong" w:cs="FangSong"/>
          <w:spacing w:val="-4"/>
          <w:sz w:val="15"/>
          <w:szCs w:val="15"/>
        </w:rPr>
        <w:t>2</w:t>
      </w:r>
      <w:r>
        <w:rPr>
          <w:rFonts w:ascii="FangSong" w:eastAsia="FangSong" w:hAnsi="FangSong" w:cs="FangSong"/>
          <w:spacing w:val="-4"/>
          <w:sz w:val="15"/>
          <w:szCs w:val="15"/>
        </w:rPr>
        <w:t xml:space="preserve">  </w:t>
      </w:r>
      <w:r>
        <w:rPr>
          <w:rFonts w:ascii="FangSong" w:eastAsia="FangSong" w:hAnsi="FangSong" w:cs="FangSong"/>
          <w:spacing w:val="-4"/>
          <w:sz w:val="15"/>
          <w:szCs w:val="15"/>
        </w:rPr>
        <w:t>有些</w:t>
      </w:r>
      <w:r>
        <w:rPr>
          <w:spacing w:val="-4"/>
          <w:sz w:val="15"/>
          <w:szCs w:val="15"/>
        </w:rPr>
        <w:t xml:space="preserve">Q </w:t>
      </w:r>
      <w:r>
        <w:rPr>
          <w:rFonts w:ascii="FangSong" w:eastAsia="FangSong" w:hAnsi="FangSong" w:cs="FangSong"/>
          <w:spacing w:val="-4"/>
          <w:sz w:val="15"/>
          <w:szCs w:val="15"/>
        </w:rPr>
        <w:t>表使用说明书中规定：指示</w:t>
      </w:r>
      <w:r>
        <w:rPr>
          <w:rFonts w:ascii="FangSong" w:eastAsia="FangSong" w:hAnsi="FangSong" w:cs="FangSong"/>
          <w:spacing w:val="-26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Q</w:t>
      </w:r>
      <w:r>
        <w:rPr>
          <w:rFonts w:ascii="Calibri" w:eastAsia="Calibri" w:hAnsi="Calibri" w:cs="Calibri"/>
          <w:spacing w:val="-4"/>
          <w:sz w:val="15"/>
          <w:szCs w:val="15"/>
        </w:rPr>
        <w:t>₁</w:t>
      </w:r>
      <w:r>
        <w:rPr>
          <w:rFonts w:ascii="Calibri" w:eastAsia="Calibri" w:hAnsi="Calibri" w:cs="Calibri"/>
          <w:spacing w:val="2"/>
          <w:sz w:val="15"/>
          <w:szCs w:val="15"/>
        </w:rPr>
        <w:t xml:space="preserve">  </w:t>
      </w:r>
      <w:r>
        <w:rPr>
          <w:rFonts w:ascii="FangSong" w:eastAsia="FangSong" w:hAnsi="FangSong" w:cs="FangSong"/>
          <w:spacing w:val="-4"/>
          <w:sz w:val="15"/>
          <w:szCs w:val="15"/>
        </w:rPr>
        <w:t>经均值回路残量</w:t>
      </w:r>
      <w:r>
        <w:rPr>
          <w:rFonts w:ascii="FangSong" w:eastAsia="FangSong" w:hAnsi="FangSong" w:cs="FangSong"/>
          <w:spacing w:val="-5"/>
          <w:sz w:val="15"/>
          <w:szCs w:val="15"/>
        </w:rPr>
        <w:t>修正后给出被测元件有效</w:t>
      </w:r>
      <w:r>
        <w:rPr>
          <w:rFonts w:ascii="FangSong" w:eastAsia="FangSong" w:hAnsi="FangSong" w:cs="FangSong"/>
          <w:spacing w:val="-43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 xml:space="preserve">Q,   </w:t>
      </w:r>
      <w:r>
        <w:rPr>
          <w:rFonts w:ascii="FangSong" w:eastAsia="FangSong" w:hAnsi="FangSong" w:cs="FangSong"/>
          <w:spacing w:val="-5"/>
          <w:sz w:val="15"/>
          <w:szCs w:val="15"/>
        </w:rPr>
        <w:t>此时</w:t>
      </w:r>
    </w:p>
    <w:p>
      <w:pPr>
        <w:pStyle w:val="BodyText"/>
        <w:spacing w:before="38" w:line="212" w:lineRule="auto"/>
        <w:ind w:left="499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0"/>
          <w:sz w:val="15"/>
          <w:szCs w:val="15"/>
        </w:rPr>
        <w:t>Q</w:t>
      </w:r>
      <w:r>
        <w:rPr>
          <w:spacing w:val="-10"/>
          <w:sz w:val="15"/>
          <w:szCs w:val="15"/>
        </w:rPr>
        <w:t xml:space="preserve">。误差与 </w:t>
      </w:r>
      <w:r>
        <w:rPr>
          <w:rFonts w:ascii="Times New Roman" w:eastAsia="Times New Roman" w:hAnsi="Times New Roman" w:cs="Times New Roman"/>
          <w:spacing w:val="-10"/>
          <w:sz w:val="15"/>
          <w:szCs w:val="15"/>
        </w:rPr>
        <w:t xml:space="preserve">Q; </w:t>
      </w:r>
      <w:r>
        <w:rPr>
          <w:spacing w:val="-10"/>
          <w:sz w:val="15"/>
          <w:szCs w:val="15"/>
        </w:rPr>
        <w:t>误差的关系见引用文献或</w:t>
      </w:r>
      <w:r>
        <w:rPr>
          <w:spacing w:val="-2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5"/>
          <w:szCs w:val="15"/>
        </w:rPr>
        <w:t xml:space="preserve">Q </w:t>
      </w:r>
      <w:r>
        <w:rPr>
          <w:spacing w:val="-10"/>
          <w:sz w:val="15"/>
          <w:szCs w:val="15"/>
        </w:rPr>
        <w:t>表说明书。</w:t>
      </w:r>
    </w:p>
    <w:p>
      <w:pPr>
        <w:spacing w:line="212" w:lineRule="auto"/>
        <w:rPr>
          <w:sz w:val="15"/>
          <w:szCs w:val="15"/>
        </w:rPr>
        <w:sectPr>
          <w:headerReference w:type="default" r:id="rId14"/>
          <w:footerReference w:type="default" r:id="rId15"/>
          <w:type w:val="nextPage"/>
          <w:pgSz w:w="7640" w:h="10800"/>
          <w:pgMar w:top="920" w:right="770" w:bottom="784" w:left="660" w:header="718" w:footer="665" w:gutter="0"/>
          <w:pgNumType w:start="4"/>
          <w:cols w:space="708"/>
          <w:titlePg w:val="0"/>
        </w:sectPr>
      </w:pPr>
    </w:p>
    <w:p>
      <w:pPr>
        <w:pStyle w:val="BodyText"/>
        <w:spacing w:before="151" w:line="258" w:lineRule="auto"/>
        <w:ind w:left="509" w:right="46" w:hanging="230"/>
        <w:rPr>
          <w:rFonts w:ascii="FangSong" w:eastAsia="FangSong" w:hAnsi="FangSong" w:cs="FangSong"/>
          <w:sz w:val="14"/>
          <w:szCs w:val="14"/>
        </w:rPr>
      </w:pPr>
      <w:r>
        <w:rPr>
          <w:rFonts w:ascii="FangSong" w:eastAsia="FangSong" w:hAnsi="FangSong" w:cs="FangSong"/>
          <w:spacing w:val="1"/>
          <w:sz w:val="14"/>
          <w:szCs w:val="14"/>
        </w:rPr>
        <w:t>3</w:t>
      </w:r>
      <w:r>
        <w:rPr>
          <w:rFonts w:ascii="FangSong" w:eastAsia="FangSong" w:hAnsi="FangSong" w:cs="FangSong"/>
          <w:spacing w:val="1"/>
          <w:sz w:val="14"/>
          <w:szCs w:val="14"/>
        </w:rPr>
        <w:t xml:space="preserve">  </w:t>
      </w:r>
      <w:r>
        <w:rPr>
          <w:rFonts w:ascii="FangSong" w:eastAsia="FangSong" w:hAnsi="FangSong" w:cs="FangSong"/>
          <w:spacing w:val="1"/>
          <w:sz w:val="14"/>
          <w:szCs w:val="14"/>
        </w:rPr>
        <w:t>许多高频</w:t>
      </w:r>
      <w:r>
        <w:rPr>
          <w:rFonts w:ascii="FangSong" w:eastAsia="FangSong" w:hAnsi="FangSong" w:cs="FangSong"/>
          <w:spacing w:val="-20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4"/>
          <w:szCs w:val="14"/>
        </w:rPr>
        <w:t>Q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>
        <w:rPr>
          <w:rFonts w:ascii="FangSong" w:eastAsia="FangSong" w:hAnsi="FangSong" w:cs="FangSong"/>
          <w:spacing w:val="1"/>
          <w:sz w:val="14"/>
          <w:szCs w:val="14"/>
        </w:rPr>
        <w:t>表未给出被测有效</w:t>
      </w:r>
      <w:r>
        <w:rPr>
          <w:rFonts w:ascii="FangSong" w:eastAsia="FangSong" w:hAnsi="FangSong" w:cs="FangSong"/>
          <w:spacing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4"/>
          <w:szCs w:val="14"/>
        </w:rPr>
        <w:t>Q</w:t>
      </w:r>
      <w:r>
        <w:rPr>
          <w:spacing w:val="1"/>
          <w:sz w:val="14"/>
          <w:szCs w:val="14"/>
        </w:rPr>
        <w:t>。</w:t>
      </w:r>
      <w:r>
        <w:rPr>
          <w:rFonts w:ascii="FangSong" w:eastAsia="FangSong" w:hAnsi="FangSong" w:cs="FangSong"/>
          <w:spacing w:val="1"/>
          <w:sz w:val="14"/>
          <w:szCs w:val="14"/>
        </w:rPr>
        <w:t>测量误差，此时，利用本校准规范7.3.3校准方法给出的</w:t>
      </w:r>
      <w:r>
        <w:rPr>
          <w:rFonts w:ascii="FangSong" w:eastAsia="FangSong" w:hAnsi="FangSong" w:cs="FangSong"/>
          <w:sz w:val="14"/>
          <w:szCs w:val="14"/>
        </w:rPr>
        <w:t xml:space="preserve"> </w:t>
      </w:r>
      <w:r>
        <w:rPr>
          <w:rFonts w:ascii="FangSong" w:eastAsia="FangSong" w:hAnsi="FangSong" w:cs="FangSong"/>
          <w:spacing w:val="-7"/>
          <w:sz w:val="14"/>
          <w:szCs w:val="14"/>
        </w:rPr>
        <w:t>δo</w:t>
      </w:r>
      <w:r>
        <w:rPr>
          <w:rFonts w:ascii="FangSong" w:eastAsia="FangSong" w:hAnsi="FangSong" w:cs="FangSong"/>
          <w:spacing w:val="25"/>
          <w:w w:val="101"/>
          <w:sz w:val="14"/>
          <w:szCs w:val="14"/>
        </w:rPr>
        <w:t xml:space="preserve"> </w:t>
      </w:r>
      <w:r>
        <w:rPr>
          <w:rFonts w:ascii="FangSong" w:eastAsia="FangSong" w:hAnsi="FangSong" w:cs="FangSong"/>
          <w:spacing w:val="-7"/>
          <w:sz w:val="14"/>
          <w:szCs w:val="14"/>
        </w:rPr>
        <w:t>有典型参考意义。</w:t>
      </w:r>
    </w:p>
    <w:p>
      <w:pPr>
        <w:spacing w:before="231" w:line="222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6</w:t>
      </w:r>
      <w:r>
        <w:rPr>
          <w:rFonts w:ascii="SimHei" w:eastAsia="SimHei" w:hAnsi="SimHei" w:cs="SimHei"/>
          <w:spacing w:val="71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通用技术要求</w:t>
      </w:r>
    </w:p>
    <w:p>
      <w:pPr>
        <w:pStyle w:val="BodyText"/>
        <w:spacing w:before="178" w:line="219" w:lineRule="auto"/>
        <w:ind w:left="329"/>
      </w:pPr>
      <w:r>
        <w:t>仪器送校时应附有使用说明书和上次的校准证书。</w:t>
      </w:r>
    </w:p>
    <w:p>
      <w:pPr>
        <w:pStyle w:val="BodyText"/>
        <w:spacing w:before="36" w:line="268" w:lineRule="auto"/>
        <w:ind w:firstLine="329"/>
      </w:pPr>
      <w:r>
        <w:rPr>
          <w:spacing w:val="10"/>
        </w:rPr>
        <w:t>被校</w:t>
      </w:r>
      <w:r>
        <w:rPr>
          <w:rFonts w:ascii="Times New Roman" w:eastAsia="Times New Roman" w:hAnsi="Times New Roman" w:cs="Times New Roman"/>
          <w:spacing w:val="10"/>
        </w:rPr>
        <w:t xml:space="preserve">Q </w:t>
      </w:r>
      <w:r>
        <w:rPr>
          <w:spacing w:val="10"/>
        </w:rPr>
        <w:t>表应结构完整，无影响正常工作的机械损伤(如：旋钮松动，表针弯曲，</w:t>
      </w:r>
      <w:r>
        <w:rPr>
          <w:spacing w:val="3"/>
        </w:rPr>
        <w:t xml:space="preserve"> </w:t>
      </w:r>
      <w:r>
        <w:rPr>
          <w:spacing w:val="-4"/>
        </w:rPr>
        <w:t>度盘不清晰等)。</w:t>
      </w:r>
    </w:p>
    <w:p>
      <w:pPr>
        <w:pStyle w:val="BodyText"/>
        <w:spacing w:before="25" w:line="268" w:lineRule="auto"/>
        <w:ind w:right="36" w:firstLine="329"/>
      </w:pPr>
      <w:r>
        <w:rPr>
          <w:spacing w:val="6"/>
        </w:rPr>
        <w:t>送校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Q </w:t>
      </w:r>
      <w:r>
        <w:rPr>
          <w:spacing w:val="6"/>
        </w:rPr>
        <w:t>表应能正常电气操作(如：电表能机械调零，所有</w:t>
      </w:r>
      <w:r>
        <w:rPr>
          <w:spacing w:val="5"/>
        </w:rPr>
        <w:t>电位器能平滑可调，4只</w:t>
      </w:r>
      <w:r>
        <w:t xml:space="preserve"> </w:t>
      </w:r>
      <w:r>
        <w:t>测量接线柱应整洁并接插自如等)。</w:t>
      </w:r>
    </w:p>
    <w:p>
      <w:pPr>
        <w:pStyle w:val="BodyText"/>
        <w:spacing w:before="35" w:line="212" w:lineRule="auto"/>
        <w:ind w:left="329"/>
      </w:pPr>
      <w:r>
        <w:rPr>
          <w:spacing w:val="2"/>
        </w:rPr>
        <w:t>送校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Q </w:t>
      </w:r>
      <w:r>
        <w:rPr>
          <w:spacing w:val="2"/>
        </w:rPr>
        <w:t>表应有明晰的型号、出厂编号、测</w:t>
      </w:r>
      <w:r>
        <w:rPr>
          <w:spacing w:val="1"/>
        </w:rPr>
        <w:t>试回路接线图等标记。</w:t>
      </w:r>
    </w:p>
    <w:p>
      <w:pPr>
        <w:spacing w:before="220" w:line="222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7</w:t>
      </w:r>
      <w:r>
        <w:rPr>
          <w:rFonts w:ascii="SimHei" w:eastAsia="SimHei" w:hAnsi="SimHei" w:cs="SimHei"/>
          <w:spacing w:val="-4"/>
          <w:sz w:val="16"/>
          <w:szCs w:val="16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校准</w:t>
      </w:r>
    </w:p>
    <w:p>
      <w:pPr>
        <w:pStyle w:val="BodyText"/>
        <w:spacing w:before="179" w:line="219" w:lineRule="auto"/>
      </w:pPr>
      <w:r>
        <w:rPr>
          <w:spacing w:val="2"/>
        </w:rPr>
        <w:t>7.1</w:t>
      </w:r>
      <w:r>
        <w:t xml:space="preserve">  </w:t>
      </w:r>
      <w:r>
        <w:rPr>
          <w:spacing w:val="2"/>
        </w:rPr>
        <w:t>校准条件</w:t>
      </w:r>
    </w:p>
    <w:p>
      <w:pPr>
        <w:pStyle w:val="BodyText"/>
        <w:spacing w:before="61" w:line="219" w:lineRule="auto"/>
        <w:ind w:left="2"/>
      </w:pPr>
      <w:r>
        <w:rPr>
          <w:b/>
          <w:bCs/>
          <w:spacing w:val="-3"/>
        </w:rPr>
        <w:t>7.1.1</w:t>
      </w:r>
      <w:r>
        <w:rPr>
          <w:spacing w:val="80"/>
        </w:rPr>
        <w:t xml:space="preserve"> </w:t>
      </w:r>
      <w:r>
        <w:rPr>
          <w:spacing w:val="-3"/>
        </w:rPr>
        <w:t>环境条件</w:t>
      </w:r>
    </w:p>
    <w:p>
      <w:pPr>
        <w:pStyle w:val="BodyText"/>
        <w:spacing w:before="80" w:line="230" w:lineRule="exact"/>
        <w:ind w:left="329"/>
      </w:pPr>
      <w:r>
        <w:rPr>
          <w:spacing w:val="-1"/>
          <w:position w:val="5"/>
        </w:rPr>
        <w:t>环境温度：(20±5)℃</w:t>
      </w:r>
    </w:p>
    <w:p>
      <w:pPr>
        <w:pStyle w:val="BodyText"/>
        <w:spacing w:line="220" w:lineRule="auto"/>
        <w:ind w:left="329"/>
      </w:pPr>
      <w:r>
        <w:rPr>
          <w:spacing w:val="10"/>
        </w:rPr>
        <w:t>相对湿度：不大于80%</w:t>
      </w:r>
    </w:p>
    <w:p>
      <w:pPr>
        <w:pStyle w:val="BodyText"/>
        <w:spacing w:before="40" w:line="220" w:lineRule="auto"/>
        <w:ind w:left="329"/>
        <w:rPr>
          <w:rFonts w:ascii="Times New Roman" w:eastAsia="Times New Roman" w:hAnsi="Times New Roman" w:cs="Times New Roman"/>
        </w:rPr>
      </w:pPr>
      <w:r>
        <w:rPr>
          <w:spacing w:val="2"/>
        </w:rPr>
        <w:t>大气压强：(86～106)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</w:rPr>
        <w:t>kPa</w:t>
      </w:r>
    </w:p>
    <w:p>
      <w:pPr>
        <w:pStyle w:val="BodyText"/>
        <w:spacing w:before="50" w:line="212" w:lineRule="auto"/>
        <w:ind w:left="329"/>
        <w:rPr>
          <w:rFonts w:ascii="Times New Roman" w:eastAsia="Times New Roman" w:hAnsi="Times New Roman" w:cs="Times New Roman"/>
        </w:rPr>
      </w:pPr>
      <w:r>
        <w:rPr>
          <w:spacing w:val="3"/>
        </w:rPr>
        <w:t>电源：(220±11)</w:t>
      </w:r>
      <w:r>
        <w:rPr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V,(50±1)</w:t>
      </w:r>
      <w:r>
        <w:rPr>
          <w:rFonts w:ascii="Times New Roman" w:eastAsia="Times New Roman" w:hAnsi="Times New Roman" w:cs="Times New Roman"/>
        </w:rPr>
        <w:t>Hz</w:t>
      </w:r>
    </w:p>
    <w:p>
      <w:pPr>
        <w:pStyle w:val="BodyText"/>
        <w:spacing w:before="64" w:line="219" w:lineRule="auto"/>
        <w:ind w:left="329"/>
      </w:pPr>
      <w:r>
        <w:t>周围应保持整洁，无影响正常工作的机械振动及电磁干扰。</w:t>
      </w:r>
    </w:p>
    <w:p>
      <w:pPr>
        <w:pStyle w:val="BodyText"/>
        <w:spacing w:before="61" w:line="220" w:lineRule="auto"/>
        <w:ind w:left="2"/>
      </w:pPr>
      <w:r>
        <w:rPr>
          <w:b/>
          <w:bCs/>
          <w:spacing w:val="-1"/>
        </w:rPr>
        <w:t>7.1.2</w:t>
      </w:r>
      <w:r>
        <w:rPr>
          <w:spacing w:val="87"/>
          <w:w w:val="101"/>
        </w:rPr>
        <w:t xml:space="preserve"> </w:t>
      </w:r>
      <w:r>
        <w:rPr>
          <w:spacing w:val="-1"/>
        </w:rPr>
        <w:t>校准用标准设备</w:t>
      </w:r>
    </w:p>
    <w:p>
      <w:pPr>
        <w:pStyle w:val="BodyText"/>
        <w:spacing w:before="59" w:line="219" w:lineRule="auto"/>
        <w:ind w:left="2"/>
      </w:pPr>
      <w:hyperlink r:id="rId16" w:history="1">
        <w:r>
          <w:rPr>
            <w:b/>
            <w:bCs/>
            <w:spacing w:val="-4"/>
          </w:rPr>
          <w:t>7.1.2.1</w:t>
        </w:r>
      </w:hyperlink>
      <w:r>
        <w:rPr>
          <w:spacing w:val="16"/>
        </w:rPr>
        <w:t xml:space="preserve">  </w:t>
      </w:r>
      <w:r>
        <w:rPr>
          <w:spacing w:val="-4"/>
        </w:rPr>
        <w:t>电容测量仪</w:t>
      </w:r>
    </w:p>
    <w:p>
      <w:pPr>
        <w:pStyle w:val="BodyText"/>
        <w:spacing w:before="50" w:line="250" w:lineRule="exact"/>
        <w:ind w:left="329"/>
      </w:pPr>
      <w:r>
        <w:rPr>
          <w:spacing w:val="5"/>
          <w:position w:val="6"/>
        </w:rPr>
        <w:t>误差不超过±0.3%的各类电容测量仪或</w:t>
      </w:r>
      <w:r>
        <w:rPr>
          <w:rFonts w:ascii="Times New Roman" w:eastAsia="Times New Roman" w:hAnsi="Times New Roman" w:cs="Times New Roman"/>
          <w:position w:val="6"/>
        </w:rPr>
        <w:t>LCR</w:t>
      </w:r>
      <w:r>
        <w:rPr>
          <w:rFonts w:ascii="Times New Roman" w:eastAsia="Times New Roman" w:hAnsi="Times New Roman" w:cs="Times New Roman"/>
          <w:spacing w:val="38"/>
          <w:position w:val="6"/>
        </w:rPr>
        <w:t xml:space="preserve"> </w:t>
      </w:r>
      <w:r>
        <w:rPr>
          <w:spacing w:val="5"/>
          <w:position w:val="6"/>
        </w:rPr>
        <w:t>表。</w:t>
      </w:r>
    </w:p>
    <w:p>
      <w:pPr>
        <w:pStyle w:val="BodyText"/>
        <w:spacing w:before="1" w:line="219" w:lineRule="auto"/>
        <w:ind w:left="2"/>
      </w:pPr>
      <w:hyperlink r:id="rId17" w:history="1">
        <w:r>
          <w:rPr>
            <w:b/>
            <w:bCs/>
            <w:spacing w:val="-2"/>
          </w:rPr>
          <w:t>7.1.2.2</w:t>
        </w:r>
      </w:hyperlink>
      <w:r>
        <w:rPr>
          <w:spacing w:val="-2"/>
        </w:rPr>
        <w:t xml:space="preserve">  频率计</w:t>
      </w:r>
    </w:p>
    <w:p>
      <w:pPr>
        <w:pStyle w:val="BodyText"/>
        <w:spacing w:before="39" w:line="212" w:lineRule="auto"/>
        <w:ind w:left="329"/>
      </w:pPr>
      <w:r>
        <w:rPr>
          <w:spacing w:val="7"/>
        </w:rPr>
        <w:t xml:space="preserve">测量范围：100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7"/>
        </w:rPr>
        <w:t xml:space="preserve">~100    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7"/>
        </w:rPr>
        <w:t>,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7"/>
        </w:rPr>
        <w:t>灵敏度优于10</w:t>
      </w:r>
      <w:r>
        <w:rPr>
          <w:rFonts w:ascii="Times New Roman" w:eastAsia="Times New Roman" w:hAnsi="Times New Roman" w:cs="Times New Roman"/>
        </w:rPr>
        <w:t>mV</w:t>
      </w:r>
      <w:r>
        <w:rPr>
          <w:rFonts w:ascii="Times New Roman" w:eastAsia="Times New Roman" w:hAnsi="Times New Roman" w:cs="Times New Roman"/>
          <w:spacing w:val="7"/>
        </w:rPr>
        <w:t xml:space="preserve">,   </w:t>
      </w:r>
      <w:r>
        <w:rPr>
          <w:spacing w:val="7"/>
        </w:rPr>
        <w:t>误差不超过±0.1%的各类频</w:t>
      </w:r>
    </w:p>
    <w:p>
      <w:pPr>
        <w:pStyle w:val="BodyText"/>
        <w:spacing w:before="67" w:line="219" w:lineRule="auto"/>
      </w:pPr>
      <w:r>
        <w:rPr>
          <w:spacing w:val="-7"/>
        </w:rPr>
        <w:t>率计。</w:t>
      </w:r>
    </w:p>
    <w:p>
      <w:pPr>
        <w:pStyle w:val="BodyText"/>
        <w:spacing w:before="45" w:line="212" w:lineRule="auto"/>
        <w:ind w:left="2"/>
      </w:pPr>
      <w:hyperlink r:id="rId18" w:history="1">
        <w:r>
          <w:rPr>
            <w:b/>
            <w:bCs/>
          </w:rPr>
          <w:t>7.1.2.3</w:t>
        </w:r>
      </w:hyperlink>
      <w:r>
        <w:t xml:space="preserve">  </w:t>
      </w:r>
      <w:r>
        <w:rPr>
          <w:rFonts w:ascii="Times New Roman" w:eastAsia="Times New Roman" w:hAnsi="Times New Roman" w:cs="Times New Roman"/>
        </w:rPr>
        <w:t>Q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t>值标准量具</w:t>
      </w:r>
    </w:p>
    <w:p>
      <w:pPr>
        <w:pStyle w:val="BodyText"/>
        <w:spacing w:before="66" w:line="212" w:lineRule="auto"/>
        <w:ind w:left="329"/>
        <w:sectPr>
          <w:headerReference w:type="default" r:id="rId19"/>
          <w:footerReference w:type="default" r:id="rId20"/>
          <w:pgSz w:w="7640" w:h="10800"/>
          <w:pgMar w:top="929" w:right="570" w:bottom="797" w:left="860" w:header="734" w:footer="688" w:gutter="0"/>
          <w:pgNumType w:start="5"/>
          <w:cols w:space="708"/>
        </w:sectPr>
      </w:pPr>
      <w:r>
        <w:rPr>
          <w:spacing w:val="6"/>
        </w:rPr>
        <w:t>有效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Q </w:t>
      </w:r>
      <w:r>
        <w:rPr>
          <w:spacing w:val="6"/>
        </w:rPr>
        <w:t>值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Q</w:t>
      </w:r>
      <w:r>
        <w:rPr>
          <w:spacing w:val="6"/>
        </w:rPr>
        <w:t>。误差：±(2～5)%</w:t>
      </w:r>
    </w:p>
    <w:p>
      <w:pPr>
        <w:pStyle w:val="BodyText"/>
        <w:spacing w:before="82" w:line="220" w:lineRule="auto"/>
        <w:ind w:left="329"/>
      </w:pPr>
      <w:r>
        <w:rPr>
          <w:spacing w:val="5"/>
        </w:rPr>
        <w:t>有效调谐电容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C</w:t>
      </w:r>
      <w:r>
        <w:rPr>
          <w:spacing w:val="5"/>
        </w:rPr>
        <w:t>。误差：±(1～2)%</w:t>
      </w:r>
    </w:p>
    <w:p>
      <w:pPr>
        <w:pStyle w:val="BodyText"/>
        <w:spacing w:before="78" w:line="241" w:lineRule="exact"/>
        <w:ind w:left="329"/>
        <w:rPr>
          <w:sz w:val="14"/>
          <w:szCs w:val="14"/>
        </w:rPr>
      </w:pPr>
      <w:r>
        <w:rPr>
          <w:spacing w:val="-8"/>
          <w:position w:val="7"/>
          <w:sz w:val="14"/>
          <w:szCs w:val="14"/>
        </w:rPr>
        <w:t>注 ：Q。 和</w:t>
      </w:r>
      <w:r>
        <w:rPr>
          <w:spacing w:val="-24"/>
          <w:position w:val="7"/>
          <w:sz w:val="14"/>
          <w:szCs w:val="14"/>
        </w:rPr>
        <w:t xml:space="preserve"> </w:t>
      </w:r>
      <w:r>
        <w:rPr>
          <w:spacing w:val="-8"/>
          <w:position w:val="7"/>
          <w:sz w:val="14"/>
          <w:szCs w:val="14"/>
        </w:rPr>
        <w:t>C。值处在</w:t>
      </w:r>
      <w:r>
        <w:rPr>
          <w:spacing w:val="-35"/>
          <w:position w:val="7"/>
          <w:sz w:val="14"/>
          <w:szCs w:val="14"/>
        </w:rPr>
        <w:t xml:space="preserve"> </w:t>
      </w:r>
      <w:r>
        <w:rPr>
          <w:spacing w:val="-8"/>
          <w:position w:val="7"/>
          <w:sz w:val="14"/>
          <w:szCs w:val="14"/>
        </w:rPr>
        <w:t>Q</w:t>
      </w:r>
      <w:r>
        <w:rPr>
          <w:spacing w:val="14"/>
          <w:position w:val="7"/>
          <w:sz w:val="14"/>
          <w:szCs w:val="14"/>
        </w:rPr>
        <w:t xml:space="preserve"> </w:t>
      </w:r>
      <w:r>
        <w:rPr>
          <w:spacing w:val="-8"/>
          <w:position w:val="7"/>
          <w:sz w:val="14"/>
          <w:szCs w:val="14"/>
        </w:rPr>
        <w:t>表的典型测量范</w:t>
      </w:r>
      <w:r>
        <w:rPr>
          <w:spacing w:val="-9"/>
          <w:position w:val="7"/>
          <w:sz w:val="14"/>
          <w:szCs w:val="14"/>
        </w:rPr>
        <w:t>围内。</w:t>
      </w:r>
    </w:p>
    <w:p>
      <w:pPr>
        <w:pStyle w:val="BodyText"/>
        <w:spacing w:before="1" w:line="220" w:lineRule="auto"/>
      </w:pPr>
      <w:r>
        <w:rPr>
          <w:spacing w:val="1"/>
        </w:rPr>
        <w:t>7.2  校准项目</w:t>
      </w:r>
    </w:p>
    <w:p>
      <w:pPr>
        <w:pStyle w:val="BodyText"/>
        <w:spacing w:before="33" w:line="212" w:lineRule="auto"/>
        <w:ind w:left="329"/>
      </w:pPr>
      <w:r>
        <w:rPr>
          <w:spacing w:val="5"/>
        </w:rPr>
        <w:t>高频</w:t>
      </w:r>
      <w:r>
        <w:rPr>
          <w:rFonts w:ascii="Times New Roman" w:eastAsia="Times New Roman" w:hAnsi="Times New Roman" w:cs="Times New Roman"/>
          <w:spacing w:val="5"/>
        </w:rPr>
        <w:t xml:space="preserve">Q </w:t>
      </w:r>
      <w:r>
        <w:rPr>
          <w:spacing w:val="5"/>
        </w:rPr>
        <w:t>表的受校部位和内容见表1。</w:t>
      </w:r>
    </w:p>
    <w:p>
      <w:pPr>
        <w:pStyle w:val="BodyText"/>
        <w:spacing w:before="82" w:line="220" w:lineRule="auto"/>
      </w:pPr>
      <w:r>
        <w:rPr>
          <w:spacing w:val="-3"/>
        </w:rPr>
        <w:t>7.3</w:t>
      </w:r>
      <w:r>
        <w:rPr>
          <w:spacing w:val="74"/>
        </w:rPr>
        <w:t xml:space="preserve"> </w:t>
      </w:r>
      <w:r>
        <w:rPr>
          <w:spacing w:val="-3"/>
        </w:rPr>
        <w:t>校准方法</w:t>
      </w:r>
    </w:p>
    <w:p>
      <w:pPr>
        <w:pStyle w:val="BodyText"/>
        <w:spacing w:before="49" w:line="219" w:lineRule="auto"/>
        <w:ind w:left="2"/>
      </w:pPr>
      <w:r>
        <w:rPr>
          <w:b/>
          <w:bCs/>
          <w:spacing w:val="-1"/>
        </w:rPr>
        <w:t>7.3.1</w:t>
      </w:r>
      <w:r>
        <w:rPr>
          <w:spacing w:val="92"/>
        </w:rPr>
        <w:t xml:space="preserve"> </w:t>
      </w:r>
      <w:r>
        <w:rPr>
          <w:spacing w:val="-1"/>
        </w:rPr>
        <w:t>调谐电容器低频示值的校准</w:t>
      </w:r>
    </w:p>
    <w:p>
      <w:pPr>
        <w:pStyle w:val="BodyText"/>
        <w:spacing w:before="35" w:line="262" w:lineRule="auto"/>
        <w:ind w:right="53" w:firstLine="2"/>
      </w:pPr>
      <w:hyperlink r:id="rId21" w:history="1">
        <w:r>
          <w:rPr>
            <w:b/>
            <w:bCs/>
            <w:spacing w:val="5"/>
          </w:rPr>
          <w:t>7.3.1.1</w:t>
        </w:r>
      </w:hyperlink>
      <w:r>
        <w:rPr>
          <w:spacing w:val="5"/>
        </w:rPr>
        <w:t xml:space="preserve">  校准调谐电容低频刻度时仪器连接框图如图2所示。</w:t>
      </w:r>
      <w:r>
        <w:rPr>
          <w:rFonts w:ascii="Times New Roman" w:eastAsia="Times New Roman" w:hAnsi="Times New Roman" w:cs="Times New Roman"/>
          <w:spacing w:val="5"/>
        </w:rPr>
        <w:t>Q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5"/>
        </w:rPr>
        <w:t>表调谐电容</w:t>
      </w:r>
      <w:r>
        <w:rPr>
          <w:spacing w:val="4"/>
        </w:rPr>
        <w:t>器低频示</w:t>
      </w:r>
      <w:r>
        <w:t xml:space="preserve"> </w:t>
      </w:r>
      <w:r>
        <w:rPr>
          <w:spacing w:val="1"/>
        </w:rPr>
        <w:t>值的校准点和记录格式见附录A 表</w:t>
      </w:r>
      <w:r>
        <w:rPr>
          <w:spacing w:val="-33"/>
        </w:rPr>
        <w:t xml:space="preserve"> </w:t>
      </w:r>
      <w:r>
        <w:rPr>
          <w:spacing w:val="1"/>
        </w:rPr>
        <w:t>A1。</w:t>
      </w:r>
    </w:p>
    <w:p>
      <w:pPr>
        <w:pStyle w:val="BodyText"/>
        <w:spacing w:before="36" w:line="212" w:lineRule="auto"/>
        <w:ind w:left="2"/>
      </w:pPr>
      <w:hyperlink r:id="rId22" w:history="1">
        <w:r>
          <w:rPr>
            <w:b/>
            <w:bCs/>
            <w:spacing w:val="2"/>
          </w:rPr>
          <w:t>7.3.1.2</w:t>
        </w:r>
      </w:hyperlink>
      <w:r>
        <w:rPr>
          <w:spacing w:val="2"/>
        </w:rPr>
        <w:t xml:space="preserve">  读出电容测量仪与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2"/>
        </w:rPr>
        <w:t>表测试回路电容接线柱的</w:t>
      </w:r>
      <w:r>
        <w:rPr>
          <w:spacing w:val="1"/>
        </w:rPr>
        <w:t>连接电缆起始分布电容。</w:t>
      </w:r>
    </w:p>
    <w:p>
      <w:pPr>
        <w:spacing w:line="212" w:lineRule="auto"/>
        <w:sectPr>
          <w:headerReference w:type="default" r:id="rId23"/>
          <w:footerReference w:type="default" r:id="rId24"/>
          <w:type w:val="nextPage"/>
          <w:pgSz w:w="7640" w:h="10800"/>
          <w:pgMar w:top="929" w:right="570" w:bottom="797" w:left="860" w:header="734" w:footer="688" w:gutter="0"/>
          <w:pgNumType w:start="6"/>
          <w:cols w:space="708"/>
          <w:titlePg w:val="0"/>
        </w:sectPr>
      </w:pPr>
    </w:p>
    <w:p>
      <w:pPr>
        <w:spacing w:before="125" w:line="222" w:lineRule="auto"/>
        <w:ind w:left="2439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-20"/>
          <w:w w:val="99"/>
          <w:sz w:val="17"/>
          <w:szCs w:val="17"/>
        </w:rPr>
        <w:t>表1</w:t>
      </w:r>
      <w:r>
        <w:rPr>
          <w:rFonts w:ascii="SimHei" w:eastAsia="SimHei" w:hAnsi="SimHei" w:cs="SimHei"/>
          <w:spacing w:val="57"/>
          <w:sz w:val="17"/>
          <w:szCs w:val="17"/>
        </w:rPr>
        <w:t xml:space="preserve"> </w:t>
      </w:r>
      <w:r>
        <w:rPr>
          <w:rFonts w:ascii="SimHei" w:eastAsia="SimHei" w:hAnsi="SimHei" w:cs="SimHei"/>
          <w:spacing w:val="-20"/>
          <w:w w:val="99"/>
          <w:sz w:val="17"/>
          <w:szCs w:val="17"/>
        </w:rPr>
        <w:t>校准项目一览表</w:t>
      </w:r>
    </w:p>
    <w:p>
      <w:pPr>
        <w:spacing w:line="44" w:lineRule="exact"/>
      </w:pPr>
    </w:p>
    <w:tbl>
      <w:tblPr>
        <w:tblStyle w:val="TableNormal0"/>
        <w:tblW w:w="617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79"/>
      </w:tblGrid>
      <w:tr>
        <w:tblPrEx>
          <w:tblW w:w="617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3"/>
        </w:trPr>
        <w:tc>
          <w:tcPr>
            <w:tcW w:w="6179" w:type="dxa"/>
            <w:vAlign w:val="top"/>
          </w:tcPr>
          <w:p>
            <w:pPr>
              <w:spacing w:before="171" w:line="220" w:lineRule="auto"/>
              <w:ind w:left="255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6"/>
                <w:sz w:val="15"/>
                <w:szCs w:val="15"/>
              </w:rPr>
              <w:t>校</w:t>
            </w:r>
            <w:r>
              <w:rPr>
                <w:rFonts w:ascii="SimSun" w:eastAsia="SimSun" w:hAnsi="SimSun" w:cs="SimSun"/>
                <w:spacing w:val="9"/>
                <w:sz w:val="15"/>
                <w:szCs w:val="15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15"/>
                <w:szCs w:val="15"/>
              </w:rPr>
              <w:t>准</w:t>
            </w:r>
            <w:r>
              <w:rPr>
                <w:rFonts w:ascii="SimSun" w:eastAsia="SimSun" w:hAnsi="SimSun" w:cs="SimSun"/>
                <w:spacing w:val="10"/>
                <w:sz w:val="15"/>
                <w:szCs w:val="15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15"/>
                <w:szCs w:val="15"/>
              </w:rPr>
              <w:t>项</w:t>
            </w:r>
            <w:r>
              <w:rPr>
                <w:rFonts w:ascii="SimSun" w:eastAsia="SimSun" w:hAnsi="SimSun" w:cs="SimSun"/>
                <w:spacing w:val="24"/>
                <w:sz w:val="15"/>
                <w:szCs w:val="15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15"/>
                <w:szCs w:val="15"/>
              </w:rPr>
              <w:t>目</w:t>
            </w:r>
          </w:p>
        </w:tc>
      </w:tr>
      <w:tr>
        <w:tblPrEx>
          <w:tblW w:w="6179" w:type="dxa"/>
          <w:tblInd w:w="20" w:type="dxa"/>
          <w:tblLayout w:type="fixed"/>
        </w:tblPrEx>
        <w:trPr>
          <w:trHeight w:val="459"/>
        </w:trPr>
        <w:tc>
          <w:tcPr>
            <w:tcW w:w="6179" w:type="dxa"/>
            <w:vAlign w:val="top"/>
          </w:tcPr>
          <w:p>
            <w:pPr>
              <w:spacing w:before="158" w:line="219" w:lineRule="auto"/>
              <w:ind w:left="233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2"/>
                <w:sz w:val="15"/>
                <w:szCs w:val="15"/>
              </w:rPr>
              <w:t>调谐电容器低频刻度C;</w:t>
            </w:r>
          </w:p>
        </w:tc>
      </w:tr>
      <w:tr>
        <w:tblPrEx>
          <w:tblW w:w="6179" w:type="dxa"/>
          <w:tblInd w:w="20" w:type="dxa"/>
          <w:tblLayout w:type="fixed"/>
        </w:tblPrEx>
        <w:trPr>
          <w:trHeight w:val="488"/>
        </w:trPr>
        <w:tc>
          <w:tcPr>
            <w:tcW w:w="6179" w:type="dxa"/>
            <w:vAlign w:val="top"/>
          </w:tcPr>
          <w:p>
            <w:pPr>
              <w:spacing w:before="169" w:line="219" w:lineRule="auto"/>
              <w:ind w:left="225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t>调谐电容器调谐电容值C。</w:t>
            </w:r>
          </w:p>
        </w:tc>
      </w:tr>
      <w:tr>
        <w:tblPrEx>
          <w:tblW w:w="6179" w:type="dxa"/>
          <w:tblInd w:w="20" w:type="dxa"/>
          <w:tblLayout w:type="fixed"/>
        </w:tblPrEx>
        <w:trPr>
          <w:trHeight w:val="478"/>
        </w:trPr>
        <w:tc>
          <w:tcPr>
            <w:tcW w:w="6179" w:type="dxa"/>
            <w:vAlign w:val="top"/>
          </w:tcPr>
          <w:p>
            <w:pPr>
              <w:spacing w:before="171" w:line="219" w:lineRule="auto"/>
              <w:ind w:left="244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1"/>
                <w:sz w:val="15"/>
                <w:szCs w:val="15"/>
              </w:rPr>
              <w:t>信号源频率刻度值f</w:t>
            </w:r>
          </w:p>
        </w:tc>
      </w:tr>
      <w:tr>
        <w:tblPrEx>
          <w:tblW w:w="6179" w:type="dxa"/>
          <w:tblInd w:w="20" w:type="dxa"/>
          <w:tblLayout w:type="fixed"/>
        </w:tblPrEx>
        <w:trPr>
          <w:trHeight w:val="478"/>
        </w:trPr>
        <w:tc>
          <w:tcPr>
            <w:tcW w:w="6179" w:type="dxa"/>
            <w:vAlign w:val="top"/>
          </w:tcPr>
          <w:p>
            <w:pPr>
              <w:spacing w:before="167" w:line="214" w:lineRule="auto"/>
              <w:ind w:left="233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1"/>
                <w:sz w:val="15"/>
                <w:szCs w:val="15"/>
              </w:rPr>
              <w:t>被测有效Q测量误差δg</w:t>
            </w:r>
          </w:p>
        </w:tc>
      </w:tr>
      <w:tr>
        <w:tblPrEx>
          <w:tblW w:w="6179" w:type="dxa"/>
          <w:tblInd w:w="20" w:type="dxa"/>
          <w:tblLayout w:type="fixed"/>
        </w:tblPrEx>
        <w:trPr>
          <w:trHeight w:val="473"/>
        </w:trPr>
        <w:tc>
          <w:tcPr>
            <w:tcW w:w="6179" w:type="dxa"/>
            <w:vAlign w:val="top"/>
          </w:tcPr>
          <w:p>
            <w:pPr>
              <w:spacing w:before="159" w:line="214" w:lineRule="auto"/>
              <w:ind w:left="233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1"/>
                <w:sz w:val="15"/>
                <w:szCs w:val="15"/>
              </w:rPr>
              <w:t>测试回路指示Q误差δg</w:t>
            </w:r>
          </w:p>
        </w:tc>
      </w:tr>
    </w:tbl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1280" w:lineRule="exact"/>
        <w:ind w:firstLine="1039"/>
      </w:pPr>
      <w:r>
        <w:rPr>
          <w:position w:val="-25"/>
        </w:rPr>
        <w:drawing>
          <wp:inline distT="0" distB="0" distL="0" distR="0">
            <wp:extent cx="2813084" cy="81281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13084" cy="81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55" w:line="212" w:lineRule="auto"/>
        <w:ind w:left="2069"/>
        <w:rPr>
          <w:sz w:val="17"/>
          <w:szCs w:val="17"/>
        </w:rPr>
      </w:pPr>
      <w:r>
        <w:rPr>
          <w:spacing w:val="-15"/>
          <w:w w:val="96"/>
          <w:sz w:val="17"/>
          <w:szCs w:val="17"/>
        </w:rPr>
        <w:t>图2</w:t>
      </w:r>
      <w:r>
        <w:rPr>
          <w:spacing w:val="5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5"/>
          <w:w w:val="96"/>
          <w:sz w:val="17"/>
          <w:szCs w:val="17"/>
        </w:rPr>
        <w:t>Q</w:t>
      </w:r>
      <w:r>
        <w:rPr>
          <w:rFonts w:ascii="Times New Roman" w:eastAsia="Times New Roman" w:hAnsi="Times New Roman" w:cs="Times New Roman"/>
          <w:spacing w:val="-10"/>
          <w:sz w:val="17"/>
          <w:szCs w:val="17"/>
        </w:rPr>
        <w:t xml:space="preserve"> </w:t>
      </w:r>
      <w:r>
        <w:rPr>
          <w:spacing w:val="-15"/>
          <w:w w:val="96"/>
          <w:sz w:val="17"/>
          <w:szCs w:val="17"/>
        </w:rPr>
        <w:t>表电容刻度校准连接框图</w:t>
      </w:r>
    </w:p>
    <w:p>
      <w:pPr>
        <w:pStyle w:val="BodyText"/>
        <w:spacing w:before="110"/>
        <w:ind w:left="10" w:right="60"/>
        <w:rPr>
          <w:sz w:val="17"/>
          <w:szCs w:val="17"/>
        </w:rPr>
      </w:pPr>
      <w:hyperlink r:id="rId26" w:history="1">
        <w:r>
          <w:rPr>
            <w:spacing w:val="-4"/>
            <w:sz w:val="17"/>
            <w:szCs w:val="17"/>
          </w:rPr>
          <w:t>7.3.1.3</w:t>
        </w:r>
      </w:hyperlink>
      <w:r>
        <w:rPr>
          <w:spacing w:val="93"/>
          <w:sz w:val="17"/>
          <w:szCs w:val="17"/>
        </w:rPr>
        <w:t xml:space="preserve"> </w:t>
      </w:r>
      <w:r>
        <w:rPr>
          <w:spacing w:val="-4"/>
          <w:sz w:val="17"/>
          <w:szCs w:val="17"/>
        </w:rPr>
        <w:t>置电容测量仪的工作频率≤100 kHz</w:t>
      </w:r>
      <w:r>
        <w:rPr>
          <w:spacing w:val="-24"/>
          <w:sz w:val="17"/>
          <w:szCs w:val="17"/>
        </w:rPr>
        <w:t xml:space="preserve"> </w:t>
      </w:r>
      <w:r>
        <w:rPr>
          <w:spacing w:val="-4"/>
          <w:sz w:val="17"/>
          <w:szCs w:val="17"/>
        </w:rPr>
        <w:t>的频率值上。此时，Q 表电源在关闭状</w:t>
      </w:r>
      <w:r>
        <w:rPr>
          <w:sz w:val="17"/>
          <w:szCs w:val="17"/>
        </w:rPr>
        <w:t xml:space="preserve"> </w:t>
      </w:r>
      <w:r>
        <w:rPr>
          <w:spacing w:val="-8"/>
          <w:sz w:val="17"/>
          <w:szCs w:val="17"/>
        </w:rPr>
        <w:t>态。</w:t>
      </w:r>
    </w:p>
    <w:p>
      <w:pPr>
        <w:pStyle w:val="BodyText"/>
        <w:spacing w:before="39" w:line="219" w:lineRule="auto"/>
        <w:ind w:left="10"/>
        <w:rPr>
          <w:sz w:val="17"/>
          <w:szCs w:val="17"/>
        </w:rPr>
      </w:pPr>
      <w:hyperlink r:id="rId27" w:history="1">
        <w:r>
          <w:rPr>
            <w:spacing w:val="-7"/>
            <w:sz w:val="17"/>
            <w:szCs w:val="17"/>
          </w:rPr>
          <w:t>7.3.1.4</w:t>
        </w:r>
      </w:hyperlink>
      <w:r>
        <w:rPr>
          <w:spacing w:val="80"/>
          <w:sz w:val="17"/>
          <w:szCs w:val="17"/>
        </w:rPr>
        <w:t xml:space="preserve"> </w:t>
      </w:r>
      <w:r>
        <w:rPr>
          <w:spacing w:val="-7"/>
          <w:sz w:val="17"/>
          <w:szCs w:val="17"/>
        </w:rPr>
        <w:t>分别记录调谐电容示值及电容测量仪校准值。</w:t>
      </w:r>
    </w:p>
    <w:p>
      <w:pPr>
        <w:pStyle w:val="BodyText"/>
        <w:spacing w:before="38" w:line="219" w:lineRule="auto"/>
        <w:ind w:left="10"/>
        <w:rPr>
          <w:sz w:val="17"/>
          <w:szCs w:val="17"/>
        </w:rPr>
      </w:pPr>
      <w:hyperlink r:id="rId28" w:history="1">
        <w:r>
          <w:rPr>
            <w:spacing w:val="-7"/>
            <w:sz w:val="17"/>
            <w:szCs w:val="17"/>
          </w:rPr>
          <w:t>7.3.1.5</w:t>
        </w:r>
      </w:hyperlink>
      <w:r>
        <w:rPr>
          <w:spacing w:val="90"/>
          <w:sz w:val="17"/>
          <w:szCs w:val="17"/>
        </w:rPr>
        <w:t xml:space="preserve"> </w:t>
      </w:r>
      <w:r>
        <w:rPr>
          <w:spacing w:val="-7"/>
          <w:sz w:val="17"/>
          <w:szCs w:val="17"/>
        </w:rPr>
        <w:t>按以下公式计算误差：</w:t>
      </w:r>
    </w:p>
    <w:sdt>
      <w:sdtPr>
        <w:rPr>
          <w:rFonts w:ascii="SimSun" w:eastAsia="SimSun" w:hAnsi="SimSun" w:cs="SimSun"/>
          <w:sz w:val="17"/>
          <w:szCs w:val="17"/>
        </w:rPr>
        <w:id w:val="110343210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7"/>
          <w:szCs w:val="17"/>
        </w:rPr>
      </w:sdtEndPr>
      <w:sdtContent>
        <w:p>
          <w:pPr>
            <w:pStyle w:val="BodyText"/>
            <w:spacing w:before="107" w:line="233" w:lineRule="auto"/>
            <w:ind w:left="2599"/>
            <w:rPr>
              <w:sz w:val="17"/>
              <w:szCs w:val="17"/>
            </w:rPr>
            <w:sectPr>
              <w:headerReference w:type="default" r:id="rId29"/>
              <w:footerReference w:type="default" r:id="rId30"/>
              <w:pgSz w:w="7640" w:h="10800"/>
              <w:pgMar w:top="929" w:right="735" w:bottom="777" w:left="650" w:header="763" w:footer="668" w:gutter="0"/>
              <w:pgNumType w:start="7"/>
              <w:cols w:space="708"/>
            </w:sectPr>
          </w:pPr>
          <w:r>
            <w:rPr>
              <w:spacing w:val="-2"/>
              <w:sz w:val="17"/>
              <w:szCs w:val="17"/>
            </w:rPr>
            <w:t>△</w:t>
          </w:r>
          <w:r>
            <w:rPr>
              <w:rFonts w:ascii="Times New Roman" w:eastAsia="Times New Roman" w:hAnsi="Times New Roman" w:cs="Times New Roman"/>
              <w:spacing w:val="-2"/>
              <w:sz w:val="17"/>
              <w:szCs w:val="17"/>
            </w:rPr>
            <w:t>C</w:t>
          </w:r>
          <w:r>
            <w:rPr>
              <w:rFonts w:ascii="Times New Roman" w:eastAsia="Times New Roman" w:hAnsi="Times New Roman" w:cs="Times New Roman"/>
              <w:spacing w:val="5"/>
              <w:sz w:val="17"/>
              <w:szCs w:val="17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2"/>
              <w:sz w:val="17"/>
              <w:szCs w:val="17"/>
            </w:rPr>
            <w:t xml:space="preserve">=C;-Cr                                         </w:t>
          </w:r>
          <w:r>
            <w:rPr>
              <w:rFonts w:ascii="Times New Roman" w:eastAsia="Times New Roman" w:hAnsi="Times New Roman" w:cs="Times New Roman"/>
              <w:spacing w:val="-3"/>
              <w:sz w:val="17"/>
              <w:szCs w:val="17"/>
            </w:rPr>
            <w:t xml:space="preserve">                 </w:t>
          </w:r>
          <w:r>
            <w:rPr>
              <w:spacing w:val="-3"/>
              <w:position w:val="-1"/>
              <w:sz w:val="17"/>
              <w:szCs w:val="17"/>
            </w:rPr>
            <w:t>(</w:t>
          </w:r>
          <w:hyperlink w:anchor="bookmark1" w:history="1">
            <w:r>
              <w:rPr>
                <w:spacing w:val="-3"/>
                <w:position w:val="-1"/>
                <w:sz w:val="17"/>
                <w:szCs w:val="17"/>
              </w:rPr>
              <w:t>2)</w:t>
            </w:r>
          </w:hyperlink>
        </w:p>
      </w:sdtContent>
    </w:sdt>
    <w:sdt>
      <w:sdtPr>
        <w:rPr>
          <w:rFonts w:ascii="SimSun" w:eastAsia="SimSun" w:hAnsi="SimSun" w:cs="SimSun"/>
          <w:sz w:val="17"/>
          <w:szCs w:val="17"/>
        </w:rPr>
        <w:id w:val="55526396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7"/>
          <w:szCs w:val="17"/>
        </w:rPr>
      </w:sdtEndPr>
      <w:sdtContent>
        <w:p>
          <w:pPr>
            <w:pStyle w:val="BodyText"/>
            <w:spacing w:before="120"/>
            <w:ind w:left="2309"/>
            <w:rPr>
              <w:sz w:val="17"/>
              <w:szCs w:val="17"/>
            </w:rPr>
          </w:pPr>
          <w:r>
            <w:rPr>
              <w:position w:val="-11"/>
              <w:sz w:val="17"/>
              <w:szCs w:val="17"/>
            </w:rPr>
            <w:drawing>
              <wp:inline distT="0" distB="0" distL="0" distR="0">
                <wp:extent cx="996962" cy="241264"/>
                <wp:effectExtent l="0" t="0" r="0" b="0"/>
                <wp:docPr id="14" name="IM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 14"/>
                        <pic:cNvPicPr/>
                      </pic:nvPicPr>
                      <pic:blipFill>
                        <a:blip xmlns:r="http://schemas.openxmlformats.org/officeDocument/2006/relationships" r:embed="rId3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6962" cy="2412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"/>
              <w:sz w:val="17"/>
              <w:szCs w:val="17"/>
            </w:rPr>
            <w:t xml:space="preserve">                        </w:t>
          </w:r>
          <w:r>
            <w:rPr>
              <w:spacing w:val="-13"/>
              <w:sz w:val="17"/>
              <w:szCs w:val="17"/>
            </w:rPr>
            <w:t>(</w:t>
          </w:r>
          <w:hyperlink w:anchor="bookmark2" w:history="1">
            <w:r>
              <w:rPr>
                <w:spacing w:val="-13"/>
                <w:sz w:val="17"/>
                <w:szCs w:val="17"/>
              </w:rPr>
              <w:t>3)</w:t>
            </w:r>
          </w:hyperlink>
        </w:p>
      </w:sdtContent>
    </w:sdt>
    <w:p>
      <w:pPr>
        <w:pStyle w:val="BodyText"/>
        <w:spacing w:before="122" w:line="224" w:lineRule="auto"/>
        <w:ind w:left="10"/>
        <w:rPr>
          <w:sz w:val="20"/>
          <w:szCs w:val="20"/>
        </w:rPr>
      </w:pPr>
      <w:r>
        <w:rPr>
          <w:spacing w:val="-10"/>
          <w:sz w:val="20"/>
          <w:szCs w:val="20"/>
        </w:rPr>
        <w:t>式中：C——</w:t>
      </w:r>
      <w:r>
        <w:rPr>
          <w:spacing w:val="-10"/>
          <w:sz w:val="18"/>
          <w:szCs w:val="18"/>
        </w:rPr>
        <w:t>电容测量仪校准值(已扣除起始电容),</w:t>
      </w:r>
      <w:r>
        <w:rPr>
          <w:spacing w:val="-10"/>
          <w:sz w:val="20"/>
          <w:szCs w:val="20"/>
        </w:rPr>
        <w:t>pF;</w:t>
      </w:r>
    </w:p>
    <w:p>
      <w:pPr>
        <w:pStyle w:val="BodyText"/>
        <w:spacing w:before="1" w:line="203" w:lineRule="auto"/>
        <w:ind w:left="519"/>
        <w:rPr>
          <w:sz w:val="19"/>
          <w:szCs w:val="19"/>
        </w:rPr>
      </w:pPr>
      <w:r>
        <w:rPr>
          <w:rFonts w:ascii="Times New Roman" w:eastAsia="Times New Roman" w:hAnsi="Times New Roman" w:cs="Times New Roman"/>
          <w:spacing w:val="-15"/>
          <w:sz w:val="18"/>
          <w:szCs w:val="18"/>
        </w:rPr>
        <w:t>C₁——Q</w:t>
      </w:r>
      <w:r>
        <w:rPr>
          <w:spacing w:val="-15"/>
          <w:sz w:val="18"/>
          <w:szCs w:val="18"/>
        </w:rPr>
        <w:t>表调谐电容示值，</w:t>
      </w:r>
      <w:r>
        <w:rPr>
          <w:spacing w:val="-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>pF</w:t>
      </w:r>
      <w:r>
        <w:rPr>
          <w:spacing w:val="-15"/>
          <w:sz w:val="19"/>
          <w:szCs w:val="19"/>
        </w:rPr>
        <w:t>。</w:t>
      </w:r>
    </w:p>
    <w:p>
      <w:pPr>
        <w:pStyle w:val="BodyText"/>
        <w:spacing w:before="63" w:line="219" w:lineRule="auto"/>
        <w:ind w:left="20"/>
        <w:rPr>
          <w:sz w:val="17"/>
          <w:szCs w:val="17"/>
        </w:rPr>
      </w:pPr>
      <w:r>
        <w:rPr>
          <w:spacing w:val="-8"/>
          <w:sz w:val="17"/>
          <w:szCs w:val="17"/>
        </w:rPr>
        <w:t>7.3.2</w:t>
      </w:r>
      <w:r>
        <w:rPr>
          <w:spacing w:val="74"/>
          <w:sz w:val="17"/>
          <w:szCs w:val="17"/>
        </w:rPr>
        <w:t xml:space="preserve"> </w:t>
      </w:r>
      <w:r>
        <w:rPr>
          <w:spacing w:val="-8"/>
          <w:sz w:val="17"/>
          <w:szCs w:val="17"/>
        </w:rPr>
        <w:t>信号源频率示值的校准</w:t>
      </w:r>
    </w:p>
    <w:p>
      <w:pPr>
        <w:pStyle w:val="BodyText"/>
        <w:spacing w:before="22" w:line="243" w:lineRule="auto"/>
        <w:ind w:left="10" w:firstLine="329"/>
        <w:rPr>
          <w:sz w:val="17"/>
          <w:szCs w:val="17"/>
        </w:rPr>
      </w:pPr>
      <w:r>
        <w:rPr>
          <w:spacing w:val="3"/>
          <w:sz w:val="17"/>
          <w:szCs w:val="17"/>
        </w:rPr>
        <w:t>按图3所示连接被校</w:t>
      </w:r>
      <w:r>
        <w:rPr>
          <w:spacing w:val="-4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 xml:space="preserve">Q </w:t>
      </w:r>
      <w:r>
        <w:rPr>
          <w:spacing w:val="3"/>
          <w:sz w:val="17"/>
          <w:szCs w:val="17"/>
        </w:rPr>
        <w:t>表和频率计，分别接通电源，按附</w:t>
      </w:r>
      <w:r>
        <w:rPr>
          <w:spacing w:val="2"/>
          <w:sz w:val="17"/>
          <w:szCs w:val="17"/>
        </w:rPr>
        <w:t>录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 xml:space="preserve">A </w:t>
      </w:r>
      <w:r>
        <w:rPr>
          <w:spacing w:val="2"/>
          <w:sz w:val="17"/>
          <w:szCs w:val="17"/>
        </w:rPr>
        <w:t>表2选取校准点，</w:t>
      </w:r>
      <w:r>
        <w:rPr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并记录Q 表信号源的频率示值及频率计测得的频率值，按</w:t>
      </w:r>
      <w:r>
        <w:rPr>
          <w:spacing w:val="-3"/>
          <w:sz w:val="17"/>
          <w:szCs w:val="17"/>
        </w:rPr>
        <w:t>公式(4)、(5)计算误差：</w:t>
      </w:r>
    </w:p>
    <w:p>
      <w:pPr>
        <w:spacing w:line="243" w:lineRule="auto"/>
        <w:rPr>
          <w:sz w:val="17"/>
          <w:szCs w:val="17"/>
        </w:rPr>
        <w:sectPr>
          <w:headerReference w:type="default" r:id="rId32"/>
          <w:footerReference w:type="default" r:id="rId33"/>
          <w:type w:val="nextPage"/>
          <w:pgSz w:w="7640" w:h="10800"/>
          <w:pgMar w:top="929" w:right="735" w:bottom="777" w:left="650" w:header="763" w:footer="668" w:gutter="0"/>
          <w:pgNumType w:start="8"/>
          <w:cols w:space="708"/>
          <w:titlePg w:val="0"/>
        </w:sectPr>
      </w:pPr>
    </w:p>
    <w:sdt>
      <w:sdtPr>
        <w:rPr>
          <w:rFonts w:ascii="SimSun" w:eastAsia="SimSun" w:hAnsi="SimSun" w:cs="SimSun"/>
          <w:sz w:val="18"/>
          <w:szCs w:val="18"/>
        </w:rPr>
        <w:id w:val="18981418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8"/>
          <w:szCs w:val="18"/>
        </w:rPr>
      </w:sdtEndPr>
      <w:sdtContent>
        <w:p>
          <w:pPr>
            <w:pStyle w:val="BodyText"/>
            <w:spacing w:before="47" w:line="264" w:lineRule="exact"/>
            <w:ind w:left="2621"/>
            <w:rPr>
              <w:sz w:val="15"/>
              <w:szCs w:val="15"/>
            </w:rPr>
          </w:pPr>
          <w:bookmarkStart w:id="0" w:name="bookmark3"/>
          <w:bookmarkEnd w:id="0"/>
          <w:r>
            <w:rPr>
              <w:i/>
              <w:iCs/>
              <w:spacing w:val="-2"/>
              <w:position w:val="3"/>
              <w:sz w:val="18"/>
              <w:szCs w:val="18"/>
            </w:rPr>
            <w:t>△</w:t>
          </w:r>
          <w:r>
            <w:rPr>
              <w:rFonts w:ascii="Times New Roman" w:eastAsia="Times New Roman" w:hAnsi="Times New Roman" w:cs="Times New Roman"/>
              <w:i/>
              <w:iCs/>
              <w:spacing w:val="-2"/>
              <w:position w:val="3"/>
              <w:sz w:val="18"/>
              <w:szCs w:val="18"/>
            </w:rPr>
            <w:t xml:space="preserve">f=fi-fi                                                              </w:t>
          </w:r>
          <w:r>
            <w:rPr>
              <w:rFonts w:ascii="Times New Roman" w:eastAsia="Times New Roman" w:hAnsi="Times New Roman" w:cs="Times New Roman"/>
              <w:i/>
              <w:iCs/>
              <w:spacing w:val="-3"/>
              <w:position w:val="3"/>
              <w:sz w:val="18"/>
              <w:szCs w:val="18"/>
            </w:rPr>
            <w:t xml:space="preserve"> </w:t>
          </w:r>
          <w:r>
            <w:rPr>
              <w:spacing w:val="-3"/>
              <w:position w:val="1"/>
              <w:sz w:val="15"/>
              <w:szCs w:val="15"/>
            </w:rPr>
            <w:t>(</w:t>
          </w:r>
          <w:hyperlink w:anchor="bookmark4" w:history="1">
            <w:r>
              <w:rPr>
                <w:spacing w:val="-3"/>
                <w:position w:val="1"/>
                <w:sz w:val="15"/>
                <w:szCs w:val="15"/>
              </w:rPr>
              <w:t>4)</w:t>
            </w:r>
          </w:hyperlink>
        </w:p>
        <w:p>
          <w:pPr>
            <w:pStyle w:val="BodyText"/>
            <w:spacing w:before="68"/>
            <w:ind w:right="18"/>
            <w:jc w:val="right"/>
            <w:rPr>
              <w:sz w:val="18"/>
              <w:szCs w:val="18"/>
            </w:rPr>
          </w:pPr>
          <w:r>
            <w:rPr>
              <w:position w:val="-11"/>
              <w:sz w:val="18"/>
              <w:szCs w:val="18"/>
            </w:rPr>
            <w:drawing>
              <wp:inline distT="0" distB="0" distL="0" distR="0">
                <wp:extent cx="762009" cy="222198"/>
                <wp:effectExtent l="0" t="0" r="0" b="0"/>
                <wp:docPr id="20" name="IM 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IM 20"/>
                        <pic:cNvPicPr/>
                      </pic:nvPicPr>
                      <pic:blipFill>
                        <a:blip xmlns:r="http://schemas.openxmlformats.org/officeDocument/2006/relationships" r:embed="rId3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9" cy="2221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18"/>
              <w:szCs w:val="18"/>
            </w:rPr>
            <w:t xml:space="preserve">                         </w:t>
          </w:r>
          <w:r>
            <w:rPr>
              <w:spacing w:val="-13"/>
              <w:sz w:val="18"/>
              <w:szCs w:val="18"/>
            </w:rPr>
            <w:t>(</w:t>
          </w:r>
          <w:hyperlink w:anchor="bookmark3" w:history="1">
            <w:r>
              <w:rPr>
                <w:spacing w:val="-13"/>
                <w:sz w:val="18"/>
                <w:szCs w:val="18"/>
              </w:rPr>
              <w:t>5)</w:t>
            </w:r>
          </w:hyperlink>
        </w:p>
      </w:sdtContent>
    </w:sdt>
    <w:p>
      <w:pPr>
        <w:pStyle w:val="BodyText"/>
        <w:spacing w:before="50" w:line="257" w:lineRule="exact"/>
        <w:rPr>
          <w:sz w:val="18"/>
          <w:szCs w:val="18"/>
        </w:rPr>
      </w:pPr>
      <w:r>
        <w:rPr>
          <w:spacing w:val="-14"/>
          <w:position w:val="5"/>
          <w:sz w:val="18"/>
          <w:szCs w:val="18"/>
        </w:rPr>
        <w:t>式中：</w:t>
      </w:r>
      <w:r>
        <w:rPr>
          <w:spacing w:val="-41"/>
          <w:position w:val="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4"/>
          <w:position w:val="5"/>
          <w:sz w:val="18"/>
          <w:szCs w:val="18"/>
        </w:rPr>
        <w:t>fi——Q</w:t>
      </w:r>
      <w:r>
        <w:rPr>
          <w:spacing w:val="-14"/>
          <w:position w:val="5"/>
          <w:sz w:val="18"/>
          <w:szCs w:val="18"/>
        </w:rPr>
        <w:t>表频率度盘示值；</w:t>
      </w:r>
    </w:p>
    <w:p>
      <w:pPr>
        <w:pStyle w:val="BodyText"/>
        <w:spacing w:line="219" w:lineRule="auto"/>
        <w:ind w:left="489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>f:——</w:t>
      </w:r>
      <w:r>
        <w:rPr>
          <w:spacing w:val="-11"/>
          <w:sz w:val="18"/>
          <w:szCs w:val="18"/>
        </w:rPr>
        <w:t>频率计测得频率值。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1690" w:lineRule="exact"/>
        <w:ind w:firstLine="989"/>
      </w:pPr>
      <w:r>
        <w:rPr>
          <w:position w:val="-33"/>
        </w:rPr>
        <w:drawing>
          <wp:inline distT="0" distB="0" distL="0" distR="0">
            <wp:extent cx="2641587" cy="107313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41587" cy="107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56" w:line="276" w:lineRule="exact"/>
        <w:ind w:left="2139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-13"/>
          <w:w w:val="95"/>
          <w:position w:val="8"/>
          <w:sz w:val="15"/>
          <w:szCs w:val="15"/>
        </w:rPr>
        <w:t>图3</w:t>
      </w:r>
      <w:r>
        <w:rPr>
          <w:rFonts w:ascii="SimHei" w:eastAsia="SimHei" w:hAnsi="SimHei" w:cs="SimHei"/>
          <w:spacing w:val="61"/>
          <w:position w:val="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13"/>
          <w:w w:val="95"/>
          <w:position w:val="8"/>
          <w:sz w:val="15"/>
          <w:szCs w:val="15"/>
        </w:rPr>
        <w:t>Q</w:t>
      </w:r>
      <w:r>
        <w:rPr>
          <w:rFonts w:ascii="Times New Roman" w:eastAsia="Times New Roman" w:hAnsi="Times New Roman" w:cs="Times New Roman"/>
          <w:spacing w:val="19"/>
          <w:w w:val="102"/>
          <w:position w:val="8"/>
          <w:sz w:val="15"/>
          <w:szCs w:val="15"/>
        </w:rPr>
        <w:t xml:space="preserve"> </w:t>
      </w:r>
      <w:r>
        <w:rPr>
          <w:rFonts w:ascii="SimHei" w:eastAsia="SimHei" w:hAnsi="SimHei" w:cs="SimHei"/>
          <w:spacing w:val="-13"/>
          <w:w w:val="95"/>
          <w:position w:val="8"/>
          <w:sz w:val="17"/>
          <w:szCs w:val="17"/>
        </w:rPr>
        <w:t>表信号源频率刻度校准</w:t>
      </w:r>
    </w:p>
    <w:p>
      <w:pPr>
        <w:pStyle w:val="BodyText"/>
        <w:spacing w:line="212" w:lineRule="auto"/>
        <w:ind w:left="9"/>
        <w:rPr>
          <w:sz w:val="18"/>
          <w:szCs w:val="18"/>
        </w:rPr>
      </w:pPr>
      <w:r>
        <w:rPr>
          <w:spacing w:val="-9"/>
          <w:sz w:val="18"/>
          <w:szCs w:val="18"/>
        </w:rPr>
        <w:t>7.3.3</w:t>
      </w:r>
      <w:r>
        <w:rPr>
          <w:spacing w:val="7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18"/>
          <w:szCs w:val="18"/>
        </w:rPr>
        <w:t xml:space="preserve">Q </w:t>
      </w:r>
      <w:r>
        <w:rPr>
          <w:spacing w:val="-9"/>
          <w:sz w:val="18"/>
          <w:szCs w:val="18"/>
        </w:rPr>
        <w:t>表的</w:t>
      </w:r>
      <w:r>
        <w:rPr>
          <w:rFonts w:ascii="Times New Roman" w:eastAsia="Times New Roman" w:hAnsi="Times New Roman" w:cs="Times New Roman"/>
          <w:spacing w:val="-9"/>
          <w:sz w:val="18"/>
          <w:szCs w:val="18"/>
        </w:rPr>
        <w:t xml:space="preserve">Q </w:t>
      </w:r>
      <w:r>
        <w:rPr>
          <w:spacing w:val="-9"/>
          <w:sz w:val="18"/>
          <w:szCs w:val="18"/>
        </w:rPr>
        <w:t>值测量误差校准</w:t>
      </w:r>
    </w:p>
    <w:p>
      <w:pPr>
        <w:pStyle w:val="BodyText"/>
        <w:spacing w:before="23" w:line="212" w:lineRule="auto"/>
        <w:ind w:left="339"/>
        <w:rPr>
          <w:sz w:val="18"/>
          <w:szCs w:val="18"/>
        </w:rPr>
      </w:pPr>
      <w:r>
        <w:rPr>
          <w:spacing w:val="-10"/>
          <w:sz w:val="18"/>
          <w:szCs w:val="18"/>
        </w:rPr>
        <w:t>按图4所示连接</w:t>
      </w:r>
      <w:r>
        <w:rPr>
          <w:spacing w:val="-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Q</w:t>
      </w:r>
      <w:r>
        <w:rPr>
          <w:rFonts w:ascii="Times New Roman" w:eastAsia="Times New Roman" w:hAnsi="Times New Roman" w:cs="Times New Roman"/>
          <w:spacing w:val="11"/>
          <w:w w:val="10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值标准线圈，按附录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A</w:t>
      </w:r>
      <w:r>
        <w:rPr>
          <w:spacing w:val="-10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A3</w:t>
      </w:r>
      <w:r>
        <w:rPr>
          <w:spacing w:val="-10"/>
          <w:sz w:val="18"/>
          <w:szCs w:val="18"/>
        </w:rPr>
        <w:t>选择校准点和记录校</w:t>
      </w:r>
      <w:r>
        <w:rPr>
          <w:spacing w:val="-11"/>
          <w:sz w:val="18"/>
          <w:szCs w:val="18"/>
        </w:rPr>
        <w:t>准数据。</w:t>
      </w:r>
    </w:p>
    <w:p>
      <w:pPr>
        <w:spacing w:before="193" w:line="1290" w:lineRule="exact"/>
        <w:ind w:firstLine="1889"/>
      </w:pPr>
      <w:r>
        <w:rPr>
          <w:position w:val="-25"/>
        </w:rPr>
        <w:drawing>
          <wp:inline distT="0" distB="0" distL="0" distR="0">
            <wp:extent cx="1536680" cy="81918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36680" cy="819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7" w:line="212" w:lineRule="auto"/>
        <w:ind w:left="2109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spacing w:val="-14"/>
          <w:sz w:val="14"/>
          <w:szCs w:val="14"/>
        </w:rPr>
        <w:t>图</w:t>
      </w:r>
      <w:r>
        <w:rPr>
          <w:rFonts w:ascii="SimHei" w:eastAsia="SimHei" w:hAnsi="SimHei" w:cs="SimHei"/>
          <w:spacing w:val="-19"/>
          <w:sz w:val="14"/>
          <w:szCs w:val="14"/>
        </w:rPr>
        <w:t xml:space="preserve"> </w:t>
      </w:r>
      <w:r>
        <w:rPr>
          <w:rFonts w:ascii="SimHei" w:eastAsia="SimHei" w:hAnsi="SimHei" w:cs="SimHei"/>
          <w:spacing w:val="-14"/>
          <w:sz w:val="14"/>
          <w:szCs w:val="14"/>
        </w:rPr>
        <w:t>4</w:t>
      </w:r>
      <w:r>
        <w:rPr>
          <w:rFonts w:ascii="SimHei" w:eastAsia="SimHei" w:hAnsi="SimHei" w:cs="SimHei"/>
          <w:spacing w:val="47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14"/>
          <w:szCs w:val="14"/>
        </w:rPr>
        <w:t xml:space="preserve">Q  </w:t>
      </w:r>
      <w:r>
        <w:rPr>
          <w:rFonts w:ascii="SimHei" w:eastAsia="SimHei" w:hAnsi="SimHei" w:cs="SimHei"/>
          <w:spacing w:val="-14"/>
          <w:sz w:val="14"/>
          <w:szCs w:val="14"/>
        </w:rPr>
        <w:t>表</w:t>
      </w:r>
      <w:r>
        <w:rPr>
          <w:rFonts w:ascii="SimHei" w:eastAsia="SimHei" w:hAnsi="SimHei" w:cs="SimHei"/>
          <w:spacing w:val="-3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14"/>
          <w:szCs w:val="14"/>
        </w:rPr>
        <w:t xml:space="preserve">Q  </w:t>
      </w:r>
      <w:r>
        <w:rPr>
          <w:rFonts w:ascii="SimHei" w:eastAsia="SimHei" w:hAnsi="SimHei" w:cs="SimHei"/>
          <w:spacing w:val="-14"/>
          <w:sz w:val="17"/>
          <w:szCs w:val="17"/>
        </w:rPr>
        <w:t>值校准连接示意图</w:t>
      </w:r>
    </w:p>
    <w:p>
      <w:pPr>
        <w:pStyle w:val="BodyText"/>
        <w:spacing w:before="108" w:line="277" w:lineRule="exact"/>
        <w:ind w:left="19"/>
        <w:rPr>
          <w:sz w:val="18"/>
          <w:szCs w:val="18"/>
        </w:rPr>
      </w:pPr>
      <w:hyperlink r:id="rId37" w:history="1">
        <w:r>
          <w:rPr>
            <w:spacing w:val="-10"/>
            <w:position w:val="7"/>
            <w:sz w:val="18"/>
            <w:szCs w:val="18"/>
          </w:rPr>
          <w:t>7.3.3.1</w:t>
        </w:r>
      </w:hyperlink>
      <w:r>
        <w:rPr>
          <w:spacing w:val="79"/>
          <w:position w:val="7"/>
          <w:sz w:val="18"/>
          <w:szCs w:val="18"/>
        </w:rPr>
        <w:t xml:space="preserve"> </w:t>
      </w:r>
      <w:r>
        <w:rPr>
          <w:spacing w:val="-10"/>
          <w:position w:val="7"/>
          <w:sz w:val="18"/>
          <w:szCs w:val="18"/>
        </w:rPr>
        <w:t>被校</w:t>
      </w:r>
      <w:r>
        <w:rPr>
          <w:rFonts w:ascii="Times New Roman" w:eastAsia="Times New Roman" w:hAnsi="Times New Roman" w:cs="Times New Roman"/>
          <w:spacing w:val="-10"/>
          <w:position w:val="7"/>
          <w:sz w:val="18"/>
          <w:szCs w:val="18"/>
        </w:rPr>
        <w:t>Q</w:t>
      </w:r>
      <w:r>
        <w:rPr>
          <w:spacing w:val="-10"/>
          <w:position w:val="7"/>
          <w:sz w:val="18"/>
          <w:szCs w:val="18"/>
        </w:rPr>
        <w:t>表典型使用情况下被测有效</w:t>
      </w:r>
      <w:r>
        <w:rPr>
          <w:spacing w:val="-27"/>
          <w:position w:val="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7"/>
          <w:sz w:val="18"/>
          <w:szCs w:val="18"/>
        </w:rPr>
        <w:t xml:space="preserve">Q </w:t>
      </w:r>
      <w:r>
        <w:rPr>
          <w:spacing w:val="-10"/>
          <w:position w:val="7"/>
          <w:sz w:val="18"/>
          <w:szCs w:val="18"/>
        </w:rPr>
        <w:t>值</w:t>
      </w:r>
      <w:r>
        <w:rPr>
          <w:rFonts w:ascii="Times New Roman" w:eastAsia="Times New Roman" w:hAnsi="Times New Roman" w:cs="Times New Roman"/>
          <w:spacing w:val="-10"/>
          <w:position w:val="7"/>
          <w:sz w:val="18"/>
          <w:szCs w:val="18"/>
        </w:rPr>
        <w:t>Q</w:t>
      </w:r>
      <w:r>
        <w:rPr>
          <w:rFonts w:ascii="Times New Roman" w:eastAsia="Times New Roman" w:hAnsi="Times New Roman" w:cs="Times New Roman"/>
          <w:spacing w:val="13"/>
          <w:position w:val="7"/>
          <w:sz w:val="18"/>
          <w:szCs w:val="18"/>
        </w:rPr>
        <w:t xml:space="preserve">  </w:t>
      </w:r>
      <w:r>
        <w:rPr>
          <w:spacing w:val="-10"/>
          <w:position w:val="7"/>
          <w:sz w:val="18"/>
          <w:szCs w:val="18"/>
        </w:rPr>
        <w:t>误差</w:t>
      </w:r>
    </w:p>
    <w:p>
      <w:pPr>
        <w:pStyle w:val="BodyText"/>
        <w:spacing w:line="219" w:lineRule="auto"/>
        <w:ind w:left="359"/>
        <w:rPr>
          <w:sz w:val="18"/>
          <w:szCs w:val="18"/>
        </w:rPr>
      </w:pPr>
      <w:r>
        <w:rPr>
          <w:spacing w:val="-15"/>
          <w:sz w:val="18"/>
          <w:szCs w:val="18"/>
        </w:rPr>
        <w:t>由下式计算被测元件有效</w:t>
      </w:r>
      <w:r>
        <w:rPr>
          <w:spacing w:val="-35"/>
          <w:sz w:val="18"/>
          <w:szCs w:val="18"/>
        </w:rPr>
        <w:t xml:space="preserve"> </w:t>
      </w:r>
      <w:r>
        <w:rPr>
          <w:spacing w:val="-15"/>
          <w:sz w:val="18"/>
          <w:szCs w:val="18"/>
        </w:rPr>
        <w:t>Q 值Q  的测量误差：</w:t>
      </w:r>
    </w:p>
    <w:p>
      <w:pPr>
        <w:spacing w:line="139" w:lineRule="exact"/>
      </w:pPr>
    </w:p>
    <w:p>
      <w:pPr>
        <w:spacing w:line="139" w:lineRule="exact"/>
        <w:sectPr>
          <w:headerReference w:type="default" r:id="rId38"/>
          <w:footerReference w:type="default" r:id="rId39"/>
          <w:pgSz w:w="7640" w:h="10800"/>
          <w:pgMar w:top="929" w:right="580" w:bottom="870" w:left="860" w:header="722" w:footer="812" w:gutter="0"/>
          <w:pgNumType w:start="9"/>
          <w:cols w:num="1" w:space="708" w:equalWidth="0">
            <w:col w:w="6200" w:space="0"/>
          </w:cols>
        </w:sectPr>
      </w:pPr>
    </w:p>
    <w:p>
      <w:pPr>
        <w:spacing w:line="360" w:lineRule="exact"/>
        <w:ind w:firstLine="2249"/>
      </w:pPr>
      <w:r>
        <w:rPr>
          <w:position w:val="-7"/>
        </w:rPr>
        <w:drawing>
          <wp:inline distT="0" distB="0" distL="0" distR="0">
            <wp:extent cx="1060419" cy="22857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60419" cy="228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1" w:line="212" w:lineRule="auto"/>
        <w:ind w:left="19"/>
        <w:rPr>
          <w:sz w:val="18"/>
          <w:szCs w:val="18"/>
        </w:rPr>
      </w:pPr>
      <w:r>
        <w:rPr>
          <w:spacing w:val="-11"/>
          <w:sz w:val="18"/>
          <w:szCs w:val="18"/>
        </w:rPr>
        <w:t>式中：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>Q₁——</w:t>
      </w:r>
      <w:r>
        <w:rPr>
          <w:spacing w:val="-11"/>
          <w:sz w:val="18"/>
          <w:szCs w:val="18"/>
        </w:rPr>
        <w:t>被校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>Q</w:t>
      </w:r>
      <w:r>
        <w:rPr>
          <w:spacing w:val="-11"/>
          <w:sz w:val="18"/>
          <w:szCs w:val="18"/>
        </w:rPr>
        <w:t>表的谐振回路指示</w:t>
      </w:r>
      <w:r>
        <w:rPr>
          <w:spacing w:val="-4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 xml:space="preserve">Q </w:t>
      </w:r>
      <w:r>
        <w:rPr>
          <w:spacing w:val="-11"/>
          <w:sz w:val="18"/>
          <w:szCs w:val="18"/>
        </w:rPr>
        <w:t>值；</w:t>
      </w:r>
    </w:p>
    <w:p>
      <w:pPr>
        <w:pStyle w:val="BodyText"/>
        <w:spacing w:before="50" w:line="219" w:lineRule="auto"/>
        <w:ind w:left="479"/>
        <w:rPr>
          <w:sz w:val="18"/>
          <w:szCs w:val="18"/>
        </w:rPr>
      </w:pPr>
      <w:r>
        <w:rPr>
          <w:spacing w:val="-11"/>
          <w:sz w:val="18"/>
          <w:szCs w:val="18"/>
        </w:rPr>
        <w:t>Qe——Q</w:t>
      </w:r>
      <w:r>
        <w:rPr>
          <w:spacing w:val="-45"/>
          <w:sz w:val="18"/>
          <w:szCs w:val="18"/>
        </w:rPr>
        <w:t xml:space="preserve"> </w:t>
      </w:r>
      <w:r>
        <w:rPr>
          <w:spacing w:val="-11"/>
          <w:sz w:val="18"/>
          <w:szCs w:val="18"/>
        </w:rPr>
        <w:t>标准量具的有效</w:t>
      </w:r>
      <w:r>
        <w:rPr>
          <w:spacing w:val="-27"/>
          <w:sz w:val="18"/>
          <w:szCs w:val="18"/>
        </w:rPr>
        <w:t xml:space="preserve"> </w:t>
      </w:r>
      <w:r>
        <w:rPr>
          <w:spacing w:val="-11"/>
          <w:sz w:val="18"/>
          <w:szCs w:val="18"/>
        </w:rPr>
        <w:t>Q 值，由Q</w:t>
      </w:r>
      <w:r>
        <w:rPr>
          <w:spacing w:val="-25"/>
          <w:sz w:val="18"/>
          <w:szCs w:val="18"/>
        </w:rPr>
        <w:t xml:space="preserve"> </w:t>
      </w:r>
      <w:r>
        <w:rPr>
          <w:spacing w:val="-11"/>
          <w:sz w:val="18"/>
          <w:szCs w:val="18"/>
        </w:rPr>
        <w:t>标准计量部门给出。</w:t>
      </w:r>
    </w:p>
    <w:p>
      <w:pPr>
        <w:pStyle w:val="BodyText"/>
        <w:spacing w:before="39" w:line="212" w:lineRule="auto"/>
        <w:ind w:left="9"/>
        <w:rPr>
          <w:sz w:val="18"/>
          <w:szCs w:val="18"/>
        </w:rPr>
      </w:pPr>
      <w:hyperlink r:id="rId41" w:history="1">
        <w:r>
          <w:rPr>
            <w:spacing w:val="-10"/>
            <w:sz w:val="18"/>
            <w:szCs w:val="18"/>
          </w:rPr>
          <w:t>7.3.3.2</w:t>
        </w:r>
      </w:hyperlink>
      <w:r>
        <w:rPr>
          <w:spacing w:val="81"/>
          <w:w w:val="10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被校</w:t>
      </w:r>
      <w:r>
        <w:rPr>
          <w:spacing w:val="-4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 xml:space="preserve">Q </w:t>
      </w:r>
      <w:r>
        <w:rPr>
          <w:spacing w:val="-10"/>
          <w:sz w:val="18"/>
          <w:szCs w:val="18"/>
        </w:rPr>
        <w:t>表测试回路指示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Q</w:t>
      </w:r>
      <w:r>
        <w:rPr>
          <w:rFonts w:ascii="Times New Roman" w:eastAsia="Times New Roman" w:hAnsi="Times New Roman" w:cs="Times New Roman"/>
          <w:spacing w:val="31"/>
          <w:w w:val="10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值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Q;</w:t>
      </w:r>
      <w:r>
        <w:rPr>
          <w:spacing w:val="-10"/>
          <w:sz w:val="18"/>
          <w:szCs w:val="18"/>
        </w:rPr>
        <w:t>测量误差</w:t>
      </w:r>
    </w:p>
    <w:p>
      <w:pPr>
        <w:pStyle w:val="BodyText"/>
        <w:spacing w:before="54" w:line="212" w:lineRule="auto"/>
        <w:ind w:left="349"/>
        <w:rPr>
          <w:sz w:val="18"/>
          <w:szCs w:val="18"/>
        </w:rPr>
      </w:pPr>
      <w:r>
        <w:rPr>
          <w:spacing w:val="-12"/>
          <w:sz w:val="18"/>
          <w:szCs w:val="18"/>
        </w:rPr>
        <w:t>由下式计算被校</w:t>
      </w:r>
      <w:r>
        <w:rPr>
          <w:rFonts w:ascii="Times New Roman" w:eastAsia="Times New Roman" w:hAnsi="Times New Roman" w:cs="Times New Roman"/>
          <w:spacing w:val="-12"/>
          <w:sz w:val="18"/>
          <w:szCs w:val="18"/>
        </w:rPr>
        <w:t>Q</w:t>
      </w:r>
      <w:r>
        <w:rPr>
          <w:rFonts w:ascii="Times New Roman" w:eastAsia="Times New Roman" w:hAnsi="Times New Roman" w:cs="Times New Roman"/>
          <w:spacing w:val="16"/>
          <w:sz w:val="18"/>
          <w:szCs w:val="18"/>
        </w:rPr>
        <w:t xml:space="preserve"> </w:t>
      </w:r>
      <w:r>
        <w:rPr>
          <w:spacing w:val="-12"/>
          <w:sz w:val="18"/>
          <w:szCs w:val="18"/>
        </w:rPr>
        <w:t>表测试回路指示回路</w:t>
      </w:r>
      <w:r>
        <w:rPr>
          <w:spacing w:val="-2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18"/>
          <w:szCs w:val="18"/>
        </w:rPr>
        <w:t>Q</w:t>
      </w:r>
      <w:r>
        <w:rPr>
          <w:spacing w:val="-12"/>
          <w:sz w:val="18"/>
          <w:szCs w:val="18"/>
        </w:rPr>
        <w:t>值</w:t>
      </w:r>
      <w:r>
        <w:rPr>
          <w:rFonts w:ascii="Times New Roman" w:eastAsia="Times New Roman" w:hAnsi="Times New Roman" w:cs="Times New Roman"/>
          <w:spacing w:val="-12"/>
          <w:sz w:val="18"/>
          <w:szCs w:val="18"/>
        </w:rPr>
        <w:t>Q;</w:t>
      </w:r>
      <w:r>
        <w:rPr>
          <w:spacing w:val="-12"/>
          <w:sz w:val="18"/>
          <w:szCs w:val="18"/>
        </w:rPr>
        <w:t>的误差：</w:t>
      </w:r>
    </w:p>
    <w:p>
      <w:pPr>
        <w:spacing w:before="153" w:line="380" w:lineRule="exact"/>
        <w:ind w:firstLine="2219"/>
      </w:pPr>
      <w:r>
        <w:rPr>
          <w:position w:val="-7"/>
        </w:rPr>
        <w:drawing>
          <wp:inline distT="0" distB="0" distL="0" distR="0">
            <wp:extent cx="1098550" cy="24133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24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9" w:line="222" w:lineRule="auto"/>
        <w:ind w:right="5"/>
        <w:jc w:val="right"/>
        <w:rPr>
          <w:sz w:val="18"/>
          <w:szCs w:val="18"/>
        </w:rPr>
      </w:pPr>
      <w:r>
        <w:rPr>
          <w:spacing w:val="-9"/>
          <w:sz w:val="18"/>
          <w:szCs w:val="18"/>
        </w:rPr>
        <w:t>(6)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59" w:line="222" w:lineRule="auto"/>
        <w:ind w:right="15"/>
        <w:jc w:val="right"/>
        <w:rPr>
          <w:sz w:val="18"/>
          <w:szCs w:val="18"/>
        </w:rPr>
      </w:pPr>
      <w:r>
        <w:rPr>
          <w:spacing w:val="-9"/>
          <w:sz w:val="18"/>
          <w:szCs w:val="18"/>
        </w:rPr>
        <w:t>(7)</w:t>
      </w:r>
    </w:p>
    <w:p>
      <w:pPr>
        <w:spacing w:line="222" w:lineRule="auto"/>
        <w:rPr>
          <w:sz w:val="18"/>
          <w:szCs w:val="18"/>
        </w:rPr>
        <w:sectPr>
          <w:headerReference w:type="default" r:id="rId43"/>
          <w:footerReference w:type="default" r:id="rId44"/>
          <w:type w:val="continuous"/>
          <w:pgSz w:w="7640" w:h="10800"/>
          <w:pgMar w:top="929" w:right="580" w:bottom="870" w:left="860" w:header="722" w:footer="812" w:gutter="0"/>
          <w:pgNumType w:start="10"/>
          <w:cols w:num="2" w:space="708" w:equalWidth="0">
            <w:col w:w="5380" w:space="100"/>
            <w:col w:w="720" w:space="0"/>
          </w:cols>
        </w:sectPr>
      </w:pPr>
    </w:p>
    <w:p>
      <w:pPr>
        <w:pStyle w:val="BodyText"/>
        <w:spacing w:before="243" w:line="212" w:lineRule="auto"/>
      </w:pPr>
      <w:r>
        <w:rPr>
          <w:spacing w:val="-2"/>
        </w:rPr>
        <w:t>式</w:t>
      </w:r>
      <w:r>
        <w:rPr>
          <w:spacing w:val="-8"/>
        </w:rPr>
        <w:t xml:space="preserve"> </w:t>
      </w:r>
      <w:r>
        <w:rPr>
          <w:spacing w:val="-2"/>
        </w:rPr>
        <w:t>中</w:t>
      </w:r>
      <w:r>
        <w:rPr>
          <w:spacing w:val="-42"/>
        </w:rPr>
        <w:t xml:space="preserve"> </w:t>
      </w:r>
      <w:r>
        <w:rPr>
          <w:spacing w:val="-2"/>
        </w:rPr>
        <w:t>：</w:t>
      </w:r>
      <w:r>
        <w:rPr>
          <w:rFonts w:ascii="Times New Roman" w:eastAsia="Times New Roman" w:hAnsi="Times New Roman" w:cs="Times New Roman"/>
          <w:spacing w:val="-2"/>
        </w:rPr>
        <w:t>Qm——</w:t>
      </w:r>
      <w:r>
        <w:rPr>
          <w:spacing w:val="-2"/>
        </w:rPr>
        <w:t>被测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2"/>
        </w:rPr>
        <w:t>表的均值回路标准指示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2"/>
        </w:rPr>
        <w:t>值。</w:t>
      </w:r>
    </w:p>
    <w:p>
      <w:pPr>
        <w:pStyle w:val="BodyText"/>
        <w:spacing w:before="55" w:line="267" w:lineRule="auto"/>
        <w:ind w:firstLine="330"/>
        <w:jc w:val="both"/>
      </w:pPr>
      <w:r>
        <w:rPr>
          <w:rFonts w:ascii="Times New Roman" w:eastAsia="Times New Roman" w:hAnsi="Times New Roman" w:cs="Times New Roman"/>
          <w:spacing w:val="7"/>
        </w:rPr>
        <w:t xml:space="preserve">Q.  </w:t>
      </w:r>
      <w:r>
        <w:rPr>
          <w:spacing w:val="7"/>
        </w:rPr>
        <w:t>是理想化的具有平均值回路残量的谐振测量电路标准指示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Q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7"/>
        </w:rPr>
        <w:t>值，它寄附在</w:t>
      </w:r>
      <w:r>
        <w:rPr>
          <w:rFonts w:ascii="Times New Roman" w:eastAsia="Times New Roman" w:hAnsi="Times New Roman" w:cs="Times New Roman"/>
          <w:spacing w:val="7"/>
        </w:rPr>
        <w:t>Q</w:t>
      </w:r>
      <w:r>
        <w:rPr>
          <w:rFonts w:ascii="Times New Roman" w:eastAsia="Times New Roman" w:hAnsi="Times New Roman" w:cs="Times New Roman"/>
        </w:rPr>
        <w:t xml:space="preserve">  </w:t>
      </w:r>
      <w:r>
        <w:t>标准量具上。</w:t>
      </w:r>
      <w:r>
        <w:rPr>
          <w:rFonts w:ascii="Times New Roman" w:eastAsia="Times New Roman" w:hAnsi="Times New Roman" w:cs="Times New Roman"/>
        </w:rPr>
        <w:t>Q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t>标准计量部门进行有效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Q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t>值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</w:rPr>
        <w:t>Q</w:t>
      </w:r>
      <w:r>
        <w:t>。和有效配谐电容值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>
        <w:t>。定值时同时</w:t>
      </w:r>
      <w:r>
        <w:rPr>
          <w:spacing w:val="-1"/>
        </w:rPr>
        <w:t>也给</w:t>
      </w:r>
      <w:r>
        <w:t xml:space="preserve"> </w:t>
      </w:r>
      <w:r>
        <w:rPr>
          <w:spacing w:val="7"/>
        </w:rPr>
        <w:t>出了由</w:t>
      </w:r>
      <w:r>
        <w:rPr>
          <w:rFonts w:ascii="Times New Roman" w:eastAsia="Times New Roman" w:hAnsi="Times New Roman" w:cs="Times New Roman"/>
          <w:spacing w:val="7"/>
        </w:rPr>
        <w:t>Q</w:t>
      </w:r>
      <w:r>
        <w:rPr>
          <w:spacing w:val="7"/>
        </w:rPr>
        <w:t>。换算成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Q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7"/>
        </w:rPr>
        <w:t>的倍乘系数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k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7"/>
        </w:rPr>
        <w:t>。</w:t>
      </w:r>
      <w:r>
        <w:rPr>
          <w:spacing w:val="-38"/>
        </w:rPr>
        <w:t xml:space="preserve"> </w:t>
      </w:r>
      <w:r>
        <w:rPr>
          <w:spacing w:val="7"/>
        </w:rPr>
        <w:t>因此，用以校准指示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Q:</w:t>
      </w:r>
      <w:r>
        <w:rPr>
          <w:rFonts w:ascii="Times New Roman" w:eastAsia="Times New Roman" w:hAnsi="Times New Roman" w:cs="Times New Roman"/>
          <w:spacing w:val="35"/>
          <w:w w:val="102"/>
        </w:rPr>
        <w:t xml:space="preserve"> </w:t>
      </w:r>
      <w:r>
        <w:rPr>
          <w:spacing w:val="6"/>
        </w:rPr>
        <w:t>误差的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Q.   </w:t>
      </w:r>
      <w:r>
        <w:rPr>
          <w:spacing w:val="6"/>
        </w:rPr>
        <w:t>可由式(8)</w:t>
      </w:r>
      <w:r>
        <w:t xml:space="preserve"> </w:t>
      </w:r>
      <w:r>
        <w:rPr>
          <w:spacing w:val="-10"/>
        </w:rPr>
        <w:t>得到：</w:t>
      </w:r>
    </w:p>
    <w:p>
      <w:pPr>
        <w:pStyle w:val="BodyText"/>
        <w:spacing w:before="151" w:line="265" w:lineRule="auto"/>
        <w:ind w:right="25" w:firstLine="2719"/>
        <w:jc w:val="both"/>
      </w:pPr>
      <w:r>
        <w:rPr>
          <w:rFonts w:ascii="Times New Roman" w:eastAsia="Times New Roman" w:hAnsi="Times New Roman" w:cs="Times New Roman"/>
          <w:i/>
          <w:iCs/>
          <w:spacing w:val="-6"/>
        </w:rPr>
        <w:t>Qm=kQ</w:t>
      </w:r>
      <w:r>
        <w:rPr>
          <w:rFonts w:ascii="Times New Roman" w:eastAsia="Times New Roman" w:hAnsi="Times New Roman" w:cs="Times New Roman"/>
          <w:i/>
          <w:iCs/>
          <w:spacing w:val="1"/>
        </w:rPr>
        <w:t xml:space="preserve">                                    </w:t>
      </w:r>
      <w:r>
        <w:rPr>
          <w:rFonts w:ascii="Times New Roman" w:eastAsia="Times New Roman" w:hAnsi="Times New Roman" w:cs="Times New Roman"/>
          <w:i/>
          <w:iCs/>
        </w:rPr>
        <w:t xml:space="preserve">                               </w:t>
      </w:r>
      <w:r>
        <w:rPr>
          <w:spacing w:val="-6"/>
          <w:position w:val="-1"/>
        </w:rPr>
        <w:t>(8)</w:t>
      </w:r>
      <w:r>
        <w:rPr>
          <w:spacing w:val="1"/>
          <w:position w:val="-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Q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spacing w:val="6"/>
        </w:rPr>
        <w:t>标准线圈检定证书中所给出的典型</w:t>
      </w:r>
      <w:r>
        <w:rPr>
          <w:rFonts w:ascii="Times New Roman" w:eastAsia="Times New Roman" w:hAnsi="Times New Roman" w:cs="Times New Roman"/>
          <w:spacing w:val="6"/>
        </w:rPr>
        <w:t xml:space="preserve">Q </w:t>
      </w:r>
      <w:r>
        <w:rPr>
          <w:spacing w:val="6"/>
        </w:rPr>
        <w:t>表的倍乘系数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k</w:t>
      </w:r>
      <w:r>
        <w:rPr>
          <w:rFonts w:ascii="Times New Roman" w:eastAsia="Times New Roman" w:hAnsi="Times New Roman" w:cs="Times New Roman"/>
          <w:spacing w:val="20"/>
          <w:w w:val="102"/>
        </w:rPr>
        <w:t xml:space="preserve"> </w:t>
      </w:r>
      <w:r>
        <w:rPr>
          <w:spacing w:val="6"/>
        </w:rPr>
        <w:t>是从</w:t>
      </w:r>
      <w:r>
        <w:rPr>
          <w:rFonts w:ascii="Times New Roman" w:eastAsia="Times New Roman" w:hAnsi="Times New Roman" w:cs="Times New Roman"/>
          <w:spacing w:val="6"/>
        </w:rPr>
        <w:t>Q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6"/>
        </w:rPr>
        <w:t>表设计定型时给出的平</w:t>
      </w:r>
      <w:r>
        <w:t xml:space="preserve"> </w:t>
      </w:r>
      <w:r>
        <w:rPr>
          <w:spacing w:val="8"/>
        </w:rPr>
        <w:t>均值回路残量曲线</w:t>
      </w:r>
      <w:r>
        <w:rPr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(Q  </w:t>
      </w:r>
      <w:r>
        <w:rPr>
          <w:spacing w:val="8"/>
        </w:rPr>
        <w:t>表使用说明书中附有)查得残量值，按附录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B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8"/>
        </w:rPr>
        <w:t>所给出的计算公</w:t>
      </w:r>
      <w:r>
        <w:t xml:space="preserve"> </w:t>
      </w:r>
      <w:r>
        <w:rPr>
          <w:spacing w:val="-6"/>
        </w:rPr>
        <w:t>式求得的。</w:t>
      </w:r>
    </w:p>
    <w:p>
      <w:pPr>
        <w:spacing w:before="167" w:line="222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z w:val="16"/>
          <w:szCs w:val="16"/>
        </w:rPr>
        <w:t>8</w:t>
      </w:r>
      <w:r>
        <w:rPr>
          <w:rFonts w:ascii="SimHei" w:eastAsia="SimHei" w:hAnsi="SimHei" w:cs="SimHei"/>
          <w:spacing w:val="67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z w:val="16"/>
          <w:szCs w:val="16"/>
        </w:rPr>
        <w:t>校准结果的处理</w:t>
      </w:r>
    </w:p>
    <w:p>
      <w:pPr>
        <w:pStyle w:val="BodyText"/>
        <w:spacing w:before="157" w:line="261" w:lineRule="auto"/>
        <w:ind w:right="1" w:firstLine="330"/>
        <w:jc w:val="both"/>
      </w:pPr>
      <w:r>
        <w:rPr>
          <w:spacing w:val="4"/>
        </w:rPr>
        <w:t>将校准结果按附录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A </w:t>
      </w:r>
      <w:r>
        <w:rPr>
          <w:spacing w:val="4"/>
        </w:rPr>
        <w:t>所列表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A1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  <w:spacing w:val="4"/>
        </w:rPr>
        <w:t>A2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  <w:spacing w:val="4"/>
        </w:rPr>
        <w:t>A3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4"/>
        </w:rPr>
        <w:t>填写并出具校准证书。由于本校准规范</w:t>
      </w:r>
      <w:r>
        <w:t xml:space="preserve"> </w:t>
      </w:r>
      <w:r>
        <w:rPr>
          <w:spacing w:val="5"/>
        </w:rPr>
        <w:t>所规定的技术操作仅表明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Q </w:t>
      </w:r>
      <w:r>
        <w:rPr>
          <w:spacing w:val="5"/>
        </w:rPr>
        <w:t>表给出的量值(回路</w:t>
      </w:r>
      <w:r>
        <w:rPr>
          <w:spacing w:val="4"/>
        </w:rPr>
        <w:t>指示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Q;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4"/>
        </w:rPr>
        <w:t>和被测元件有效</w:t>
      </w:r>
      <w:r>
        <w:rPr>
          <w:rFonts w:ascii="Times New Roman" w:eastAsia="Times New Roman" w:hAnsi="Times New Roman" w:cs="Times New Roman"/>
          <w:spacing w:val="4"/>
        </w:rPr>
        <w:t xml:space="preserve">Q </w:t>
      </w:r>
      <w:r>
        <w:rPr>
          <w:spacing w:val="4"/>
        </w:rPr>
        <w:t>值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Q)      </w:t>
      </w:r>
      <w:r>
        <w:rPr>
          <w:spacing w:val="4"/>
        </w:rPr>
        <w:t>与</w:t>
      </w:r>
      <w:r>
        <w:t xml:space="preserve"> </w:t>
      </w:r>
      <w:r>
        <w:rPr>
          <w:spacing w:val="8"/>
        </w:rPr>
        <w:t>标准量具所复现的量值之间的参考关系(这是高频</w:t>
      </w:r>
      <w:r>
        <w:rPr>
          <w:rFonts w:ascii="Times New Roman" w:eastAsia="Times New Roman" w:hAnsi="Times New Roman" w:cs="Times New Roman"/>
          <w:spacing w:val="8"/>
        </w:rPr>
        <w:t>Q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8"/>
        </w:rPr>
        <w:t>表设计、使用特点所决定的),故</w:t>
      </w:r>
      <w:r>
        <w:t xml:space="preserve"> </w:t>
      </w:r>
      <w:r>
        <w:rPr>
          <w:spacing w:val="1"/>
        </w:rPr>
        <w:t>校准结果仅作出“在校准点上仪器示值</w:t>
      </w:r>
      <w:r>
        <w:rPr>
          <w:spacing w:val="-17"/>
        </w:rPr>
        <w:t xml:space="preserve"> </w:t>
      </w:r>
      <w:r>
        <w:rPr>
          <w:spacing w:val="1"/>
        </w:rPr>
        <w:t>(Q、C</w:t>
      </w:r>
      <w:r>
        <w:rPr>
          <w:rFonts w:ascii="Calibri" w:eastAsia="Calibri" w:hAnsi="Calibri" w:cs="Calibri"/>
          <w:spacing w:val="1"/>
        </w:rPr>
        <w:t>₁</w:t>
      </w:r>
      <w:r>
        <w:rPr>
          <w:spacing w:val="1"/>
        </w:rPr>
        <w:t>)   与</w:t>
      </w:r>
      <w:r>
        <w:rPr>
          <w:spacing w:val="-30"/>
        </w:rPr>
        <w:t xml:space="preserve"> </w:t>
      </w:r>
      <w:r>
        <w:rPr>
          <w:spacing w:val="1"/>
        </w:rPr>
        <w:t>Q</w:t>
      </w:r>
      <w:r>
        <w:rPr>
          <w:spacing w:val="25"/>
        </w:rPr>
        <w:t xml:space="preserve"> </w:t>
      </w:r>
      <w:r>
        <w:rPr>
          <w:spacing w:val="1"/>
        </w:rPr>
        <w:t>标准本身有效</w:t>
      </w:r>
      <w:r>
        <w:rPr>
          <w:spacing w:val="-47"/>
        </w:rPr>
        <w:t xml:space="preserve"> </w:t>
      </w:r>
      <w:r>
        <w:rPr>
          <w:spacing w:val="1"/>
        </w:rPr>
        <w:t>Q</w:t>
      </w:r>
      <w:r>
        <w:rPr>
          <w:spacing w:val="25"/>
        </w:rPr>
        <w:t xml:space="preserve"> </w:t>
      </w:r>
      <w:r>
        <w:rPr>
          <w:spacing w:val="1"/>
        </w:rPr>
        <w:t xml:space="preserve">值 </w:t>
      </w:r>
      <w:r>
        <w:t xml:space="preserve">(Q。、C。) </w:t>
      </w:r>
      <w:r>
        <w:rPr>
          <w:spacing w:val="2"/>
        </w:rPr>
        <w:t>对比关系。用户还可据此判断与</w:t>
      </w:r>
      <w:r>
        <w:rPr>
          <w:rFonts w:ascii="Times New Roman" w:eastAsia="Times New Roman" w:hAnsi="Times New Roman" w:cs="Times New Roman"/>
          <w:spacing w:val="2"/>
        </w:rPr>
        <w:t>Q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2"/>
        </w:rPr>
        <w:t>表技术条件规定要求符合程度。</w:t>
      </w:r>
    </w:p>
    <w:p>
      <w:pPr>
        <w:spacing w:before="188" w:line="221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z w:val="16"/>
          <w:szCs w:val="16"/>
        </w:rPr>
        <w:t>9</w:t>
      </w:r>
      <w:r>
        <w:rPr>
          <w:rFonts w:ascii="SimHei" w:eastAsia="SimHei" w:hAnsi="SimHei" w:cs="SimHei"/>
          <w:spacing w:val="65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z w:val="16"/>
          <w:szCs w:val="16"/>
        </w:rPr>
        <w:t>校准有效期</w:t>
      </w:r>
    </w:p>
    <w:p>
      <w:pPr>
        <w:pStyle w:val="BodyText"/>
        <w:spacing w:before="166" w:line="263" w:lineRule="auto"/>
        <w:ind w:right="28" w:firstLine="330"/>
      </w:pPr>
      <w:r>
        <w:rPr>
          <w:spacing w:val="8"/>
        </w:rPr>
        <w:t>高频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Q </w:t>
      </w:r>
      <w:r>
        <w:rPr>
          <w:spacing w:val="8"/>
        </w:rPr>
        <w:t>表的校准有效期由用户根据实际使用情况确定，建议</w:t>
      </w:r>
      <w:r>
        <w:rPr>
          <w:spacing w:val="7"/>
        </w:rPr>
        <w:t>一般不超过1年。修</w:t>
      </w:r>
      <w:r>
        <w:t xml:space="preserve"> </w:t>
      </w:r>
      <w:r>
        <w:t>理和调整后，应随时校准。</w:t>
      </w:r>
    </w:p>
    <w:p>
      <w:pPr>
        <w:spacing w:line="263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https://d.book118.com/216013143055010033</w:t>
        </w:r>
      </w:hyperlink>
    </w:p>
    <w:p>
      <w:pPr>
        <w:spacing w:line="263" w:lineRule="auto"/>
      </w:pPr>
    </w:p>
    <w:sectPr>
      <w:headerReference w:type="default" r:id="rId46"/>
      <w:footerReference w:type="default" r:id="rId47"/>
      <w:pgSz w:w="7640" w:h="10800"/>
      <w:pgMar w:top="838" w:right="834" w:bottom="780" w:left="609" w:header="724" w:footer="68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930"/>
      <w:rPr>
        <w:sz w:val="12"/>
        <w:szCs w:val="12"/>
      </w:rPr>
    </w:pPr>
    <w:r>
      <w:rPr>
        <w:sz w:val="12"/>
        <w:szCs w:val="1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930"/>
      <w:rPr>
        <w:sz w:val="12"/>
        <w:szCs w:val="12"/>
      </w:rPr>
    </w:pPr>
    <w:r>
      <w:rPr>
        <w:sz w:val="12"/>
        <w:szCs w:val="12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79"/>
      <w:rPr>
        <w:sz w:val="12"/>
        <w:szCs w:val="12"/>
      </w:rPr>
    </w:pPr>
    <w:r>
      <w:rPr>
        <w:sz w:val="12"/>
        <w:szCs w:val="12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79"/>
      <w:rPr>
        <w:sz w:val="12"/>
        <w:szCs w:val="12"/>
      </w:rPr>
    </w:pPr>
    <w:r>
      <w:rPr>
        <w:sz w:val="12"/>
        <w:szCs w:val="12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29"/>
      <w:rPr>
        <w:sz w:val="11"/>
        <w:szCs w:val="11"/>
      </w:rPr>
    </w:pPr>
    <w:r>
      <w:rPr>
        <w:sz w:val="11"/>
        <w:szCs w:val="11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29"/>
      <w:rPr>
        <w:sz w:val="11"/>
        <w:szCs w:val="11"/>
      </w:rPr>
    </w:pPr>
    <w:r>
      <w:rPr>
        <w:sz w:val="11"/>
        <w:szCs w:val="11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159"/>
      <w:rPr>
        <w:sz w:val="11"/>
        <w:szCs w:val="11"/>
      </w:rPr>
    </w:pPr>
    <w:r>
      <w:rPr>
        <w:sz w:val="11"/>
        <w:szCs w:val="11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159"/>
      <w:rPr>
        <w:sz w:val="11"/>
        <w:szCs w:val="11"/>
      </w:rPr>
    </w:pPr>
    <w:r>
      <w:rPr>
        <w:sz w:val="11"/>
        <w:szCs w:val="11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7" w:lineRule="exact"/>
      <w:rPr>
        <w:rFonts w:ascii="Arial"/>
        <w:sz w:val="4"/>
      </w:rPr>
    </w:pPr>
    <w:r>
      <mc:AlternateContent>
        <mc:Choice Requires="wps">
          <w:drawing>
            <wp:anchor distT="0" distB="0" distL="0" distR="0" simplePos="0" relativeHeight="251659264" behindDoc="0" locked="0" layoutInCell="0" allowOverlap="1">
              <wp:simplePos x="0" y="0"/>
              <wp:positionH relativeFrom="page">
                <wp:posOffset>4297043</wp:posOffset>
              </wp:positionH>
              <wp:positionV relativeFrom="page">
                <wp:posOffset>6258070</wp:posOffset>
              </wp:positionV>
              <wp:extent cx="62230" cy="131445"/>
              <wp:effectExtent l="0" t="0" r="0" b="0"/>
              <wp:wrapNone/>
              <wp:docPr id="18" name="TextBox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 rot="5400000">
                        <a:off x="4297043" y="6258070"/>
                        <a:ext cx="62230" cy="13144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pacing w:before="58" w:line="182" w:lineRule="auto"/>
                            <w:ind w:left="20"/>
                            <w:rPr>
                              <w:rFonts w:ascii="LiSu" w:eastAsia="LiSu" w:hAnsi="LiSu" w:cs="LiSu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LiSu" w:eastAsia="LiSu" w:hAnsi="LiSu" w:cs="LiSu"/>
                              <w:sz w:val="13"/>
                              <w:szCs w:val="13"/>
                            </w:rPr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2049" type="#_x0000_t202" style="width:4.9pt;height:10.35pt;margin-top:492.76pt;margin-left:338.35pt;mso-position-horizontal-relative:page;mso-position-vertical-relative:page;mso-wrap-distance-bottom:0;mso-wrap-distance-left:0;mso-wrap-distance-right:0;mso-wrap-distance-top:0;position:absolute;rotation:90;v-text-anchor:top;z-index:251658240" o:allowincell="f" filled="f" fillcolor="this" stroked="f">
              <v:textbox inset="0,0,0,0">
                <w:txbxContent>
                  <w:p>
                    <w:pPr>
                      <w:spacing w:before="58" w:line="182" w:lineRule="auto"/>
                      <w:ind w:left="20"/>
                      <w:rPr>
                        <w:rFonts w:ascii="LiSu" w:eastAsia="LiSu" w:hAnsi="LiSu" w:cs="LiSu"/>
                        <w:sz w:val="13"/>
                        <w:szCs w:val="13"/>
                      </w:rPr>
                    </w:pPr>
                    <w:r>
                      <w:rPr>
                        <w:rFonts w:ascii="LiSu" w:eastAsia="LiSu" w:hAnsi="LiSu" w:cs="LiSu"/>
                        <w:sz w:val="13"/>
                        <w:szCs w:val="13"/>
                      </w:rPr>
                      <w:t>5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7" w:lineRule="exact"/>
      <w:rPr>
        <w:rFonts w:ascii="Arial"/>
        <w:sz w:val="4"/>
      </w:rPr>
    </w:pPr>
    <w:r>
      <mc:AlternateContent>
        <mc:Choice Requires="wps">
          <w:drawing>
            <wp:anchor distT="0" distB="0" distL="0" distR="0" simplePos="0" relativeHeight="251661312" behindDoc="0" locked="0" layoutInCell="0" allowOverlap="1">
              <wp:simplePos x="0" y="0"/>
              <wp:positionH relativeFrom="page">
                <wp:posOffset>4297043</wp:posOffset>
              </wp:positionH>
              <wp:positionV relativeFrom="page">
                <wp:posOffset>6258070</wp:posOffset>
              </wp:positionV>
              <wp:extent cx="62230" cy="131445"/>
              <wp:effectExtent l="0" t="0" r="0" b="0"/>
              <wp:wrapNone/>
              <wp:docPr id="149590588" name="TextBox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 rot="5400000">
                        <a:off x="4297043" y="6258070"/>
                        <a:ext cx="62230" cy="13144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pacing w:before="58" w:line="182" w:lineRule="auto"/>
                            <w:ind w:left="20"/>
                            <w:rPr>
                              <w:rFonts w:ascii="LiSu" w:eastAsia="LiSu" w:hAnsi="LiSu" w:cs="LiSu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LiSu" w:eastAsia="LiSu" w:hAnsi="LiSu" w:cs="LiSu"/>
                              <w:sz w:val="13"/>
                              <w:szCs w:val="13"/>
                            </w:rPr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2050" type="#_x0000_t202" style="width:4.9pt;height:10.35pt;margin-top:492.76pt;margin-left:338.35pt;mso-position-horizontal-relative:page;mso-position-vertical-relative:page;mso-wrap-distance-bottom:0;mso-wrap-distance-left:0;mso-wrap-distance-right:0;mso-wrap-distance-top:0;position:absolute;rotation:90;v-text-anchor:top;z-index:251660288" o:allowincell="f" filled="f" fillcolor="this" stroked="f">
              <v:textbox inset="0,0,0,0">
                <w:txbxContent>
                  <w:p>
                    <w:pPr>
                      <w:spacing w:before="58" w:line="182" w:lineRule="auto"/>
                      <w:ind w:left="20"/>
                      <w:rPr>
                        <w:rFonts w:ascii="LiSu" w:eastAsia="LiSu" w:hAnsi="LiSu" w:cs="LiSu"/>
                        <w:sz w:val="13"/>
                        <w:szCs w:val="13"/>
                      </w:rPr>
                    </w:pPr>
                    <w:r>
                      <w:rPr>
                        <w:rFonts w:ascii="LiSu" w:eastAsia="LiSu" w:hAnsi="LiSu" w:cs="LiSu"/>
                        <w:sz w:val="13"/>
                        <w:szCs w:val="13"/>
                      </w:rPr>
                      <w:t>5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40"/>
      <w:rPr>
        <w:sz w:val="10"/>
        <w:szCs w:val="10"/>
      </w:rPr>
    </w:pPr>
    <w:r>
      <w:rPr>
        <w:sz w:val="10"/>
        <w:szCs w:val="10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29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520701</wp:posOffset>
          </wp:positionH>
          <wp:positionV relativeFrom="page">
            <wp:posOffset>558789</wp:posOffset>
          </wp:positionV>
          <wp:extent cx="3937007" cy="637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7007" cy="63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1"/>
        <w:szCs w:val="11"/>
      </w:rPr>
      <w:t>JJF</w:t>
    </w:r>
    <w:r>
      <w:rPr>
        <w:rFonts w:ascii="Times New Roman" w:eastAsia="Times New Roman" w:hAnsi="Times New Roman" w:cs="Times New Roman"/>
        <w:spacing w:val="1"/>
        <w:sz w:val="11"/>
        <w:szCs w:val="11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1"/>
        <w:szCs w:val="11"/>
      </w:rPr>
      <w:t>1073—2000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29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520701</wp:posOffset>
          </wp:positionH>
          <wp:positionV relativeFrom="page">
            <wp:posOffset>558789</wp:posOffset>
          </wp:positionV>
          <wp:extent cx="3937007" cy="6377"/>
          <wp:effectExtent l="0" t="0" r="0" b="0"/>
          <wp:wrapNone/>
          <wp:docPr id="91784084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784084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7007" cy="63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1"/>
        <w:szCs w:val="11"/>
      </w:rPr>
      <w:t>JJF</w:t>
    </w:r>
    <w:r>
      <w:rPr>
        <w:rFonts w:ascii="Times New Roman" w:eastAsia="Times New Roman" w:hAnsi="Times New Roman" w:cs="Times New Roman"/>
        <w:spacing w:val="1"/>
        <w:sz w:val="11"/>
        <w:szCs w:val="11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1"/>
        <w:szCs w:val="11"/>
      </w:rPr>
      <w:t>1073—2000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29"/>
      <w:rPr>
        <w:sz w:val="15"/>
        <w:szCs w:val="15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419112</wp:posOffset>
          </wp:positionH>
          <wp:positionV relativeFrom="page">
            <wp:posOffset>577855</wp:posOffset>
          </wp:positionV>
          <wp:extent cx="3943315" cy="6377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3315" cy="63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8"/>
        <w:sz w:val="15"/>
        <w:szCs w:val="15"/>
      </w:rPr>
      <w:t>JJF</w:t>
    </w:r>
    <w:r>
      <w:rPr>
        <w:spacing w:val="17"/>
        <w:sz w:val="15"/>
        <w:szCs w:val="15"/>
      </w:rPr>
      <w:t xml:space="preserve"> </w:t>
    </w:r>
    <w:r>
      <w:rPr>
        <w:spacing w:val="-8"/>
        <w:sz w:val="15"/>
        <w:szCs w:val="15"/>
      </w:rPr>
      <w:t>1073—2000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29"/>
      <w:rPr>
        <w:sz w:val="15"/>
        <w:szCs w:val="15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419112</wp:posOffset>
          </wp:positionH>
          <wp:positionV relativeFrom="page">
            <wp:posOffset>577855</wp:posOffset>
          </wp:positionV>
          <wp:extent cx="3943315" cy="6377"/>
          <wp:effectExtent l="0" t="0" r="0" b="0"/>
          <wp:wrapNone/>
          <wp:docPr id="143601246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01246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3315" cy="63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8"/>
        <w:sz w:val="15"/>
        <w:szCs w:val="15"/>
      </w:rPr>
      <w:t>JJF</w:t>
    </w:r>
    <w:r>
      <w:rPr>
        <w:spacing w:val="17"/>
        <w:sz w:val="15"/>
        <w:szCs w:val="15"/>
      </w:rPr>
      <w:t xml:space="preserve"> </w:t>
    </w:r>
    <w:r>
      <w:rPr>
        <w:spacing w:val="-8"/>
        <w:sz w:val="15"/>
        <w:szCs w:val="15"/>
      </w:rPr>
      <w:t>1073—2000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21"/>
      <w:rPr>
        <w:sz w:val="14"/>
        <w:szCs w:val="14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552428</wp:posOffset>
          </wp:positionH>
          <wp:positionV relativeFrom="page">
            <wp:posOffset>584213</wp:posOffset>
          </wp:positionV>
          <wp:extent cx="3937007" cy="635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70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4"/>
        <w:szCs w:val="14"/>
      </w:rPr>
      <w:t>JJF</w:t>
    </w:r>
    <w:r>
      <w:rPr>
        <w:spacing w:val="24"/>
        <w:sz w:val="14"/>
        <w:szCs w:val="14"/>
      </w:rPr>
      <w:t xml:space="preserve"> </w:t>
    </w:r>
    <w:r>
      <w:rPr>
        <w:b/>
        <w:bCs/>
        <w:spacing w:val="-4"/>
        <w:sz w:val="14"/>
        <w:szCs w:val="14"/>
      </w:rPr>
      <w:t>1073—2000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21"/>
      <w:rPr>
        <w:sz w:val="14"/>
        <w:szCs w:val="14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552428</wp:posOffset>
          </wp:positionH>
          <wp:positionV relativeFrom="page">
            <wp:posOffset>584213</wp:posOffset>
          </wp:positionV>
          <wp:extent cx="3937007" cy="6350"/>
          <wp:effectExtent l="0" t="0" r="0" b="0"/>
          <wp:wrapNone/>
          <wp:docPr id="135534741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34741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70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4"/>
        <w:szCs w:val="14"/>
      </w:rPr>
      <w:t>JJF</w:t>
    </w:r>
    <w:r>
      <w:rPr>
        <w:spacing w:val="24"/>
        <w:sz w:val="14"/>
        <w:szCs w:val="14"/>
      </w:rPr>
      <w:t xml:space="preserve"> </w:t>
    </w:r>
    <w:r>
      <w:rPr>
        <w:b/>
        <w:bCs/>
        <w:spacing w:val="-4"/>
        <w:sz w:val="14"/>
        <w:szCs w:val="14"/>
      </w:rPr>
      <w:t>1073—2000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4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412757</wp:posOffset>
          </wp:positionH>
          <wp:positionV relativeFrom="page">
            <wp:posOffset>584213</wp:posOffset>
          </wp:positionV>
          <wp:extent cx="3949670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67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1"/>
        <w:szCs w:val="11"/>
      </w:rPr>
      <w:t>JJF</w:t>
    </w:r>
    <w:r>
      <w:rPr>
        <w:rFonts w:ascii="Times New Roman" w:eastAsia="Times New Roman" w:hAnsi="Times New Roman" w:cs="Times New Roman"/>
        <w:spacing w:val="1"/>
        <w:sz w:val="11"/>
        <w:szCs w:val="11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1"/>
        <w:szCs w:val="11"/>
      </w:rPr>
      <w:t>1073—2000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4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412757</wp:posOffset>
          </wp:positionH>
          <wp:positionV relativeFrom="page">
            <wp:posOffset>584213</wp:posOffset>
          </wp:positionV>
          <wp:extent cx="3949670" cy="6350"/>
          <wp:effectExtent l="0" t="0" r="0" b="0"/>
          <wp:wrapNone/>
          <wp:docPr id="182072096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72096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67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1"/>
        <w:szCs w:val="11"/>
      </w:rPr>
      <w:t>JJF</w:t>
    </w:r>
    <w:r>
      <w:rPr>
        <w:rFonts w:ascii="Times New Roman" w:eastAsia="Times New Roman" w:hAnsi="Times New Roman" w:cs="Times New Roman"/>
        <w:spacing w:val="1"/>
        <w:sz w:val="11"/>
        <w:szCs w:val="11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1"/>
        <w:szCs w:val="11"/>
      </w:rPr>
      <w:t>1073—2000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29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558784</wp:posOffset>
          </wp:positionH>
          <wp:positionV relativeFrom="page">
            <wp:posOffset>581169</wp:posOffset>
          </wp:positionV>
          <wp:extent cx="3924297" cy="889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24297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1"/>
        <w:szCs w:val="11"/>
      </w:rPr>
      <w:t>JJF</w:t>
    </w:r>
    <w:r>
      <w:rPr>
        <w:rFonts w:ascii="Times New Roman" w:eastAsia="Times New Roman" w:hAnsi="Times New Roman" w:cs="Times New Roman"/>
        <w:spacing w:val="1"/>
        <w:sz w:val="11"/>
        <w:szCs w:val="11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1"/>
        <w:szCs w:val="11"/>
      </w:rPr>
      <w:t>1073—2000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29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558784</wp:posOffset>
          </wp:positionH>
          <wp:positionV relativeFrom="page">
            <wp:posOffset>581169</wp:posOffset>
          </wp:positionV>
          <wp:extent cx="3924297" cy="8890"/>
          <wp:effectExtent l="0" t="0" r="0" b="0"/>
          <wp:wrapNone/>
          <wp:docPr id="103773930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773930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24297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1"/>
        <w:szCs w:val="11"/>
      </w:rPr>
      <w:t>JJF</w:t>
    </w:r>
    <w:r>
      <w:rPr>
        <w:rFonts w:ascii="Times New Roman" w:eastAsia="Times New Roman" w:hAnsi="Times New Roman" w:cs="Times New Roman"/>
        <w:spacing w:val="1"/>
        <w:sz w:val="11"/>
        <w:szCs w:val="11"/>
      </w:rPr>
      <w:t xml:space="preserve">          </w:t>
    </w:r>
    <w:r>
      <w:rPr>
        <w:rFonts w:ascii="Times New Roman" w:eastAsia="Times New Roman" w:hAnsi="Times New Roman" w:cs="Times New Roman"/>
        <w:spacing w:val="-2"/>
        <w:sz w:val="11"/>
        <w:szCs w:val="11"/>
      </w:rPr>
      <w:t>1073—2000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577"/>
      </w:tabs>
      <w:spacing w:line="136" w:lineRule="auto"/>
      <w:rPr>
        <w:sz w:val="14"/>
        <w:szCs w:val="14"/>
      </w:rPr>
    </w:pPr>
    <w:r>
      <w:rPr>
        <w:sz w:val="14"/>
        <w:szCs w:val="14"/>
        <w:u w:val="single" w:color="auto"/>
      </w:rPr>
      <w:tab/>
    </w:r>
    <w:r>
      <w:rPr>
        <w:b/>
        <w:bCs/>
        <w:spacing w:val="-2"/>
        <w:sz w:val="14"/>
        <w:szCs w:val="14"/>
        <w:u w:val="single" w:color="auto"/>
      </w:rPr>
      <w:t>LJF</w:t>
    </w:r>
    <w:r>
      <w:rPr>
        <w:spacing w:val="-2"/>
        <w:sz w:val="14"/>
        <w:szCs w:val="14"/>
        <w:u w:val="single" w:color="auto"/>
      </w:rPr>
      <w:t xml:space="preserve">  </w:t>
    </w:r>
    <w:r>
      <w:rPr>
        <w:b/>
        <w:bCs/>
        <w:spacing w:val="-2"/>
        <w:sz w:val="14"/>
        <w:szCs w:val="14"/>
        <w:u w:val="single" w:color="auto"/>
      </w:rPr>
      <w:t>1073—2000</w:t>
    </w:r>
    <w:r>
      <w:rPr>
        <w:spacing w:val="-2"/>
        <w:sz w:val="14"/>
        <w:szCs w:val="14"/>
        <w:u w:val="single" w:color="auto"/>
      </w:rPr>
      <w:t xml:space="preserve">               </w:t>
    </w:r>
    <w:r>
      <w:rPr>
        <w:spacing w:val="-3"/>
        <w:sz w:val="14"/>
        <w:szCs w:val="14"/>
        <w:u w:val="single" w:color="auto"/>
      </w:rPr>
      <w:t xml:space="preserve">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5.3.2.1" TargetMode="External" /><Relationship Id="rId13" Type="http://schemas.openxmlformats.org/officeDocument/2006/relationships/hyperlink" Target="5.3.2.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yperlink" Target="7.1.2.1" TargetMode="External" /><Relationship Id="rId17" Type="http://schemas.openxmlformats.org/officeDocument/2006/relationships/hyperlink" Target="7.1.2.2" TargetMode="External" /><Relationship Id="rId18" Type="http://schemas.openxmlformats.org/officeDocument/2006/relationships/hyperlink" Target="7.1.2.3" TargetMode="Externa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yperlink" Target="7.3.1.1" TargetMode="External" /><Relationship Id="rId22" Type="http://schemas.openxmlformats.org/officeDocument/2006/relationships/hyperlink" Target="7.3.1.2" TargetMode="Externa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6.jpeg" /><Relationship Id="rId26" Type="http://schemas.openxmlformats.org/officeDocument/2006/relationships/hyperlink" Target="7.3.1.3" TargetMode="External" /><Relationship Id="rId27" Type="http://schemas.openxmlformats.org/officeDocument/2006/relationships/hyperlink" Target="7.3.1.4" TargetMode="External" /><Relationship Id="rId28" Type="http://schemas.openxmlformats.org/officeDocument/2006/relationships/hyperlink" Target="7.3.1.5" TargetMode="External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8.png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image" Target="media/image9.png" /><Relationship Id="rId35" Type="http://schemas.openxmlformats.org/officeDocument/2006/relationships/image" Target="media/image10.jpeg" /><Relationship Id="rId36" Type="http://schemas.openxmlformats.org/officeDocument/2006/relationships/image" Target="media/image11.jpeg" /><Relationship Id="rId37" Type="http://schemas.openxmlformats.org/officeDocument/2006/relationships/hyperlink" Target="7.3.3.1" TargetMode="Externa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image" Target="media/image1.png" /><Relationship Id="rId40" Type="http://schemas.openxmlformats.org/officeDocument/2006/relationships/image" Target="media/image13.png" /><Relationship Id="rId41" Type="http://schemas.openxmlformats.org/officeDocument/2006/relationships/hyperlink" Target="7.3.3.2" TargetMode="External" /><Relationship Id="rId42" Type="http://schemas.openxmlformats.org/officeDocument/2006/relationships/image" Target="media/image14.png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hyperlink" Target="https://d.book118.com/216013143055010033" TargetMode="External" /><Relationship Id="rId46" Type="http://schemas.openxmlformats.org/officeDocument/2006/relationships/header" Target="header11.xml" /><Relationship Id="rId47" Type="http://schemas.openxmlformats.org/officeDocument/2006/relationships/footer" Target="footer11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2024-01-11T17:13:57Z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2024-01-11T17:13:59Z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659fb1534bc505001ffa4d3fwl</vt:lpwstr>
  </property>
</Properties>
</file>