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
        <w:rPr>
          <w:rFonts w:ascii="Times New Roman"/>
        </w:rPr>
      </w:pPr>
    </w:p>
    <w:p>
      <w:pPr>
        <w:spacing w:before="0" w:line="921" w:lineRule="exact"/>
        <w:ind w:left="653" w:right="629" w:firstLine="0"/>
        <w:jc w:val="center"/>
        <w:rPr>
          <w:b/>
          <w:sz w:val="72"/>
        </w:rPr>
      </w:pPr>
      <w:r>
        <w:rPr>
          <w:b/>
          <w:sz w:val="72"/>
        </w:rPr>
        <w:t>建设项目环境影响报告表</w:t>
      </w:r>
    </w:p>
    <w:p>
      <w:pPr>
        <w:spacing w:before="88"/>
        <w:ind w:left="653" w:right="708" w:firstLine="0"/>
        <w:jc w:val="center"/>
        <w:rPr>
          <w:b/>
          <w:sz w:val="36"/>
        </w:rPr>
      </w:pPr>
      <w:r>
        <w:rPr>
          <w:b/>
          <w:sz w:val="36"/>
        </w:rPr>
        <w:t>（污染影响类）</w:t>
      </w: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rPr>
          <w:b/>
          <w:sz w:val="36"/>
        </w:rPr>
      </w:pPr>
    </w:p>
    <w:p>
      <w:pPr>
        <w:pStyle w:val="BodyText"/>
        <w:spacing w:before="6"/>
        <w:rPr>
          <w:b/>
          <w:sz w:val="50"/>
        </w:rPr>
      </w:pPr>
    </w:p>
    <w:p>
      <w:pPr>
        <w:pStyle w:val="Heading1"/>
        <w:tabs>
          <w:tab w:val="left" w:pos="4539"/>
          <w:tab w:val="left" w:pos="5526"/>
          <w:tab w:val="left" w:pos="9003"/>
          <w:tab w:val="left" w:pos="9425"/>
        </w:tabs>
        <w:spacing w:before="0" w:line="364" w:lineRule="auto"/>
        <w:ind w:left="1040" w:right="459"/>
        <w:jc w:val="left"/>
      </w:pPr>
      <w:r>
        <w:t>项目名称：</w:t>
      </w:r>
      <w:r>
        <w:rPr>
          <w:u w:val="thick"/>
        </w:rPr>
        <w:t xml:space="preserve"> </w:t>
      </w:r>
      <w:r>
        <w:rPr>
          <w:u w:val="thick"/>
        </w:rPr>
        <w:tab/>
      </w:r>
      <w:r>
        <w:rPr>
          <w:w w:val="95"/>
          <w:u w:val="thick"/>
        </w:rPr>
        <w:t>年产生</w:t>
      </w:r>
      <w:r>
        <w:rPr>
          <w:spacing w:val="-106"/>
          <w:w w:val="95"/>
          <w:u w:val="thick"/>
        </w:rPr>
        <w:t xml:space="preserve"> </w:t>
      </w:r>
      <w:r>
        <w:rPr>
          <w:w w:val="95"/>
          <w:u w:val="thick"/>
        </w:rPr>
        <w:t>物质颗粒</w:t>
      </w:r>
      <w:r>
        <w:rPr>
          <w:rFonts w:ascii="Times New Roman" w:eastAsia="Times New Roman"/>
          <w:w w:val="95"/>
          <w:u w:val="thick"/>
        </w:rPr>
        <w:t>1000</w:t>
      </w:r>
      <w:r>
        <w:rPr>
          <w:w w:val="95"/>
          <w:u w:val="thick"/>
        </w:rPr>
        <w:t>吨项目</w:t>
      </w:r>
      <w:r>
        <w:rPr>
          <w:w w:val="95"/>
          <w:u w:val="thick"/>
        </w:rPr>
        <w:tab/>
      </w:r>
      <w:r>
        <w:rPr>
          <w:w w:val="95"/>
          <w:u w:val="thick"/>
        </w:rPr>
        <w:tab/>
      </w:r>
      <w:r>
        <w:rPr>
          <w:w w:val="95"/>
          <w:u w:val="thick"/>
        </w:rPr>
        <w:t xml:space="preserve"> </w:t>
      </w:r>
      <w:r>
        <w:t>建设单位</w:t>
      </w:r>
      <w:r>
        <w:rPr>
          <w:spacing w:val="-29"/>
        </w:rPr>
        <w:t>（</w:t>
      </w:r>
      <w:r>
        <w:rPr>
          <w:spacing w:val="-31"/>
        </w:rPr>
        <w:t>盖</w:t>
      </w:r>
      <w:r>
        <w:rPr>
          <w:spacing w:val="-29"/>
        </w:rPr>
        <w:t>章</w:t>
      </w:r>
      <w:r>
        <w:rPr>
          <w:spacing w:val="-30"/>
        </w:rPr>
        <w:t>）：</w:t>
      </w:r>
      <w:r>
        <w:rPr>
          <w:spacing w:val="-30"/>
          <w:u w:val="thick"/>
        </w:rPr>
        <w:t xml:space="preserve"> </w:t>
      </w:r>
      <w:r>
        <w:rPr>
          <w:spacing w:val="-30"/>
          <w:u w:val="thick"/>
        </w:rPr>
        <w:tab/>
      </w:r>
      <w:r>
        <w:rPr>
          <w:spacing w:val="-29"/>
          <w:w w:val="95"/>
          <w:u w:val="thick"/>
        </w:rPr>
        <w:t>宁</w:t>
      </w:r>
      <w:r>
        <w:rPr>
          <w:spacing w:val="-31"/>
          <w:w w:val="95"/>
          <w:u w:val="thick"/>
        </w:rPr>
        <w:t>津</w:t>
      </w:r>
      <w:r>
        <w:rPr>
          <w:spacing w:val="-29"/>
          <w:w w:val="95"/>
          <w:u w:val="thick"/>
        </w:rPr>
        <w:t>县</w:t>
      </w:r>
      <w:r>
        <w:rPr>
          <w:spacing w:val="-31"/>
          <w:w w:val="95"/>
          <w:u w:val="thick"/>
        </w:rPr>
        <w:t>奥</w:t>
      </w:r>
      <w:r>
        <w:rPr>
          <w:spacing w:val="-29"/>
          <w:w w:val="95"/>
          <w:u w:val="thick"/>
        </w:rPr>
        <w:t>翔</w:t>
      </w:r>
      <w:r>
        <w:rPr>
          <w:spacing w:val="-31"/>
          <w:w w:val="95"/>
          <w:u w:val="thick"/>
        </w:rPr>
        <w:t>生</w:t>
      </w:r>
      <w:r>
        <w:rPr>
          <w:spacing w:val="-29"/>
          <w:w w:val="95"/>
          <w:u w:val="thick"/>
        </w:rPr>
        <w:t>物</w:t>
      </w:r>
      <w:r>
        <w:rPr>
          <w:spacing w:val="-31"/>
          <w:w w:val="95"/>
          <w:u w:val="thick"/>
        </w:rPr>
        <w:t>质</w:t>
      </w:r>
      <w:r>
        <w:rPr>
          <w:spacing w:val="-29"/>
          <w:w w:val="95"/>
          <w:u w:val="thick"/>
        </w:rPr>
        <w:t>颗</w:t>
      </w:r>
      <w:r>
        <w:rPr>
          <w:spacing w:val="-31"/>
          <w:w w:val="95"/>
          <w:u w:val="thick"/>
        </w:rPr>
        <w:t>粒</w:t>
      </w:r>
      <w:r>
        <w:rPr>
          <w:spacing w:val="-29"/>
          <w:w w:val="95"/>
          <w:u w:val="thick"/>
        </w:rPr>
        <w:t>加</w:t>
      </w:r>
      <w:r>
        <w:rPr>
          <w:spacing w:val="-31"/>
          <w:w w:val="95"/>
          <w:u w:val="thick"/>
        </w:rPr>
        <w:t>工</w:t>
      </w:r>
      <w:r>
        <w:rPr>
          <w:w w:val="95"/>
          <w:u w:val="thick"/>
        </w:rPr>
        <w:t>厂</w:t>
      </w:r>
      <w:r>
        <w:rPr>
          <w:w w:val="95"/>
          <w:u w:val="thick"/>
        </w:rPr>
        <w:tab/>
      </w:r>
      <w:r>
        <w:rPr>
          <w:w w:val="95"/>
        </w:rPr>
        <w:t xml:space="preserve"> </w:t>
      </w:r>
      <w:r>
        <w:t>编制日期：</w:t>
      </w:r>
      <w:r>
        <w:rPr>
          <w:u w:val="thick"/>
        </w:rPr>
        <w:t xml:space="preserve"> </w:t>
      </w:r>
      <w:r>
        <w:rPr>
          <w:u w:val="thick"/>
        </w:rPr>
        <w:tab/>
      </w:r>
      <w:r>
        <w:rPr>
          <w:u w:val="thick"/>
        </w:rPr>
        <w:tab/>
      </w:r>
      <w:r>
        <w:rPr>
          <w:rFonts w:ascii="Times New Roman" w:eastAsia="Times New Roman"/>
          <w:w w:val="95"/>
          <w:u w:val="thick"/>
        </w:rPr>
        <w:t>2022</w:t>
      </w:r>
      <w:r>
        <w:rPr>
          <w:w w:val="95"/>
          <w:u w:val="thick"/>
        </w:rPr>
        <w:t>年</w:t>
      </w:r>
      <w:r>
        <w:rPr>
          <w:rFonts w:ascii="Times New Roman" w:eastAsia="Times New Roman"/>
          <w:w w:val="95"/>
          <w:u w:val="thick"/>
        </w:rPr>
        <w:t>6</w:t>
      </w:r>
      <w:r>
        <w:rPr>
          <w:w w:val="95"/>
          <w:u w:val="thick"/>
        </w:rPr>
        <w:t>月</w:t>
      </w:r>
      <w:r>
        <w:rPr>
          <w:u w:val="thick"/>
        </w:rPr>
        <w:tab/>
      </w:r>
      <w:r>
        <w:rPr>
          <w:u w:val="thick"/>
        </w:rPr>
        <w:tab/>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185"/>
        <w:ind w:left="653" w:right="713" w:firstLine="0"/>
        <w:jc w:val="center"/>
        <w:rPr>
          <w:b/>
          <w:sz w:val="32"/>
        </w:rPr>
      </w:pPr>
      <w:r>
        <w:rPr>
          <w:b/>
          <w:sz w:val="32"/>
        </w:rPr>
        <w:t>中华人民共和国生态环境部制</w:t>
      </w:r>
    </w:p>
    <w:p>
      <w:pPr>
        <w:spacing w:after="0"/>
        <w:jc w:val="center"/>
        <w:rPr>
          <w:sz w:val="32"/>
        </w:rPr>
        <w:sectPr>
          <w:pgSz w:w="11910" w:h="16840"/>
          <w:pgMar w:top="1580" w:right="980" w:bottom="280" w:left="1040" w:header="720" w:footer="720" w:gutter="0"/>
          <w:cols w:num="1" w:space="720"/>
        </w:sectPr>
      </w:pPr>
    </w:p>
    <w:p>
      <w:pPr>
        <w:spacing w:before="30"/>
        <w:ind w:left="653" w:right="708" w:firstLine="0"/>
        <w:jc w:val="center"/>
        <w:rPr>
          <w:b/>
          <w:sz w:val="32"/>
        </w:rPr>
      </w:pPr>
      <w:r>
        <w:rPr>
          <w:b/>
          <w:sz w:val="32"/>
        </w:rPr>
        <w:t>一、建设项目基本情况</w:t>
      </w:r>
    </w:p>
    <w:p>
      <w:pPr>
        <w:pStyle w:val="BodyText"/>
        <w:spacing w:before="3"/>
        <w:rPr>
          <w:b/>
          <w:sz w:val="8"/>
        </w:r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992"/>
        <w:gridCol w:w="1985"/>
        <w:gridCol w:w="3194"/>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2"/>
        </w:trPr>
        <w:tc>
          <w:tcPr>
            <w:tcW w:w="2183" w:type="dxa"/>
          </w:tcPr>
          <w:p>
            <w:pPr>
              <w:pStyle w:val="TableParagraph"/>
              <w:spacing w:before="68"/>
              <w:ind w:left="370"/>
              <w:rPr>
                <w:b/>
                <w:sz w:val="24"/>
              </w:rPr>
            </w:pPr>
            <w:r>
              <w:rPr>
                <w:b/>
                <w:sz w:val="24"/>
              </w:rPr>
              <w:t>建设项目名称</w:t>
            </w:r>
          </w:p>
        </w:tc>
        <w:tc>
          <w:tcPr>
            <w:tcW w:w="7171" w:type="dxa"/>
            <w:gridSpan w:val="3"/>
          </w:tcPr>
          <w:p>
            <w:pPr>
              <w:pStyle w:val="TableParagraph"/>
              <w:spacing w:before="68"/>
              <w:ind w:left="204" w:right="196"/>
              <w:jc w:val="center"/>
              <w:rPr>
                <w:sz w:val="24"/>
              </w:rPr>
            </w:pPr>
            <w:r>
              <w:rPr>
                <w:sz w:val="24"/>
              </w:rPr>
              <w:t xml:space="preserve">年产生物质颗粒 </w:t>
            </w:r>
            <w:r>
              <w:rPr>
                <w:rFonts w:ascii="Times New Roman" w:eastAsia="Times New Roman"/>
                <w:sz w:val="24"/>
              </w:rPr>
              <w:t xml:space="preserve">1000 </w:t>
            </w:r>
            <w:r>
              <w:rPr>
                <w:sz w:val="24"/>
              </w:rPr>
              <w:t>吨项目</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7"/>
              <w:ind w:left="610"/>
              <w:rPr>
                <w:b/>
                <w:sz w:val="24"/>
              </w:rPr>
            </w:pPr>
            <w:r>
              <w:rPr>
                <w:b/>
                <w:sz w:val="24"/>
              </w:rPr>
              <w:t>项目代码</w:t>
            </w:r>
          </w:p>
        </w:tc>
        <w:tc>
          <w:tcPr>
            <w:tcW w:w="7171" w:type="dxa"/>
            <w:gridSpan w:val="3"/>
          </w:tcPr>
          <w:p>
            <w:pPr>
              <w:pStyle w:val="TableParagraph"/>
              <w:spacing w:before="83"/>
              <w:ind w:left="204" w:right="189"/>
              <w:jc w:val="center"/>
              <w:rPr>
                <w:rFonts w:ascii="Times New Roman"/>
                <w:sz w:val="24"/>
              </w:rPr>
            </w:pPr>
            <w:r>
              <w:rPr>
                <w:rFonts w:ascii="Times New Roman"/>
                <w:sz w:val="24"/>
              </w:rPr>
              <w:t>2206-371422-04-01-997511</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6"/>
              <w:ind w:left="250"/>
              <w:rPr>
                <w:b/>
                <w:sz w:val="24"/>
              </w:rPr>
            </w:pPr>
            <w:r>
              <w:rPr>
                <w:b/>
                <w:sz w:val="24"/>
              </w:rPr>
              <w:t>建设单位联系人</w:t>
            </w:r>
          </w:p>
        </w:tc>
        <w:tc>
          <w:tcPr>
            <w:tcW w:w="1992" w:type="dxa"/>
          </w:tcPr>
          <w:p>
            <w:pPr>
              <w:pStyle w:val="TableParagraph"/>
              <w:spacing w:before="66"/>
              <w:ind w:left="615" w:right="607"/>
              <w:jc w:val="center"/>
              <w:rPr>
                <w:sz w:val="24"/>
              </w:rPr>
            </w:pPr>
          </w:p>
        </w:tc>
        <w:tc>
          <w:tcPr>
            <w:tcW w:w="1985" w:type="dxa"/>
          </w:tcPr>
          <w:p>
            <w:pPr>
              <w:pStyle w:val="TableParagraph"/>
              <w:spacing w:before="66"/>
              <w:ind w:left="95" w:right="83"/>
              <w:jc w:val="center"/>
              <w:rPr>
                <w:b/>
                <w:sz w:val="24"/>
              </w:rPr>
            </w:pPr>
            <w:r>
              <w:rPr>
                <w:b/>
                <w:sz w:val="24"/>
              </w:rPr>
              <w:t>联系方式</w:t>
            </w:r>
          </w:p>
        </w:tc>
        <w:tc>
          <w:tcPr>
            <w:tcW w:w="3194" w:type="dxa"/>
          </w:tcPr>
          <w:p>
            <w:pPr>
              <w:pStyle w:val="TableParagraph"/>
              <w:spacing w:before="82"/>
              <w:ind w:left="154" w:right="144"/>
              <w:jc w:val="center"/>
              <w:rPr>
                <w:rFonts w:ascii="Times New Roman"/>
                <w:sz w:val="24"/>
              </w:rPr>
            </w:pP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8"/>
              <w:ind w:left="610"/>
              <w:rPr>
                <w:b/>
                <w:sz w:val="24"/>
              </w:rPr>
            </w:pPr>
            <w:r>
              <w:rPr>
                <w:b/>
                <w:sz w:val="24"/>
              </w:rPr>
              <w:t>建设地点</w:t>
            </w:r>
          </w:p>
        </w:tc>
        <w:tc>
          <w:tcPr>
            <w:tcW w:w="7171" w:type="dxa"/>
            <w:gridSpan w:val="3"/>
          </w:tcPr>
          <w:p>
            <w:pPr>
              <w:pStyle w:val="TableParagraph"/>
              <w:spacing w:before="68"/>
              <w:ind w:left="204" w:right="196"/>
              <w:jc w:val="center"/>
              <w:rPr>
                <w:sz w:val="24"/>
              </w:rPr>
            </w:pPr>
            <w:r>
              <w:rPr>
                <w:sz w:val="24"/>
              </w:rPr>
              <w:t>德州市宁津县张大庄镇王庄村</w:t>
            </w:r>
          </w:p>
        </w:tc>
      </w:tr>
      <w:tr>
        <w:tblPrEx>
          <w:tblW w:w="0" w:type="auto"/>
          <w:tblInd w:w="241" w:type="dxa"/>
          <w:tblLayout w:type="fixed"/>
          <w:tblCellMar>
            <w:top w:w="0" w:type="dxa"/>
            <w:left w:w="0" w:type="dxa"/>
            <w:bottom w:w="0" w:type="dxa"/>
            <w:right w:w="0" w:type="dxa"/>
          </w:tblCellMar>
        </w:tblPrEx>
        <w:trPr>
          <w:trHeight w:val="441"/>
        </w:trPr>
        <w:tc>
          <w:tcPr>
            <w:tcW w:w="2183" w:type="dxa"/>
          </w:tcPr>
          <w:p>
            <w:pPr>
              <w:pStyle w:val="TableParagraph"/>
              <w:spacing w:before="67"/>
              <w:ind w:left="610"/>
              <w:rPr>
                <w:b/>
                <w:sz w:val="24"/>
              </w:rPr>
            </w:pPr>
            <w:r>
              <w:rPr>
                <w:b/>
                <w:sz w:val="24"/>
              </w:rPr>
              <w:t>地理坐标</w:t>
            </w:r>
          </w:p>
        </w:tc>
        <w:tc>
          <w:tcPr>
            <w:tcW w:w="7171" w:type="dxa"/>
            <w:gridSpan w:val="3"/>
          </w:tcPr>
          <w:p>
            <w:pPr>
              <w:pStyle w:val="TableParagraph"/>
              <w:spacing w:before="67"/>
              <w:ind w:left="709"/>
              <w:rPr>
                <w:sz w:val="24"/>
              </w:rPr>
            </w:pPr>
            <w:r>
              <w:rPr>
                <w:sz w:val="24"/>
              </w:rPr>
              <w:t xml:space="preserve">东经 </w:t>
            </w:r>
            <w:r>
              <w:rPr>
                <w:rFonts w:ascii="Times New Roman" w:eastAsia="Times New Roman"/>
                <w:sz w:val="24"/>
              </w:rPr>
              <w:t xml:space="preserve">116 </w:t>
            </w:r>
            <w:r>
              <w:rPr>
                <w:sz w:val="24"/>
              </w:rPr>
              <w:t xml:space="preserve">度 </w:t>
            </w:r>
            <w:r>
              <w:rPr>
                <w:rFonts w:ascii="Times New Roman" w:eastAsia="Times New Roman"/>
                <w:sz w:val="24"/>
              </w:rPr>
              <w:t xml:space="preserve">47 </w:t>
            </w:r>
            <w:r>
              <w:rPr>
                <w:sz w:val="24"/>
              </w:rPr>
              <w:t xml:space="preserve">分 </w:t>
            </w:r>
            <w:r>
              <w:rPr>
                <w:rFonts w:ascii="Times New Roman" w:eastAsia="Times New Roman"/>
                <w:sz w:val="24"/>
              </w:rPr>
              <w:t xml:space="preserve">20.166 </w:t>
            </w:r>
            <w:r>
              <w:rPr>
                <w:sz w:val="24"/>
              </w:rPr>
              <w:t xml:space="preserve">秒，北纬 </w:t>
            </w:r>
            <w:r>
              <w:rPr>
                <w:rFonts w:ascii="Times New Roman" w:eastAsia="Times New Roman"/>
                <w:sz w:val="24"/>
              </w:rPr>
              <w:t xml:space="preserve">37 </w:t>
            </w:r>
            <w:r>
              <w:rPr>
                <w:sz w:val="24"/>
              </w:rPr>
              <w:t xml:space="preserve">度 </w:t>
            </w:r>
            <w:r>
              <w:rPr>
                <w:rFonts w:ascii="Times New Roman" w:eastAsia="Times New Roman"/>
                <w:sz w:val="24"/>
              </w:rPr>
              <w:t xml:space="preserve">48 </w:t>
            </w:r>
            <w:r>
              <w:rPr>
                <w:sz w:val="24"/>
              </w:rPr>
              <w:t xml:space="preserve">分 </w:t>
            </w:r>
            <w:r>
              <w:rPr>
                <w:rFonts w:ascii="Times New Roman" w:eastAsia="Times New Roman"/>
                <w:sz w:val="24"/>
              </w:rPr>
              <w:t xml:space="preserve">57.221 </w:t>
            </w:r>
            <w:r>
              <w:rPr>
                <w:sz w:val="24"/>
              </w:rPr>
              <w:t>秒</w:t>
            </w:r>
          </w:p>
        </w:tc>
      </w:tr>
      <w:tr>
        <w:tblPrEx>
          <w:tblW w:w="0" w:type="auto"/>
          <w:tblInd w:w="241" w:type="dxa"/>
          <w:tblLayout w:type="fixed"/>
          <w:tblCellMar>
            <w:top w:w="0" w:type="dxa"/>
            <w:left w:w="0" w:type="dxa"/>
            <w:bottom w:w="0" w:type="dxa"/>
            <w:right w:w="0" w:type="dxa"/>
          </w:tblCellMar>
        </w:tblPrEx>
        <w:trPr>
          <w:trHeight w:val="1245"/>
        </w:trPr>
        <w:tc>
          <w:tcPr>
            <w:tcW w:w="2183" w:type="dxa"/>
          </w:tcPr>
          <w:p>
            <w:pPr>
              <w:pStyle w:val="TableParagraph"/>
              <w:rPr>
                <w:b/>
                <w:sz w:val="24"/>
              </w:rPr>
            </w:pPr>
          </w:p>
          <w:p>
            <w:pPr>
              <w:pStyle w:val="TableParagraph"/>
              <w:spacing w:before="159"/>
              <w:ind w:left="130"/>
              <w:rPr>
                <w:b/>
                <w:sz w:val="24"/>
              </w:rPr>
            </w:pPr>
            <w:r>
              <w:rPr>
                <w:b/>
                <w:sz w:val="24"/>
              </w:rPr>
              <w:t>国民经济行业类别</w:t>
            </w:r>
          </w:p>
        </w:tc>
        <w:tc>
          <w:tcPr>
            <w:tcW w:w="1992" w:type="dxa"/>
          </w:tcPr>
          <w:p>
            <w:pPr>
              <w:pStyle w:val="TableParagraph"/>
              <w:spacing w:before="6"/>
              <w:rPr>
                <w:b/>
                <w:sz w:val="24"/>
              </w:rPr>
            </w:pPr>
          </w:p>
          <w:p>
            <w:pPr>
              <w:pStyle w:val="TableParagraph"/>
              <w:spacing w:line="242" w:lineRule="auto"/>
              <w:ind w:left="107" w:right="192"/>
              <w:rPr>
                <w:sz w:val="24"/>
              </w:rPr>
            </w:pPr>
            <w:r>
              <w:rPr>
                <w:rFonts w:ascii="Times New Roman" w:eastAsia="Times New Roman"/>
                <w:sz w:val="24"/>
              </w:rPr>
              <w:t xml:space="preserve">C2542 </w:t>
            </w:r>
            <w:r>
              <w:rPr>
                <w:sz w:val="24"/>
              </w:rPr>
              <w:t>生物质致密成型燃料加工</w:t>
            </w:r>
          </w:p>
        </w:tc>
        <w:tc>
          <w:tcPr>
            <w:tcW w:w="1985" w:type="dxa"/>
          </w:tcPr>
          <w:p>
            <w:pPr>
              <w:pStyle w:val="TableParagraph"/>
              <w:spacing w:before="6"/>
              <w:rPr>
                <w:b/>
                <w:sz w:val="24"/>
              </w:rPr>
            </w:pPr>
          </w:p>
          <w:p>
            <w:pPr>
              <w:pStyle w:val="TableParagraph"/>
              <w:spacing w:line="242" w:lineRule="auto"/>
              <w:ind w:left="872" w:right="135" w:hanging="720"/>
              <w:rPr>
                <w:b/>
                <w:sz w:val="24"/>
              </w:rPr>
            </w:pPr>
            <w:r>
              <w:rPr>
                <w:b/>
                <w:sz w:val="24"/>
              </w:rPr>
              <w:t>建设项目行业类别</w:t>
            </w:r>
          </w:p>
        </w:tc>
        <w:tc>
          <w:tcPr>
            <w:tcW w:w="3194" w:type="dxa"/>
          </w:tcPr>
          <w:p>
            <w:pPr>
              <w:pStyle w:val="TableParagraph"/>
              <w:spacing w:before="1" w:line="242" w:lineRule="auto"/>
              <w:ind w:left="157" w:right="144"/>
              <w:jc w:val="center"/>
              <w:rPr>
                <w:sz w:val="24"/>
              </w:rPr>
            </w:pPr>
            <w:r>
              <w:rPr>
                <w:spacing w:val="-2"/>
                <w:sz w:val="24"/>
              </w:rPr>
              <w:t>二十二、石油、煤炭及其他</w:t>
            </w:r>
            <w:r>
              <w:rPr>
                <w:sz w:val="24"/>
              </w:rPr>
              <w:t xml:space="preserve">燃料加工业 </w:t>
            </w:r>
            <w:r>
              <w:rPr>
                <w:rFonts w:ascii="Times New Roman" w:eastAsia="Times New Roman"/>
                <w:sz w:val="24"/>
              </w:rPr>
              <w:t xml:space="preserve">25 43 </w:t>
            </w:r>
            <w:r>
              <w:rPr>
                <w:spacing w:val="-5"/>
                <w:sz w:val="24"/>
              </w:rPr>
              <w:t>生物质燃</w:t>
            </w:r>
          </w:p>
          <w:p>
            <w:pPr>
              <w:pStyle w:val="TableParagraph"/>
              <w:spacing w:before="1"/>
              <w:ind w:left="106" w:right="98"/>
              <w:jc w:val="center"/>
              <w:rPr>
                <w:sz w:val="24"/>
              </w:rPr>
            </w:pPr>
            <w:r>
              <w:rPr>
                <w:sz w:val="24"/>
              </w:rPr>
              <w:t xml:space="preserve">料加工 </w:t>
            </w:r>
            <w:r>
              <w:rPr>
                <w:rFonts w:ascii="Times New Roman" w:eastAsia="Times New Roman"/>
                <w:sz w:val="24"/>
              </w:rPr>
              <w:t xml:space="preserve">254 </w:t>
            </w:r>
            <w:r>
              <w:rPr>
                <w:sz w:val="24"/>
              </w:rPr>
              <w:t>生物质致密成型</w:t>
            </w:r>
          </w:p>
          <w:p>
            <w:pPr>
              <w:pStyle w:val="TableParagraph"/>
              <w:spacing w:before="4" w:line="290" w:lineRule="exact"/>
              <w:ind w:left="154" w:right="144"/>
              <w:jc w:val="center"/>
              <w:rPr>
                <w:sz w:val="24"/>
              </w:rPr>
            </w:pPr>
            <w:r>
              <w:rPr>
                <w:sz w:val="24"/>
              </w:rPr>
              <w:t>燃料加工</w:t>
            </w:r>
          </w:p>
        </w:tc>
      </w:tr>
      <w:tr>
        <w:tblPrEx>
          <w:tblW w:w="0" w:type="auto"/>
          <w:tblInd w:w="241" w:type="dxa"/>
          <w:tblLayout w:type="fixed"/>
          <w:tblCellMar>
            <w:top w:w="0" w:type="dxa"/>
            <w:left w:w="0" w:type="dxa"/>
            <w:bottom w:w="0" w:type="dxa"/>
            <w:right w:w="0" w:type="dxa"/>
          </w:tblCellMar>
        </w:tblPrEx>
        <w:trPr>
          <w:trHeight w:val="1245"/>
        </w:trPr>
        <w:tc>
          <w:tcPr>
            <w:tcW w:w="2183" w:type="dxa"/>
          </w:tcPr>
          <w:p>
            <w:pPr>
              <w:pStyle w:val="TableParagraph"/>
              <w:rPr>
                <w:b/>
                <w:sz w:val="24"/>
              </w:rPr>
            </w:pPr>
          </w:p>
          <w:p>
            <w:pPr>
              <w:pStyle w:val="TableParagraph"/>
              <w:spacing w:before="160"/>
              <w:ind w:left="610"/>
              <w:rPr>
                <w:b/>
                <w:sz w:val="24"/>
              </w:rPr>
            </w:pPr>
            <w:r>
              <w:rPr>
                <w:b/>
                <w:sz w:val="24"/>
              </w:rPr>
              <w:t>建设性质</w:t>
            </w:r>
          </w:p>
        </w:tc>
        <w:tc>
          <w:tcPr>
            <w:tcW w:w="1992" w:type="dxa"/>
          </w:tcPr>
          <w:p>
            <w:pPr>
              <w:pStyle w:val="TableParagraph"/>
              <w:spacing w:before="2"/>
              <w:ind w:left="107"/>
              <w:rPr>
                <w:sz w:val="24"/>
              </w:rPr>
            </w:pPr>
            <w:r>
              <w:rPr>
                <w:rFonts w:ascii="MS Gothic" w:eastAsia="MS Gothic" w:hAnsi="MS Gothic" w:hint="eastAsia"/>
                <w:sz w:val="24"/>
              </w:rPr>
              <w:t>☑</w:t>
            </w:r>
            <w:r>
              <w:rPr>
                <w:sz w:val="24"/>
              </w:rPr>
              <w:t>新建（迁建）</w:t>
            </w:r>
          </w:p>
          <w:p>
            <w:pPr>
              <w:pStyle w:val="TableParagraph"/>
              <w:spacing w:before="4"/>
              <w:ind w:left="107"/>
              <w:rPr>
                <w:sz w:val="24"/>
              </w:rPr>
            </w:pPr>
            <w:r>
              <w:rPr>
                <w:sz w:val="24"/>
              </w:rPr>
              <w:t>□改建</w:t>
            </w:r>
          </w:p>
          <w:p>
            <w:pPr>
              <w:pStyle w:val="TableParagraph"/>
              <w:spacing w:before="2"/>
              <w:ind w:left="107"/>
              <w:rPr>
                <w:sz w:val="24"/>
              </w:rPr>
            </w:pPr>
            <w:r>
              <w:rPr>
                <w:sz w:val="24"/>
              </w:rPr>
              <w:t>□扩建</w:t>
            </w:r>
          </w:p>
          <w:p>
            <w:pPr>
              <w:pStyle w:val="TableParagraph"/>
              <w:spacing w:before="5" w:line="290" w:lineRule="exact"/>
              <w:ind w:left="107"/>
              <w:rPr>
                <w:sz w:val="24"/>
              </w:rPr>
            </w:pPr>
            <w:r>
              <w:rPr>
                <w:sz w:val="24"/>
              </w:rPr>
              <w:t>□技术改造</w:t>
            </w:r>
          </w:p>
        </w:tc>
        <w:tc>
          <w:tcPr>
            <w:tcW w:w="1985" w:type="dxa"/>
          </w:tcPr>
          <w:p>
            <w:pPr>
              <w:pStyle w:val="TableParagraph"/>
              <w:spacing w:before="6"/>
              <w:rPr>
                <w:b/>
                <w:sz w:val="24"/>
              </w:rPr>
            </w:pPr>
          </w:p>
          <w:p>
            <w:pPr>
              <w:pStyle w:val="TableParagraph"/>
              <w:spacing w:line="242" w:lineRule="auto"/>
              <w:ind w:left="872" w:right="135" w:hanging="720"/>
              <w:rPr>
                <w:b/>
                <w:sz w:val="24"/>
              </w:rPr>
            </w:pPr>
            <w:r>
              <w:rPr>
                <w:b/>
                <w:sz w:val="24"/>
              </w:rPr>
              <w:t>建设项目申报情形</w:t>
            </w:r>
          </w:p>
        </w:tc>
        <w:tc>
          <w:tcPr>
            <w:tcW w:w="3194" w:type="dxa"/>
          </w:tcPr>
          <w:p>
            <w:pPr>
              <w:pStyle w:val="TableParagraph"/>
              <w:spacing w:before="2"/>
              <w:ind w:left="106"/>
              <w:rPr>
                <w:sz w:val="24"/>
              </w:rPr>
            </w:pPr>
            <w:r>
              <w:rPr>
                <w:rFonts w:ascii="MS Gothic" w:eastAsia="MS Gothic" w:hAnsi="MS Gothic" w:hint="eastAsia"/>
                <w:sz w:val="24"/>
              </w:rPr>
              <w:t>☑</w:t>
            </w:r>
            <w:r>
              <w:rPr>
                <w:sz w:val="24"/>
              </w:rPr>
              <w:t>首次申报项目</w:t>
            </w:r>
          </w:p>
          <w:p>
            <w:pPr>
              <w:pStyle w:val="TableParagraph"/>
              <w:spacing w:before="4"/>
              <w:ind w:left="106"/>
              <w:rPr>
                <w:sz w:val="24"/>
              </w:rPr>
            </w:pPr>
            <w:r>
              <w:rPr>
                <w:sz w:val="24"/>
              </w:rPr>
              <w:t>□不予批准后再次申报项目</w:t>
            </w:r>
          </w:p>
          <w:p>
            <w:pPr>
              <w:pStyle w:val="TableParagraph"/>
              <w:spacing w:before="2"/>
              <w:ind w:left="106"/>
              <w:rPr>
                <w:sz w:val="24"/>
              </w:rPr>
            </w:pPr>
            <w:r>
              <w:rPr>
                <w:sz w:val="24"/>
              </w:rPr>
              <w:t>□超五年重新审核项目</w:t>
            </w:r>
          </w:p>
          <w:p>
            <w:pPr>
              <w:pStyle w:val="TableParagraph"/>
              <w:spacing w:before="5" w:line="290" w:lineRule="exact"/>
              <w:ind w:left="106"/>
              <w:rPr>
                <w:sz w:val="24"/>
              </w:rPr>
            </w:pPr>
            <w:r>
              <w:rPr>
                <w:sz w:val="24"/>
              </w:rPr>
              <w:t>□重大变动重新报批项目</w:t>
            </w:r>
          </w:p>
        </w:tc>
      </w:tr>
      <w:tr>
        <w:tblPrEx>
          <w:tblW w:w="0" w:type="auto"/>
          <w:tblInd w:w="241" w:type="dxa"/>
          <w:tblLayout w:type="fixed"/>
          <w:tblCellMar>
            <w:top w:w="0" w:type="dxa"/>
            <w:left w:w="0" w:type="dxa"/>
            <w:bottom w:w="0" w:type="dxa"/>
            <w:right w:w="0" w:type="dxa"/>
          </w:tblCellMar>
        </w:tblPrEx>
        <w:trPr>
          <w:trHeight w:val="622"/>
        </w:trPr>
        <w:tc>
          <w:tcPr>
            <w:tcW w:w="2183" w:type="dxa"/>
          </w:tcPr>
          <w:p>
            <w:pPr>
              <w:pStyle w:val="TableParagraph"/>
              <w:spacing w:before="2"/>
              <w:ind w:left="76" w:right="62"/>
              <w:jc w:val="center"/>
              <w:rPr>
                <w:b/>
                <w:sz w:val="24"/>
              </w:rPr>
            </w:pPr>
            <w:r>
              <w:rPr>
                <w:b/>
                <w:sz w:val="24"/>
              </w:rPr>
              <w:t>项目审批（核准</w:t>
            </w:r>
            <w:r>
              <w:rPr>
                <w:rFonts w:ascii="Times New Roman" w:eastAsia="Times New Roman"/>
                <w:b/>
                <w:sz w:val="24"/>
              </w:rPr>
              <w:t>/</w:t>
            </w:r>
            <w:r>
              <w:rPr>
                <w:b/>
                <w:sz w:val="24"/>
              </w:rPr>
              <w:t>备</w:t>
            </w:r>
          </w:p>
          <w:p>
            <w:pPr>
              <w:pStyle w:val="TableParagraph"/>
              <w:spacing w:before="4" w:line="289" w:lineRule="exact"/>
              <w:ind w:left="71" w:right="62"/>
              <w:jc w:val="center"/>
              <w:rPr>
                <w:b/>
                <w:sz w:val="24"/>
              </w:rPr>
            </w:pPr>
            <w:r>
              <w:rPr>
                <w:b/>
                <w:sz w:val="24"/>
              </w:rPr>
              <w:t>案）部门</w:t>
            </w:r>
          </w:p>
        </w:tc>
        <w:tc>
          <w:tcPr>
            <w:tcW w:w="1992" w:type="dxa"/>
          </w:tcPr>
          <w:p>
            <w:pPr>
              <w:pStyle w:val="TableParagraph"/>
              <w:spacing w:before="174"/>
              <w:ind w:left="7"/>
              <w:jc w:val="center"/>
              <w:rPr>
                <w:rFonts w:ascii="Times New Roman"/>
                <w:sz w:val="24"/>
              </w:rPr>
            </w:pPr>
            <w:r>
              <w:rPr>
                <w:rFonts w:ascii="Times New Roman"/>
                <w:sz w:val="24"/>
              </w:rPr>
              <w:t>/</w:t>
            </w:r>
          </w:p>
        </w:tc>
        <w:tc>
          <w:tcPr>
            <w:tcW w:w="1985" w:type="dxa"/>
          </w:tcPr>
          <w:p>
            <w:pPr>
              <w:pStyle w:val="TableParagraph"/>
              <w:spacing w:before="2"/>
              <w:ind w:left="97" w:right="83"/>
              <w:jc w:val="center"/>
              <w:rPr>
                <w:rFonts w:ascii="Times New Roman" w:eastAsia="Times New Roman"/>
                <w:b/>
                <w:sz w:val="24"/>
              </w:rPr>
            </w:pPr>
            <w:r>
              <w:rPr>
                <w:b/>
                <w:sz w:val="24"/>
              </w:rPr>
              <w:t>项目审批（核准</w:t>
            </w:r>
            <w:r>
              <w:rPr>
                <w:rFonts w:ascii="Times New Roman" w:eastAsia="Times New Roman"/>
                <w:b/>
                <w:sz w:val="24"/>
              </w:rPr>
              <w:t>/</w:t>
            </w:r>
          </w:p>
          <w:p>
            <w:pPr>
              <w:pStyle w:val="TableParagraph"/>
              <w:spacing w:before="4" w:line="289" w:lineRule="exact"/>
              <w:ind w:left="97" w:right="82"/>
              <w:jc w:val="center"/>
              <w:rPr>
                <w:b/>
                <w:sz w:val="24"/>
              </w:rPr>
            </w:pPr>
            <w:r>
              <w:rPr>
                <w:b/>
                <w:sz w:val="24"/>
              </w:rPr>
              <w:t>备案）文号</w:t>
            </w:r>
          </w:p>
        </w:tc>
        <w:tc>
          <w:tcPr>
            <w:tcW w:w="3194" w:type="dxa"/>
          </w:tcPr>
          <w:p>
            <w:pPr>
              <w:pStyle w:val="TableParagraph"/>
              <w:spacing w:before="174"/>
              <w:ind w:left="10"/>
              <w:jc w:val="center"/>
              <w:rPr>
                <w:rFonts w:ascii="Times New Roman"/>
                <w:sz w:val="24"/>
              </w:rPr>
            </w:pPr>
            <w:r>
              <w:rPr>
                <w:rFonts w:ascii="Times New Roman"/>
                <w:sz w:val="24"/>
              </w:rPr>
              <w:t>/</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5"/>
              <w:ind w:left="250"/>
              <w:rPr>
                <w:b/>
                <w:sz w:val="24"/>
              </w:rPr>
            </w:pPr>
            <w:r>
              <w:rPr>
                <w:b/>
                <w:sz w:val="24"/>
              </w:rPr>
              <w:t>总投资（万元）</w:t>
            </w:r>
          </w:p>
        </w:tc>
        <w:tc>
          <w:tcPr>
            <w:tcW w:w="1992" w:type="dxa"/>
          </w:tcPr>
          <w:p>
            <w:pPr>
              <w:pStyle w:val="TableParagraph"/>
              <w:spacing w:before="81"/>
              <w:ind w:left="615" w:right="607"/>
              <w:jc w:val="center"/>
              <w:rPr>
                <w:rFonts w:ascii="Times New Roman"/>
                <w:sz w:val="24"/>
              </w:rPr>
            </w:pPr>
            <w:r>
              <w:rPr>
                <w:rFonts w:ascii="Times New Roman"/>
                <w:sz w:val="24"/>
              </w:rPr>
              <w:t>20</w:t>
            </w:r>
          </w:p>
        </w:tc>
        <w:tc>
          <w:tcPr>
            <w:tcW w:w="1985" w:type="dxa"/>
          </w:tcPr>
          <w:p>
            <w:pPr>
              <w:pStyle w:val="TableParagraph"/>
              <w:spacing w:before="65"/>
              <w:ind w:left="109" w:right="-29"/>
              <w:jc w:val="center"/>
              <w:rPr>
                <w:b/>
                <w:sz w:val="24"/>
              </w:rPr>
            </w:pPr>
            <w:r>
              <w:rPr>
                <w:b/>
                <w:spacing w:val="-10"/>
                <w:sz w:val="24"/>
              </w:rPr>
              <w:t>环保投资</w:t>
            </w:r>
            <w:r>
              <w:rPr>
                <w:b/>
                <w:sz w:val="24"/>
              </w:rPr>
              <w:t>（万元</w:t>
            </w:r>
            <w:r>
              <w:rPr>
                <w:b/>
                <w:spacing w:val="-12"/>
                <w:sz w:val="24"/>
              </w:rPr>
              <w:t>）</w:t>
            </w:r>
          </w:p>
        </w:tc>
        <w:tc>
          <w:tcPr>
            <w:tcW w:w="3194" w:type="dxa"/>
          </w:tcPr>
          <w:p>
            <w:pPr>
              <w:pStyle w:val="TableParagraph"/>
              <w:spacing w:before="81"/>
              <w:ind w:left="10"/>
              <w:jc w:val="center"/>
              <w:rPr>
                <w:rFonts w:ascii="Times New Roman"/>
                <w:sz w:val="24"/>
              </w:rPr>
            </w:pPr>
            <w:r>
              <w:rPr>
                <w:rFonts w:ascii="Times New Roman"/>
                <w:sz w:val="24"/>
              </w:rPr>
              <w:t>5</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6"/>
              <w:ind w:left="110" w:right="-29"/>
              <w:rPr>
                <w:b/>
                <w:sz w:val="24"/>
              </w:rPr>
            </w:pPr>
            <w:r>
              <w:rPr>
                <w:b/>
                <w:spacing w:val="-14"/>
                <w:sz w:val="24"/>
              </w:rPr>
              <w:t>环保投资占比</w:t>
            </w:r>
            <w:r>
              <w:rPr>
                <w:b/>
                <w:spacing w:val="-4"/>
                <w:sz w:val="24"/>
              </w:rPr>
              <w:t>（</w:t>
            </w:r>
            <w:r>
              <w:rPr>
                <w:rFonts w:ascii="Times New Roman" w:eastAsia="Times New Roman"/>
                <w:b/>
                <w:spacing w:val="-4"/>
                <w:sz w:val="24"/>
              </w:rPr>
              <w:t>%</w:t>
            </w:r>
            <w:r>
              <w:rPr>
                <w:b/>
                <w:spacing w:val="-4"/>
                <w:sz w:val="24"/>
              </w:rPr>
              <w:t>）</w:t>
            </w:r>
          </w:p>
        </w:tc>
        <w:tc>
          <w:tcPr>
            <w:tcW w:w="1992" w:type="dxa"/>
          </w:tcPr>
          <w:p>
            <w:pPr>
              <w:pStyle w:val="TableParagraph"/>
              <w:spacing w:before="82"/>
              <w:ind w:left="615" w:right="607"/>
              <w:jc w:val="center"/>
              <w:rPr>
                <w:rFonts w:ascii="Times New Roman"/>
                <w:sz w:val="24"/>
              </w:rPr>
            </w:pPr>
            <w:r>
              <w:rPr>
                <w:rFonts w:ascii="Times New Roman"/>
                <w:sz w:val="24"/>
              </w:rPr>
              <w:t>25</w:t>
            </w:r>
          </w:p>
        </w:tc>
        <w:tc>
          <w:tcPr>
            <w:tcW w:w="1985" w:type="dxa"/>
          </w:tcPr>
          <w:p>
            <w:pPr>
              <w:pStyle w:val="TableParagraph"/>
              <w:spacing w:before="66"/>
              <w:ind w:left="95" w:right="83"/>
              <w:jc w:val="center"/>
              <w:rPr>
                <w:b/>
                <w:sz w:val="24"/>
              </w:rPr>
            </w:pPr>
            <w:r>
              <w:rPr>
                <w:b/>
                <w:sz w:val="24"/>
              </w:rPr>
              <w:t>施工工期</w:t>
            </w:r>
          </w:p>
        </w:tc>
        <w:tc>
          <w:tcPr>
            <w:tcW w:w="3194" w:type="dxa"/>
          </w:tcPr>
          <w:p>
            <w:pPr>
              <w:pStyle w:val="TableParagraph"/>
              <w:spacing w:before="66"/>
              <w:ind w:left="152" w:right="144"/>
              <w:jc w:val="center"/>
              <w:rPr>
                <w:sz w:val="24"/>
              </w:rPr>
            </w:pPr>
            <w:r>
              <w:rPr>
                <w:rFonts w:ascii="Times New Roman" w:eastAsia="Times New Roman"/>
                <w:sz w:val="24"/>
              </w:rPr>
              <w:t xml:space="preserve">2 </w:t>
            </w:r>
            <w:r>
              <w:rPr>
                <w:sz w:val="24"/>
              </w:rPr>
              <w:t>个月</w:t>
            </w:r>
          </w:p>
        </w:tc>
      </w:tr>
      <w:tr>
        <w:tblPrEx>
          <w:tblW w:w="0" w:type="auto"/>
          <w:tblInd w:w="241" w:type="dxa"/>
          <w:tblLayout w:type="fixed"/>
          <w:tblCellMar>
            <w:top w:w="0" w:type="dxa"/>
            <w:left w:w="0" w:type="dxa"/>
            <w:bottom w:w="0" w:type="dxa"/>
            <w:right w:w="0" w:type="dxa"/>
          </w:tblCellMar>
        </w:tblPrEx>
        <w:trPr>
          <w:trHeight w:val="621"/>
        </w:trPr>
        <w:tc>
          <w:tcPr>
            <w:tcW w:w="2183" w:type="dxa"/>
          </w:tcPr>
          <w:p>
            <w:pPr>
              <w:pStyle w:val="TableParagraph"/>
              <w:spacing w:before="157"/>
              <w:ind w:left="370"/>
              <w:rPr>
                <w:b/>
                <w:sz w:val="24"/>
              </w:rPr>
            </w:pPr>
            <w:r>
              <w:rPr>
                <w:b/>
                <w:sz w:val="24"/>
              </w:rPr>
              <w:t>是否开工建设</w:t>
            </w:r>
          </w:p>
        </w:tc>
        <w:tc>
          <w:tcPr>
            <w:tcW w:w="1992" w:type="dxa"/>
          </w:tcPr>
          <w:p>
            <w:pPr>
              <w:pStyle w:val="TableParagraph"/>
              <w:spacing w:before="1"/>
              <w:ind w:left="615" w:right="607"/>
              <w:jc w:val="center"/>
              <w:rPr>
                <w:sz w:val="24"/>
              </w:rPr>
            </w:pPr>
            <w:r>
              <w:rPr>
                <w:rFonts w:ascii="MS Gothic" w:eastAsia="MS Gothic" w:hAnsi="MS Gothic" w:hint="eastAsia"/>
                <w:sz w:val="24"/>
              </w:rPr>
              <w:t>☑</w:t>
            </w:r>
            <w:r>
              <w:rPr>
                <w:sz w:val="24"/>
              </w:rPr>
              <w:t>否</w:t>
            </w:r>
          </w:p>
          <w:p>
            <w:pPr>
              <w:pStyle w:val="TableParagraph"/>
              <w:spacing w:before="4" w:line="289" w:lineRule="exact"/>
              <w:ind w:left="615" w:right="607"/>
              <w:jc w:val="center"/>
              <w:rPr>
                <w:sz w:val="24"/>
              </w:rPr>
            </w:pPr>
            <w:r>
              <w:rPr>
                <w:sz w:val="24"/>
              </w:rPr>
              <w:t>□是</w:t>
            </w:r>
          </w:p>
        </w:tc>
        <w:tc>
          <w:tcPr>
            <w:tcW w:w="1985" w:type="dxa"/>
          </w:tcPr>
          <w:p>
            <w:pPr>
              <w:pStyle w:val="TableParagraph"/>
              <w:spacing w:before="1"/>
              <w:ind w:left="97" w:right="82"/>
              <w:jc w:val="center"/>
              <w:rPr>
                <w:b/>
                <w:sz w:val="24"/>
              </w:rPr>
            </w:pPr>
            <w:r>
              <w:rPr>
                <w:b/>
                <w:sz w:val="24"/>
              </w:rPr>
              <w:t>用地（用海）面</w:t>
            </w:r>
          </w:p>
          <w:p>
            <w:pPr>
              <w:pStyle w:val="TableParagraph"/>
              <w:spacing w:before="4" w:line="289" w:lineRule="exact"/>
              <w:ind w:left="93" w:right="83"/>
              <w:jc w:val="center"/>
              <w:rPr>
                <w:b/>
                <w:sz w:val="24"/>
              </w:rPr>
            </w:pPr>
            <w:r>
              <w:rPr>
                <w:b/>
                <w:sz w:val="24"/>
              </w:rPr>
              <w:t>积（</w:t>
            </w:r>
            <w:r>
              <w:rPr>
                <w:rFonts w:ascii="Times New Roman" w:eastAsia="Times New Roman"/>
                <w:b/>
                <w:sz w:val="24"/>
              </w:rPr>
              <w:t>m</w:t>
            </w:r>
            <w:r>
              <w:rPr>
                <w:rFonts w:ascii="Times New Roman" w:eastAsia="Times New Roman"/>
                <w:b/>
                <w:position w:val="8"/>
                <w:sz w:val="15"/>
              </w:rPr>
              <w:t>2</w:t>
            </w:r>
            <w:r>
              <w:rPr>
                <w:b/>
                <w:sz w:val="24"/>
              </w:rPr>
              <w:t>）</w:t>
            </w:r>
          </w:p>
        </w:tc>
        <w:tc>
          <w:tcPr>
            <w:tcW w:w="3194" w:type="dxa"/>
          </w:tcPr>
          <w:p>
            <w:pPr>
              <w:pStyle w:val="TableParagraph"/>
              <w:spacing w:before="173"/>
              <w:ind w:left="152" w:right="144"/>
              <w:jc w:val="center"/>
              <w:rPr>
                <w:rFonts w:ascii="Times New Roman"/>
                <w:sz w:val="24"/>
              </w:rPr>
            </w:pPr>
            <w:r>
              <w:rPr>
                <w:rFonts w:ascii="Times New Roman"/>
                <w:sz w:val="24"/>
              </w:rPr>
              <w:t>1100</w:t>
            </w:r>
          </w:p>
        </w:tc>
      </w:tr>
      <w:tr>
        <w:tblPrEx>
          <w:tblW w:w="0" w:type="auto"/>
          <w:tblInd w:w="241" w:type="dxa"/>
          <w:tblLayout w:type="fixed"/>
          <w:tblCellMar>
            <w:top w:w="0" w:type="dxa"/>
            <w:left w:w="0" w:type="dxa"/>
            <w:bottom w:w="0" w:type="dxa"/>
            <w:right w:w="0" w:type="dxa"/>
          </w:tblCellMar>
        </w:tblPrEx>
        <w:trPr>
          <w:trHeight w:val="933"/>
        </w:trPr>
        <w:tc>
          <w:tcPr>
            <w:tcW w:w="2183" w:type="dxa"/>
          </w:tcPr>
          <w:p>
            <w:pPr>
              <w:pStyle w:val="TableParagraph"/>
              <w:spacing w:before="4"/>
              <w:rPr>
                <w:b/>
                <w:sz w:val="24"/>
              </w:rPr>
            </w:pPr>
          </w:p>
          <w:p>
            <w:pPr>
              <w:pStyle w:val="TableParagraph"/>
              <w:ind w:left="130"/>
              <w:rPr>
                <w:b/>
                <w:sz w:val="24"/>
              </w:rPr>
            </w:pPr>
            <w:r>
              <w:rPr>
                <w:b/>
                <w:sz w:val="24"/>
              </w:rPr>
              <w:t>专项评价设置情况</w:t>
            </w:r>
          </w:p>
        </w:tc>
        <w:tc>
          <w:tcPr>
            <w:tcW w:w="7171" w:type="dxa"/>
            <w:gridSpan w:val="3"/>
          </w:tcPr>
          <w:p>
            <w:pPr>
              <w:pStyle w:val="TableParagraph"/>
              <w:spacing w:before="2"/>
              <w:ind w:left="204" w:right="196"/>
              <w:jc w:val="center"/>
              <w:rPr>
                <w:sz w:val="24"/>
              </w:rPr>
            </w:pPr>
            <w:r>
              <w:rPr>
                <w:sz w:val="24"/>
              </w:rPr>
              <w:t>依据《建设项目环境影响报告表编制技术指南》（污染影响类）</w:t>
            </w:r>
          </w:p>
          <w:p>
            <w:pPr>
              <w:pStyle w:val="TableParagraph"/>
              <w:spacing w:before="158"/>
              <w:ind w:left="204" w:right="196"/>
              <w:jc w:val="center"/>
              <w:rPr>
                <w:sz w:val="24"/>
              </w:rPr>
            </w:pPr>
            <w:r>
              <w:rPr>
                <w:sz w:val="24"/>
              </w:rPr>
              <w:t>（试行）专项评价设置原则表，本项目无需进行专项评价</w:t>
            </w:r>
          </w:p>
        </w:tc>
      </w:tr>
      <w:tr>
        <w:tblPrEx>
          <w:tblW w:w="0" w:type="auto"/>
          <w:tblInd w:w="241" w:type="dxa"/>
          <w:tblLayout w:type="fixed"/>
          <w:tblCellMar>
            <w:top w:w="0" w:type="dxa"/>
            <w:left w:w="0" w:type="dxa"/>
            <w:bottom w:w="0" w:type="dxa"/>
            <w:right w:w="0" w:type="dxa"/>
          </w:tblCellMar>
        </w:tblPrEx>
        <w:trPr>
          <w:trHeight w:val="442"/>
        </w:trPr>
        <w:tc>
          <w:tcPr>
            <w:tcW w:w="2183" w:type="dxa"/>
          </w:tcPr>
          <w:p>
            <w:pPr>
              <w:pStyle w:val="TableParagraph"/>
              <w:spacing w:before="66"/>
              <w:ind w:left="610"/>
              <w:rPr>
                <w:b/>
                <w:sz w:val="24"/>
              </w:rPr>
            </w:pPr>
            <w:r>
              <w:rPr>
                <w:b/>
                <w:sz w:val="24"/>
              </w:rPr>
              <w:t>规划情况</w:t>
            </w:r>
          </w:p>
        </w:tc>
        <w:tc>
          <w:tcPr>
            <w:tcW w:w="7171" w:type="dxa"/>
            <w:gridSpan w:val="3"/>
          </w:tcPr>
          <w:p>
            <w:pPr>
              <w:pStyle w:val="TableParagraph"/>
              <w:spacing w:before="66"/>
              <w:ind w:left="8"/>
              <w:jc w:val="center"/>
              <w:rPr>
                <w:sz w:val="24"/>
              </w:rPr>
            </w:pPr>
            <w:r>
              <w:rPr>
                <w:sz w:val="24"/>
              </w:rPr>
              <w:t>无</w:t>
            </w:r>
          </w:p>
        </w:tc>
      </w:tr>
      <w:tr>
        <w:tblPrEx>
          <w:tblW w:w="0" w:type="auto"/>
          <w:tblInd w:w="241" w:type="dxa"/>
          <w:tblLayout w:type="fixed"/>
          <w:tblCellMar>
            <w:top w:w="0" w:type="dxa"/>
            <w:left w:w="0" w:type="dxa"/>
            <w:bottom w:w="0" w:type="dxa"/>
            <w:right w:w="0" w:type="dxa"/>
          </w:tblCellMar>
        </w:tblPrEx>
        <w:trPr>
          <w:trHeight w:val="621"/>
        </w:trPr>
        <w:tc>
          <w:tcPr>
            <w:tcW w:w="2183" w:type="dxa"/>
          </w:tcPr>
          <w:p>
            <w:pPr>
              <w:pStyle w:val="TableParagraph"/>
              <w:spacing w:before="1"/>
              <w:ind w:left="76" w:right="62"/>
              <w:jc w:val="center"/>
              <w:rPr>
                <w:b/>
                <w:sz w:val="24"/>
              </w:rPr>
            </w:pPr>
            <w:r>
              <w:rPr>
                <w:b/>
                <w:sz w:val="24"/>
              </w:rPr>
              <w:t>规划环境影响评价</w:t>
            </w:r>
          </w:p>
          <w:p>
            <w:pPr>
              <w:pStyle w:val="TableParagraph"/>
              <w:spacing w:before="4" w:line="289" w:lineRule="exact"/>
              <w:ind w:left="69" w:right="62"/>
              <w:jc w:val="center"/>
              <w:rPr>
                <w:b/>
                <w:sz w:val="24"/>
              </w:rPr>
            </w:pPr>
            <w:r>
              <w:rPr>
                <w:b/>
                <w:sz w:val="24"/>
              </w:rPr>
              <w:t>情况</w:t>
            </w:r>
          </w:p>
        </w:tc>
        <w:tc>
          <w:tcPr>
            <w:tcW w:w="7171" w:type="dxa"/>
            <w:gridSpan w:val="3"/>
          </w:tcPr>
          <w:p>
            <w:pPr>
              <w:pStyle w:val="TableParagraph"/>
              <w:spacing w:before="157"/>
              <w:ind w:left="8"/>
              <w:jc w:val="center"/>
              <w:rPr>
                <w:sz w:val="24"/>
              </w:rPr>
            </w:pPr>
            <w:r>
              <w:rPr>
                <w:sz w:val="24"/>
              </w:rPr>
              <w:t>无</w:t>
            </w:r>
          </w:p>
        </w:tc>
      </w:tr>
      <w:tr>
        <w:tblPrEx>
          <w:tblW w:w="0" w:type="auto"/>
          <w:tblInd w:w="241" w:type="dxa"/>
          <w:tblLayout w:type="fixed"/>
          <w:tblCellMar>
            <w:top w:w="0" w:type="dxa"/>
            <w:left w:w="0" w:type="dxa"/>
            <w:bottom w:w="0" w:type="dxa"/>
            <w:right w:w="0" w:type="dxa"/>
          </w:tblCellMar>
        </w:tblPrEx>
        <w:trPr>
          <w:trHeight w:val="623"/>
        </w:trPr>
        <w:tc>
          <w:tcPr>
            <w:tcW w:w="2183" w:type="dxa"/>
          </w:tcPr>
          <w:p>
            <w:pPr>
              <w:pStyle w:val="TableParagraph"/>
              <w:spacing w:line="310" w:lineRule="atLeast"/>
              <w:ind w:left="130" w:right="113"/>
              <w:rPr>
                <w:b/>
                <w:sz w:val="24"/>
              </w:rPr>
            </w:pPr>
            <w:r>
              <w:rPr>
                <w:b/>
                <w:sz w:val="24"/>
              </w:rPr>
              <w:t>规划及规划环境影响评价符合性分析</w:t>
            </w:r>
          </w:p>
        </w:tc>
        <w:tc>
          <w:tcPr>
            <w:tcW w:w="7171" w:type="dxa"/>
            <w:gridSpan w:val="3"/>
          </w:tcPr>
          <w:p>
            <w:pPr>
              <w:pStyle w:val="TableParagraph"/>
              <w:spacing w:before="156"/>
              <w:ind w:left="8"/>
              <w:jc w:val="center"/>
              <w:rPr>
                <w:sz w:val="24"/>
              </w:rPr>
            </w:pPr>
            <w:r>
              <w:rPr>
                <w:sz w:val="24"/>
              </w:rPr>
              <w:t>无</w:t>
            </w:r>
          </w:p>
        </w:tc>
      </w:tr>
      <w:tr>
        <w:tblPrEx>
          <w:tblW w:w="0" w:type="auto"/>
          <w:tblInd w:w="241" w:type="dxa"/>
          <w:tblLayout w:type="fixed"/>
          <w:tblCellMar>
            <w:top w:w="0" w:type="dxa"/>
            <w:left w:w="0" w:type="dxa"/>
            <w:bottom w:w="0" w:type="dxa"/>
            <w:right w:w="0" w:type="dxa"/>
          </w:tblCellMar>
        </w:tblPrEx>
        <w:trPr>
          <w:trHeight w:val="3276"/>
        </w:trPr>
        <w:tc>
          <w:tcPr>
            <w:tcW w:w="2183" w:type="dxa"/>
          </w:tcPr>
          <w:p>
            <w:pPr>
              <w:pStyle w:val="TableParagraph"/>
              <w:rPr>
                <w:b/>
                <w:sz w:val="24"/>
              </w:rPr>
            </w:pPr>
          </w:p>
          <w:p>
            <w:pPr>
              <w:pStyle w:val="TableParagraph"/>
              <w:rPr>
                <w:b/>
                <w:sz w:val="24"/>
              </w:rPr>
            </w:pPr>
          </w:p>
          <w:p>
            <w:pPr>
              <w:pStyle w:val="TableParagraph"/>
              <w:rPr>
                <w:b/>
                <w:sz w:val="24"/>
              </w:rPr>
            </w:pPr>
          </w:p>
          <w:p>
            <w:pPr>
              <w:pStyle w:val="TableParagraph"/>
              <w:rPr>
                <w:b/>
                <w:sz w:val="24"/>
              </w:rPr>
            </w:pPr>
          </w:p>
          <w:p>
            <w:pPr>
              <w:pStyle w:val="TableParagraph"/>
              <w:spacing w:before="5"/>
              <w:rPr>
                <w:b/>
                <w:sz w:val="19"/>
              </w:rPr>
            </w:pPr>
          </w:p>
          <w:p>
            <w:pPr>
              <w:pStyle w:val="TableParagraph"/>
              <w:ind w:left="250"/>
              <w:rPr>
                <w:b/>
                <w:sz w:val="24"/>
              </w:rPr>
            </w:pPr>
            <w:r>
              <w:rPr>
                <w:b/>
                <w:sz w:val="24"/>
              </w:rPr>
              <w:t>其他符合性分析</w:t>
            </w:r>
          </w:p>
        </w:tc>
        <w:tc>
          <w:tcPr>
            <w:tcW w:w="7171" w:type="dxa"/>
            <w:gridSpan w:val="3"/>
          </w:tcPr>
          <w:p>
            <w:pPr>
              <w:pStyle w:val="TableParagraph"/>
              <w:spacing w:before="80"/>
              <w:ind w:left="587"/>
              <w:rPr>
                <w:b/>
                <w:sz w:val="24"/>
              </w:rPr>
            </w:pPr>
            <w:r>
              <w:rPr>
                <w:rFonts w:ascii="Times New Roman" w:eastAsia="Times New Roman" w:hAnsi="Times New Roman"/>
                <w:b/>
                <w:w w:val="95"/>
                <w:sz w:val="24"/>
              </w:rPr>
              <w:t>1</w:t>
            </w:r>
            <w:r>
              <w:rPr>
                <w:b/>
                <w:w w:val="95"/>
                <w:sz w:val="24"/>
              </w:rPr>
              <w:t>、与德州市“三线一单”符合性分析</w:t>
            </w:r>
          </w:p>
          <w:p>
            <w:pPr>
              <w:pStyle w:val="TableParagraph"/>
              <w:spacing w:before="81"/>
              <w:ind w:left="587"/>
              <w:rPr>
                <w:b/>
                <w:sz w:val="24"/>
              </w:rPr>
            </w:pPr>
            <w:r>
              <w:rPr>
                <w:rFonts w:ascii="Times New Roman" w:eastAsia="Times New Roman"/>
                <w:b/>
                <w:w w:val="95"/>
                <w:sz w:val="24"/>
              </w:rPr>
              <w:t>1</w:t>
            </w:r>
            <w:r>
              <w:rPr>
                <w:b/>
                <w:w w:val="95"/>
                <w:sz w:val="24"/>
              </w:rPr>
              <w:t>）生态保护红线与一般生态空间管控</w:t>
            </w:r>
          </w:p>
          <w:p>
            <w:pPr>
              <w:pStyle w:val="TableParagraph"/>
              <w:spacing w:before="158"/>
              <w:ind w:left="587"/>
              <w:rPr>
                <w:sz w:val="24"/>
              </w:rPr>
            </w:pPr>
            <w:r>
              <w:rPr>
                <w:sz w:val="24"/>
              </w:rPr>
              <w:t>①生态保护红线</w:t>
            </w:r>
          </w:p>
          <w:p>
            <w:pPr>
              <w:pStyle w:val="TableParagraph"/>
              <w:spacing w:before="161" w:line="364" w:lineRule="auto"/>
              <w:ind w:left="107" w:right="55" w:firstLine="480"/>
              <w:rPr>
                <w:sz w:val="24"/>
              </w:rPr>
            </w:pPr>
            <w:r>
              <w:rPr>
                <w:sz w:val="24"/>
              </w:rPr>
              <w:t>德州市生态保护红线主导功能为生物多样性保护以及防风固沙，属于黄河三角洲生物多样性维护生态保护红线、鲁西北平原防风固沙生态保护红线，主要为各类法定保护地的核心区域及评估确</w:t>
            </w:r>
          </w:p>
          <w:p>
            <w:pPr>
              <w:pStyle w:val="TableParagraph"/>
              <w:spacing w:line="307" w:lineRule="exact"/>
              <w:ind w:left="107"/>
              <w:rPr>
                <w:sz w:val="24"/>
              </w:rPr>
            </w:pPr>
            <w:r>
              <w:rPr>
                <w:sz w:val="24"/>
              </w:rPr>
              <w:t>定的极重要区。宁津县涉及的德州市生态保护红线编号分别为</w:t>
            </w:r>
          </w:p>
        </w:tc>
      </w:tr>
    </w:tbl>
    <w:p>
      <w:pPr>
        <w:spacing w:after="0" w:line="307" w:lineRule="exact"/>
        <w:rPr>
          <w:sz w:val="24"/>
        </w:rPr>
        <w:sectPr>
          <w:footerReference w:type="default" r:id="rId5"/>
          <w:pgSz w:w="11910" w:h="16840"/>
          <w:pgMar w:top="1500" w:right="980" w:bottom="1240" w:left="1040" w:header="0" w:footer="1050" w:gutter="0"/>
          <w:pgNumType w:start="1"/>
          <w:cols w:num="1" w:space="720"/>
        </w:sectPr>
      </w:pPr>
    </w:p>
    <w:p>
      <w:pPr>
        <w:pStyle w:val="BodyText"/>
        <w:spacing w:before="55" w:line="362" w:lineRule="auto"/>
        <w:ind w:left="2526" w:right="503"/>
      </w:pPr>
      <w:r>
        <w:pict>
          <v:shape id="_x0000_s1026" o:spid="_x0000_s1025" style="width:468.2pt;height:678.1pt;margin-top:91.8pt;margin-left:63.55pt;mso-height-relative:page;mso-position-horizontal-relative:page;mso-position-vertical-relative:page;mso-width-relative:page;position:absolute;z-index:-251658240" coordorigin="1271,1836" coordsize="9364,13562" path="m1271,1445l10635,1445m1271,15002l10635,15002m1276,1440l1276,14997m3459,1440l3459,14997m10630,1440l10630,14997e" filled="f" stroked="t" strokecolor="black">
            <v:path arrowok="t"/>
          </v:shape>
        </w:pict>
      </w:r>
      <w:r>
        <w:rPr>
          <w:rFonts w:ascii="Times New Roman" w:eastAsia="Times New Roman"/>
        </w:rPr>
        <w:t>YS3714221110007</w:t>
      </w:r>
      <w:r>
        <w:t>、</w:t>
      </w:r>
      <w:r>
        <w:rPr>
          <w:rFonts w:ascii="Times New Roman" w:eastAsia="Times New Roman"/>
        </w:rPr>
        <w:t>YS3714221110008</w:t>
      </w:r>
      <w:r>
        <w:t>，包含的要素分别为大柳水库、宁津水库。</w:t>
      </w:r>
    </w:p>
    <w:p>
      <w:pPr>
        <w:pStyle w:val="BodyText"/>
        <w:spacing w:before="2" w:line="364" w:lineRule="auto"/>
        <w:ind w:left="2526" w:right="402" w:firstLine="480"/>
      </w:pPr>
      <w:r>
        <w:rPr>
          <w:spacing w:val="-2"/>
        </w:rPr>
        <w:t>本项目位于德州市宁津县张大庄镇王庄村，项目未包含在上述</w:t>
      </w:r>
      <w:r>
        <w:t>生态红线图范围内。</w:t>
      </w:r>
    </w:p>
    <w:p>
      <w:pPr>
        <w:pStyle w:val="BodyText"/>
        <w:spacing w:line="306" w:lineRule="exact"/>
        <w:ind w:left="3006"/>
      </w:pPr>
      <w:r>
        <w:t>②一般生态空间</w:t>
      </w:r>
    </w:p>
    <w:p>
      <w:pPr>
        <w:pStyle w:val="BodyText"/>
        <w:spacing w:before="161" w:line="364" w:lineRule="auto"/>
        <w:ind w:left="2526" w:right="402" w:firstLine="480"/>
      </w:pPr>
      <w:r>
        <w:rPr>
          <w:spacing w:val="-3"/>
        </w:rPr>
        <w:t>在生态保护红线的基础上，按照“应划则划”的原则划定生态</w:t>
      </w:r>
      <w:r>
        <w:rPr>
          <w:spacing w:val="-4"/>
        </w:rPr>
        <w:t xml:space="preserve">空间，德州市一般生态空间总面积 </w:t>
      </w:r>
      <w:r>
        <w:rPr>
          <w:rFonts w:ascii="Times New Roman" w:eastAsia="Times New Roman" w:hAnsi="Times New Roman"/>
        </w:rPr>
        <w:t>574.60km</w:t>
      </w:r>
      <w:r>
        <w:rPr>
          <w:rFonts w:ascii="Times New Roman" w:eastAsia="Times New Roman" w:hAnsi="Times New Roman"/>
          <w:position w:val="8"/>
          <w:sz w:val="15"/>
        </w:rPr>
        <w:t>2</w:t>
      </w:r>
      <w:r>
        <w:t>，占全市国土面积的</w:t>
      </w:r>
      <w:r>
        <w:rPr>
          <w:rFonts w:ascii="Times New Roman" w:eastAsia="Times New Roman" w:hAnsi="Times New Roman"/>
        </w:rPr>
        <w:t>5.55%</w:t>
      </w:r>
      <w:r>
        <w:t>，包括未纳入生态保护红线的森林公园、湿地公园、饮用水</w:t>
      </w:r>
      <w:r>
        <w:rPr>
          <w:spacing w:val="-3"/>
        </w:rPr>
        <w:t>水源地保护区以及拟划定的饮用水水源地保护区、公园绿地、公益</w:t>
      </w:r>
      <w:r>
        <w:rPr>
          <w:spacing w:val="-4"/>
        </w:rPr>
        <w:t>林，除此之外还包括评价确定的生态系统服务功能极重要区、重要</w:t>
      </w:r>
      <w:r>
        <w:t xml:space="preserve">区及生态环境极敏感区、敏感区。宁津县的一般生态空间包括： </w:t>
      </w:r>
      <w:r>
        <w:rPr>
          <w:rFonts w:ascii="Times New Roman" w:eastAsia="Times New Roman" w:hAnsi="Times New Roman"/>
        </w:rPr>
        <w:t xml:space="preserve">YS3714221130020 </w:t>
      </w:r>
      <w:r>
        <w:rPr>
          <w:spacing w:val="-3"/>
        </w:rPr>
        <w:t>宁津县惠宁湖水库、</w:t>
      </w:r>
      <w:r>
        <w:rPr>
          <w:rFonts w:ascii="Times New Roman" w:eastAsia="Times New Roman" w:hAnsi="Times New Roman"/>
        </w:rPr>
        <w:t xml:space="preserve">YS3714221130021 </w:t>
      </w:r>
      <w:r>
        <w:rPr>
          <w:spacing w:val="-4"/>
        </w:rPr>
        <w:t>康宁文化</w:t>
      </w:r>
      <w:r>
        <w:rPr>
          <w:spacing w:val="-13"/>
        </w:rPr>
        <w:t xml:space="preserve">主题公园、 </w:t>
      </w:r>
      <w:r>
        <w:rPr>
          <w:rFonts w:ascii="Times New Roman" w:eastAsia="Times New Roman" w:hAnsi="Times New Roman"/>
        </w:rPr>
        <w:t xml:space="preserve">YS3714221130022 </w:t>
      </w:r>
      <w:r>
        <w:rPr>
          <w:spacing w:val="-9"/>
        </w:rPr>
        <w:t>宁津县重要林地、</w:t>
      </w:r>
      <w:r>
        <w:rPr>
          <w:rFonts w:ascii="Times New Roman" w:eastAsia="Times New Roman" w:hAnsi="Times New Roman"/>
        </w:rPr>
        <w:t xml:space="preserve">YS3714221130023 </w:t>
      </w:r>
      <w:r>
        <w:t>宁津县重要水体。</w:t>
      </w:r>
    </w:p>
    <w:p>
      <w:pPr>
        <w:pStyle w:val="BodyText"/>
        <w:spacing w:line="303" w:lineRule="exact"/>
        <w:ind w:left="3006"/>
      </w:pPr>
      <w:r>
        <w:t>本项目未在上述一般生态空间范围内。</w:t>
      </w:r>
    </w:p>
    <w:p>
      <w:pPr>
        <w:pStyle w:val="BodyText"/>
        <w:spacing w:before="158"/>
        <w:ind w:left="3006"/>
      </w:pPr>
      <w:r>
        <w:t>因此本项目符合生态保护红线和一般生态空间管控要求。</w:t>
      </w:r>
    </w:p>
    <w:p>
      <w:pPr>
        <w:pStyle w:val="Heading2"/>
        <w:numPr>
          <w:ilvl w:val="0"/>
          <w:numId w:val="1"/>
        </w:numPr>
        <w:tabs>
          <w:tab w:val="left" w:pos="3368"/>
        </w:tabs>
        <w:spacing w:before="160" w:after="0" w:line="240" w:lineRule="auto"/>
        <w:ind w:left="3367" w:right="0" w:hanging="362"/>
        <w:jc w:val="left"/>
      </w:pPr>
      <w:r>
        <w:t>大气环境质量底线及分区管控</w:t>
      </w:r>
    </w:p>
    <w:p>
      <w:pPr>
        <w:pStyle w:val="BodyText"/>
        <w:spacing w:before="158"/>
        <w:ind w:left="3006"/>
      </w:pPr>
      <w:r>
        <w:t>①大气环境质量目标</w:t>
      </w:r>
    </w:p>
    <w:p>
      <w:pPr>
        <w:pStyle w:val="BodyText"/>
        <w:spacing w:before="161" w:line="362" w:lineRule="auto"/>
        <w:ind w:left="2526" w:right="402" w:firstLine="480"/>
        <w:jc w:val="both"/>
      </w:pPr>
      <w:r>
        <w:rPr>
          <w:spacing w:val="-2"/>
        </w:rPr>
        <w:t>以大气环境功能差异特征为基础，结合大气十条等国家和地方</w:t>
      </w:r>
      <w:r>
        <w:rPr>
          <w:spacing w:val="-7"/>
          <w:position w:val="2"/>
        </w:rPr>
        <w:t xml:space="preserve">政策文件，确定大气环境质量底线，到 </w:t>
      </w:r>
      <w:r>
        <w:rPr>
          <w:rFonts w:ascii="Times New Roman" w:eastAsia="Times New Roman" w:hAnsi="Times New Roman"/>
          <w:position w:val="2"/>
        </w:rPr>
        <w:t xml:space="preserve">2025 </w:t>
      </w:r>
      <w:r>
        <w:rPr>
          <w:spacing w:val="-13"/>
          <w:position w:val="2"/>
        </w:rPr>
        <w:t xml:space="preserve">年，宁津县 </w:t>
      </w:r>
      <w:r>
        <w:rPr>
          <w:rFonts w:ascii="Times New Roman" w:eastAsia="Times New Roman" w:hAnsi="Times New Roman"/>
          <w:position w:val="2"/>
        </w:rPr>
        <w:t>PM</w:t>
      </w:r>
      <w:r>
        <w:rPr>
          <w:rFonts w:ascii="Times New Roman" w:eastAsia="Times New Roman" w:hAnsi="Times New Roman"/>
          <w:position w:val="2"/>
          <w:vertAlign w:val="subscript"/>
        </w:rPr>
        <w:t>2.5</w:t>
      </w:r>
      <w:r>
        <w:rPr>
          <w:rFonts w:ascii="Times New Roman" w:eastAsia="Times New Roman" w:hAnsi="Times New Roman"/>
          <w:position w:val="2"/>
          <w:vertAlign w:val="baseline"/>
        </w:rPr>
        <w:t xml:space="preserve"> </w:t>
      </w:r>
      <w:r>
        <w:rPr>
          <w:spacing w:val="-11"/>
          <w:position w:val="2"/>
          <w:vertAlign w:val="baseline"/>
        </w:rPr>
        <w:t>浓度</w:t>
      </w:r>
      <w:r>
        <w:rPr>
          <w:spacing w:val="-7"/>
          <w:position w:val="2"/>
          <w:vertAlign w:val="baseline"/>
        </w:rPr>
        <w:t xml:space="preserve">进一步下降，达到 </w:t>
      </w:r>
      <w:r>
        <w:rPr>
          <w:rFonts w:ascii="Times New Roman" w:eastAsia="Times New Roman" w:hAnsi="Times New Roman"/>
          <w:position w:val="2"/>
          <w:vertAlign w:val="baseline"/>
        </w:rPr>
        <w:t>45μg/m</w:t>
      </w:r>
      <w:r>
        <w:rPr>
          <w:rFonts w:ascii="Times New Roman" w:eastAsia="Times New Roman" w:hAnsi="Times New Roman"/>
          <w:position w:val="2"/>
          <w:vertAlign w:val="superscript"/>
        </w:rPr>
        <w:t>3</w:t>
      </w:r>
      <w:r>
        <w:rPr>
          <w:spacing w:val="-20"/>
          <w:position w:val="2"/>
          <w:vertAlign w:val="baseline"/>
        </w:rPr>
        <w:t xml:space="preserve">。到 </w:t>
      </w:r>
      <w:r>
        <w:rPr>
          <w:rFonts w:ascii="Times New Roman" w:eastAsia="Times New Roman" w:hAnsi="Times New Roman"/>
          <w:position w:val="2"/>
          <w:vertAlign w:val="baseline"/>
        </w:rPr>
        <w:t xml:space="preserve">2035 </w:t>
      </w:r>
      <w:r>
        <w:rPr>
          <w:spacing w:val="-10"/>
          <w:position w:val="2"/>
          <w:vertAlign w:val="baseline"/>
        </w:rPr>
        <w:t xml:space="preserve">年，宁津县 </w:t>
      </w:r>
      <w:r>
        <w:rPr>
          <w:rFonts w:ascii="Times New Roman" w:eastAsia="Times New Roman" w:hAnsi="Times New Roman"/>
          <w:position w:val="2"/>
          <w:vertAlign w:val="baseline"/>
        </w:rPr>
        <w:t>PM</w:t>
      </w:r>
      <w:r>
        <w:rPr>
          <w:rFonts w:ascii="Times New Roman" w:eastAsia="Times New Roman" w:hAnsi="Times New Roman"/>
          <w:position w:val="2"/>
          <w:vertAlign w:val="subscript"/>
        </w:rPr>
        <w:t>2.5</w:t>
      </w:r>
      <w:r>
        <w:rPr>
          <w:rFonts w:ascii="Times New Roman" w:eastAsia="Times New Roman" w:hAnsi="Times New Roman"/>
          <w:position w:val="2"/>
          <w:vertAlign w:val="baseline"/>
        </w:rPr>
        <w:t xml:space="preserve"> </w:t>
      </w:r>
      <w:r>
        <w:rPr>
          <w:position w:val="2"/>
          <w:vertAlign w:val="baseline"/>
        </w:rPr>
        <w:t>浓度达到国</w:t>
      </w:r>
      <w:r>
        <w:rPr>
          <w:spacing w:val="-4"/>
          <w:vertAlign w:val="baseline"/>
        </w:rPr>
        <w:t xml:space="preserve">家环境空气质量标准的要求，达到 </w:t>
      </w:r>
      <w:r>
        <w:rPr>
          <w:rFonts w:ascii="Times New Roman" w:eastAsia="Times New Roman" w:hAnsi="Times New Roman"/>
          <w:vertAlign w:val="baseline"/>
        </w:rPr>
        <w:t>35μg/m</w:t>
      </w:r>
      <w:r>
        <w:rPr>
          <w:rFonts w:ascii="Times New Roman" w:eastAsia="Times New Roman" w:hAnsi="Times New Roman"/>
          <w:position w:val="8"/>
          <w:sz w:val="15"/>
          <w:vertAlign w:val="baseline"/>
        </w:rPr>
        <w:t>3</w:t>
      </w:r>
      <w:r>
        <w:rPr>
          <w:vertAlign w:val="baseline"/>
        </w:rPr>
        <w:t>。</w:t>
      </w:r>
    </w:p>
    <w:p>
      <w:pPr>
        <w:pStyle w:val="BodyText"/>
        <w:spacing w:before="1"/>
        <w:ind w:left="3006"/>
      </w:pPr>
      <w:r>
        <w:t>②大气污染允许排放量</w:t>
      </w:r>
    </w:p>
    <w:p>
      <w:pPr>
        <w:pStyle w:val="BodyText"/>
        <w:spacing w:before="157" w:line="360" w:lineRule="auto"/>
        <w:ind w:left="2526" w:right="356" w:firstLine="480"/>
      </w:pPr>
      <w:r>
        <w:rPr>
          <w:spacing w:val="-30"/>
          <w:position w:val="2"/>
        </w:rPr>
        <w:t xml:space="preserve">以 </w:t>
      </w:r>
      <w:r>
        <w:rPr>
          <w:rFonts w:ascii="Times New Roman" w:eastAsia="Times New Roman"/>
          <w:position w:val="2"/>
        </w:rPr>
        <w:t>PM</w:t>
      </w:r>
      <w:r>
        <w:rPr>
          <w:rFonts w:ascii="Times New Roman" w:eastAsia="Times New Roman"/>
          <w:position w:val="2"/>
          <w:vertAlign w:val="subscript"/>
        </w:rPr>
        <w:t>2.5</w:t>
      </w:r>
      <w:r>
        <w:rPr>
          <w:position w:val="2"/>
          <w:vertAlign w:val="baseline"/>
        </w:rPr>
        <w:t>、</w:t>
      </w:r>
      <w:r>
        <w:rPr>
          <w:rFonts w:ascii="Times New Roman" w:eastAsia="Times New Roman"/>
          <w:position w:val="2"/>
          <w:vertAlign w:val="baseline"/>
        </w:rPr>
        <w:t>SO</w:t>
      </w:r>
      <w:r>
        <w:rPr>
          <w:rFonts w:ascii="Times New Roman" w:eastAsia="Times New Roman"/>
          <w:position w:val="2"/>
          <w:vertAlign w:val="subscript"/>
        </w:rPr>
        <w:t>2</w:t>
      </w:r>
      <w:r>
        <w:rPr>
          <w:position w:val="2"/>
          <w:vertAlign w:val="baseline"/>
        </w:rPr>
        <w:t>、</w:t>
      </w:r>
      <w:r>
        <w:rPr>
          <w:rFonts w:ascii="Times New Roman" w:eastAsia="Times New Roman"/>
          <w:position w:val="2"/>
          <w:vertAlign w:val="baseline"/>
        </w:rPr>
        <w:t>NOx</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position w:val="2"/>
          <w:vertAlign w:val="baseline"/>
        </w:rPr>
        <w:t>、</w:t>
      </w:r>
      <w:r>
        <w:rPr>
          <w:rFonts w:ascii="Times New Roman" w:eastAsia="Times New Roman"/>
          <w:position w:val="2"/>
          <w:vertAlign w:val="baseline"/>
        </w:rPr>
        <w:t>VOCs</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 xml:space="preserve"> </w:t>
      </w:r>
      <w:r>
        <w:rPr>
          <w:position w:val="2"/>
          <w:vertAlign w:val="baseline"/>
        </w:rPr>
        <w:t>达标为约束，其中</w:t>
      </w:r>
      <w:r>
        <w:rPr>
          <w:spacing w:val="-12"/>
          <w:position w:val="2"/>
          <w:vertAlign w:val="baseline"/>
        </w:rPr>
        <w:t xml:space="preserve">宁津县到 </w:t>
      </w:r>
      <w:r>
        <w:rPr>
          <w:rFonts w:ascii="Times New Roman" w:eastAsia="Times New Roman"/>
          <w:position w:val="2"/>
          <w:vertAlign w:val="baseline"/>
        </w:rPr>
        <w:t xml:space="preserve">2025 </w:t>
      </w:r>
      <w:r>
        <w:rPr>
          <w:spacing w:val="-15"/>
          <w:position w:val="2"/>
          <w:vertAlign w:val="baseline"/>
        </w:rPr>
        <w:t xml:space="preserve">年消减 </w:t>
      </w:r>
      <w:r>
        <w:rPr>
          <w:rFonts w:ascii="Times New Roman" w:eastAsia="Times New Roman"/>
          <w:position w:val="2"/>
          <w:vertAlign w:val="baseline"/>
        </w:rPr>
        <w:t>SO</w:t>
      </w:r>
      <w:r>
        <w:rPr>
          <w:rFonts w:ascii="Times New Roman" w:eastAsia="Times New Roman"/>
          <w:position w:val="2"/>
          <w:vertAlign w:val="subscript"/>
        </w:rPr>
        <w:t>2</w:t>
      </w:r>
      <w:r>
        <w:rPr>
          <w:rFonts w:ascii="Times New Roman" w:eastAsia="Times New Roman"/>
          <w:position w:val="2"/>
          <w:vertAlign w:val="baseline"/>
        </w:rPr>
        <w:t>13.4%</w:t>
      </w:r>
      <w:r>
        <w:rPr>
          <w:position w:val="2"/>
          <w:vertAlign w:val="baseline"/>
        </w:rPr>
        <w:t>、</w:t>
      </w:r>
      <w:r>
        <w:rPr>
          <w:rFonts w:ascii="Times New Roman" w:eastAsia="Times New Roman"/>
          <w:position w:val="2"/>
          <w:vertAlign w:val="baseline"/>
        </w:rPr>
        <w:t>NO</w:t>
      </w:r>
      <w:r>
        <w:rPr>
          <w:rFonts w:ascii="Times New Roman" w:eastAsia="Times New Roman"/>
          <w:position w:val="2"/>
          <w:vertAlign w:val="subscript"/>
        </w:rPr>
        <w:t>X</w:t>
      </w:r>
      <w:r>
        <w:rPr>
          <w:rFonts w:ascii="Times New Roman" w:eastAsia="Times New Roman"/>
          <w:position w:val="2"/>
          <w:vertAlign w:val="baseline"/>
        </w:rPr>
        <w:t>19.4%</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Times New Roman" w:eastAsia="Times New Roman"/>
          <w:position w:val="2"/>
          <w:vertAlign w:val="baseline"/>
        </w:rPr>
        <w:t>24.6%</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15.8%</w:t>
      </w:r>
      <w:r>
        <w:rPr>
          <w:position w:val="2"/>
          <w:vertAlign w:val="baseline"/>
        </w:rPr>
        <w:t>、</w:t>
      </w:r>
      <w:r>
        <w:rPr>
          <w:rFonts w:ascii="Times New Roman" w:eastAsia="Times New Roman"/>
          <w:position w:val="2"/>
          <w:vertAlign w:val="baseline"/>
        </w:rPr>
        <w:t>VOC</w:t>
      </w:r>
      <w:r>
        <w:rPr>
          <w:rFonts w:ascii="Times New Roman" w:eastAsia="Times New Roman"/>
          <w:position w:val="2"/>
          <w:vertAlign w:val="subscript"/>
        </w:rPr>
        <w:t>S</w:t>
      </w:r>
      <w:r>
        <w:rPr>
          <w:rFonts w:ascii="Times New Roman" w:eastAsia="Times New Roman"/>
          <w:position w:val="2"/>
          <w:vertAlign w:val="baseline"/>
        </w:rPr>
        <w:t>18.8%</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11.0%</w:t>
      </w:r>
      <w:r>
        <w:rPr>
          <w:spacing w:val="-20"/>
          <w:position w:val="2"/>
          <w:vertAlign w:val="baseline"/>
        </w:rPr>
        <w:t xml:space="preserve">，到 </w:t>
      </w:r>
      <w:r>
        <w:rPr>
          <w:rFonts w:ascii="Times New Roman" w:eastAsia="Times New Roman"/>
          <w:position w:val="2"/>
          <w:vertAlign w:val="baseline"/>
        </w:rPr>
        <w:t xml:space="preserve">2035 </w:t>
      </w:r>
      <w:r>
        <w:rPr>
          <w:spacing w:val="-15"/>
          <w:position w:val="2"/>
          <w:vertAlign w:val="baseline"/>
        </w:rPr>
        <w:t xml:space="preserve">年消减 </w:t>
      </w:r>
      <w:r>
        <w:rPr>
          <w:rFonts w:ascii="Times New Roman" w:eastAsia="Times New Roman"/>
          <w:position w:val="2"/>
          <w:vertAlign w:val="baseline"/>
        </w:rPr>
        <w:t>SO</w:t>
      </w:r>
      <w:r>
        <w:rPr>
          <w:rFonts w:ascii="Times New Roman" w:eastAsia="Times New Roman"/>
          <w:position w:val="2"/>
          <w:vertAlign w:val="subscript"/>
        </w:rPr>
        <w:t>2</w:t>
      </w:r>
      <w:r>
        <w:rPr>
          <w:rFonts w:ascii="Times New Roman" w:eastAsia="Times New Roman"/>
          <w:position w:val="2"/>
          <w:vertAlign w:val="baseline"/>
        </w:rPr>
        <w:t>27.4%</w:t>
      </w:r>
      <w:r>
        <w:rPr>
          <w:spacing w:val="-23"/>
          <w:position w:val="2"/>
          <w:vertAlign w:val="baseline"/>
        </w:rPr>
        <w:t>、</w:t>
      </w:r>
      <w:r>
        <w:rPr>
          <w:rFonts w:ascii="Times New Roman" w:eastAsia="Times New Roman"/>
          <w:position w:val="2"/>
          <w:vertAlign w:val="baseline"/>
        </w:rPr>
        <w:t>NO</w:t>
      </w:r>
      <w:r>
        <w:rPr>
          <w:rFonts w:ascii="Times New Roman" w:eastAsia="Times New Roman"/>
          <w:position w:val="2"/>
          <w:vertAlign w:val="subscript"/>
        </w:rPr>
        <w:t>X</w:t>
      </w:r>
      <w:r>
        <w:rPr>
          <w:rFonts w:ascii="Times New Roman" w:eastAsia="Times New Roman"/>
          <w:position w:val="2"/>
          <w:vertAlign w:val="baseline"/>
        </w:rPr>
        <w:t>39.7%</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Times New Roman" w:eastAsia="Times New Roman"/>
          <w:position w:val="2"/>
          <w:vertAlign w:val="baseline"/>
        </w:rPr>
        <w:t>50.3%</w:t>
      </w:r>
      <w:r>
        <w:rPr>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32.3%</w:t>
      </w:r>
      <w:r>
        <w:rPr>
          <w:position w:val="2"/>
          <w:vertAlign w:val="baseline"/>
        </w:rPr>
        <w:t>、</w:t>
      </w:r>
      <w:r>
        <w:rPr>
          <w:rFonts w:ascii="Times New Roman" w:eastAsia="Times New Roman"/>
          <w:position w:val="2"/>
          <w:vertAlign w:val="baseline"/>
        </w:rPr>
        <w:t>VOC</w:t>
      </w:r>
      <w:r>
        <w:rPr>
          <w:rFonts w:ascii="Times New Roman" w:eastAsia="Times New Roman"/>
          <w:position w:val="2"/>
          <w:vertAlign w:val="subscript"/>
        </w:rPr>
        <w:t>S</w:t>
      </w:r>
      <w:r>
        <w:rPr>
          <w:rFonts w:ascii="Times New Roman" w:eastAsia="Times New Roman"/>
          <w:position w:val="2"/>
          <w:vertAlign w:val="baseline"/>
        </w:rPr>
        <w:t>38.4%</w:t>
      </w:r>
      <w:r>
        <w:rPr>
          <w:position w:val="2"/>
          <w:vertAlign w:val="baseline"/>
        </w:rPr>
        <w:t>、</w:t>
      </w:r>
      <w:r>
        <w:rPr>
          <w:rFonts w:ascii="Times New Roman" w:eastAsia="Times New Roman"/>
          <w:position w:val="2"/>
          <w:vertAlign w:val="baseline"/>
        </w:rPr>
        <w:t>NH</w:t>
      </w:r>
      <w:r>
        <w:rPr>
          <w:rFonts w:ascii="Times New Roman" w:eastAsia="Times New Roman"/>
          <w:position w:val="2"/>
          <w:vertAlign w:val="subscript"/>
        </w:rPr>
        <w:t>3</w:t>
      </w:r>
      <w:r>
        <w:rPr>
          <w:rFonts w:ascii="Times New Roman" w:eastAsia="Times New Roman"/>
          <w:position w:val="2"/>
          <w:vertAlign w:val="baseline"/>
        </w:rPr>
        <w:t>22.6%</w:t>
      </w:r>
      <w:r>
        <w:rPr>
          <w:position w:val="2"/>
          <w:vertAlign w:val="baseline"/>
        </w:rPr>
        <w:t>。</w:t>
      </w:r>
    </w:p>
    <w:p>
      <w:pPr>
        <w:pStyle w:val="BodyText"/>
        <w:spacing w:before="8"/>
        <w:ind w:left="3006"/>
      </w:pPr>
      <w:r>
        <w:t>③大气环境管控分区</w:t>
      </w:r>
    </w:p>
    <w:p>
      <w:pPr>
        <w:pStyle w:val="BodyText"/>
        <w:spacing w:before="158"/>
        <w:ind w:left="3006"/>
      </w:pPr>
      <w:r>
        <w:t>基于大气环境脆弱性、敏感性和重要性的评价结果，考虑大气</w:t>
      </w:r>
    </w:p>
    <w:p>
      <w:pPr>
        <w:spacing w:after="0"/>
        <w:sectPr>
          <w:footerReference w:type="default" r:id="rId6"/>
          <w:pgSz w:w="11910" w:h="16840"/>
          <w:pgMar w:top="1380" w:right="980" w:bottom="1320" w:left="1040" w:header="0" w:footer="1050" w:gutter="0"/>
          <w:pgNumType w:start="2"/>
          <w:cols w:num="1" w:space="720"/>
        </w:sectPr>
      </w:pPr>
    </w:p>
    <w:p>
      <w:pPr>
        <w:pStyle w:val="BodyText"/>
        <w:spacing w:before="55" w:line="362" w:lineRule="auto"/>
        <w:ind w:left="2526" w:right="402"/>
        <w:jc w:val="both"/>
      </w:pPr>
      <w:r>
        <w:pict>
          <v:shape id="_x0000_s1027" o:spid="_x0000_s1026" style="width:468.2pt;height:678.1pt;margin-top:91.8pt;margin-left:63.55pt;mso-height-relative:page;mso-position-horizontal-relative:page;mso-position-vertical-relative:page;mso-width-relative:page;position:absolute;z-index:-251657216" coordorigin="1271,1836" coordsize="9364,13562" path="m1271,1445l10635,1445m1271,15002l10635,15002m1276,1440l1276,14997m3459,1440l3459,14997m10630,1440l10630,14997e" filled="f" stroked="t" strokecolor="black">
            <v:path arrowok="t"/>
          </v:shape>
        </w:pict>
      </w:r>
      <w:r>
        <w:t>污染传输规律和德州市大气污染特征，识别网格单元主导属性，以乡镇和街道为单元，将全市划分为大气环境优先保护区、大气环境重点管控区和一般管控区，实施分级分类管理。</w:t>
      </w:r>
    </w:p>
    <w:p>
      <w:pPr>
        <w:pStyle w:val="BodyText"/>
        <w:spacing w:before="6" w:line="362" w:lineRule="auto"/>
        <w:ind w:left="3006" w:right="3517"/>
      </w:pPr>
      <w:r>
        <w:t>宁津县大气环境管控分区如下。大气环境优先保护区：无</w:t>
      </w:r>
    </w:p>
    <w:p>
      <w:pPr>
        <w:pStyle w:val="BodyText"/>
        <w:spacing w:before="5" w:line="364" w:lineRule="auto"/>
        <w:ind w:left="2526" w:right="402" w:firstLine="480"/>
      </w:pPr>
      <w:r>
        <w:t>大气环境重点管控区：津城街道、宁津经济开发区工业区、宁城街道。</w:t>
      </w:r>
    </w:p>
    <w:p>
      <w:pPr>
        <w:pStyle w:val="BodyText"/>
        <w:spacing w:line="364" w:lineRule="auto"/>
        <w:ind w:left="2526" w:right="397" w:firstLine="480"/>
      </w:pPr>
      <w:r>
        <w:t>一般管控区：保店镇、柴胡店镇、大曹镇、大柳镇、杜集镇、刘营伍乡、时集镇、相衙镇、张大庄镇、长官镇。</w:t>
      </w:r>
    </w:p>
    <w:p>
      <w:pPr>
        <w:pStyle w:val="BodyText"/>
        <w:spacing w:line="306" w:lineRule="exact"/>
        <w:ind w:left="3006"/>
      </w:pPr>
      <w:r>
        <w:t>④大气环境分区管控要求</w:t>
      </w:r>
    </w:p>
    <w:p>
      <w:pPr>
        <w:pStyle w:val="BodyText"/>
        <w:spacing w:before="159" w:line="364" w:lineRule="auto"/>
        <w:ind w:left="2526" w:right="397" w:firstLine="480"/>
        <w:jc w:val="both"/>
      </w:pPr>
      <w:r>
        <w:rPr>
          <w:spacing w:val="-3"/>
        </w:rPr>
        <w:t>本项目位于宁津县张大庄镇，属于一般管控区，具体管控要求</w:t>
      </w:r>
      <w:r>
        <w:rPr>
          <w:spacing w:val="-12"/>
        </w:rPr>
        <w:t>如下。管控要求：执 行《 区 域 性 大 气 污 染 物 综 合 排 放</w:t>
      </w:r>
      <w:r>
        <w:rPr>
          <w:spacing w:val="-2"/>
        </w:rPr>
        <w:t>标 准 》</w:t>
      </w:r>
      <w:r>
        <w:t>（</w:t>
      </w:r>
      <w:r>
        <w:rPr>
          <w:rFonts w:ascii="Times New Roman" w:eastAsia="Times New Roman" w:hAnsi="Times New Roman"/>
        </w:rPr>
        <w:t>DB37/2376-2019</w:t>
      </w:r>
      <w:r>
        <w:t>）</w:t>
      </w:r>
      <w:r>
        <w:rPr>
          <w:spacing w:val="-1"/>
        </w:rPr>
        <w:t>规定的一般控制区标准</w:t>
      </w:r>
      <w:r>
        <w:t>（区域内大气环境重点排污单位执行重点控制区标准）</w:t>
      </w:r>
      <w:r>
        <w:rPr>
          <w:spacing w:val="-2"/>
        </w:rPr>
        <w:t>。区域内严格限制火电、</w:t>
      </w:r>
      <w:r>
        <w:t>石化、化工、冶金、钢铁和建材等</w:t>
      </w:r>
      <w:r>
        <w:rPr>
          <w:rFonts w:ascii="Times New Roman" w:eastAsia="Times New Roman" w:hAnsi="Times New Roman"/>
        </w:rPr>
        <w:t>“</w:t>
      </w:r>
      <w:r>
        <w:t>两高一资</w:t>
      </w:r>
      <w:r>
        <w:rPr>
          <w:rFonts w:ascii="Times New Roman" w:eastAsia="Times New Roman" w:hAnsi="Times New Roman"/>
        </w:rPr>
        <w:t>”</w:t>
      </w:r>
      <w:r>
        <w:t>项目建设（具体按主管部门要求执行）</w:t>
      </w:r>
      <w:r>
        <w:rPr>
          <w:spacing w:val="-2"/>
        </w:rPr>
        <w:t>，深化重点行业污染治理，强力推进国家和省确</w:t>
      </w:r>
      <w:r>
        <w:rPr>
          <w:spacing w:val="-3"/>
        </w:rPr>
        <w:t>定的各项产业结构调整措施，加强机动车排放污染治理，对现有的</w:t>
      </w:r>
      <w:r>
        <w:rPr>
          <w:spacing w:val="-2"/>
        </w:rPr>
        <w:t>涉废气排放工业企业加强监督管理和执法检查，定期开展清洁生产</w:t>
      </w:r>
      <w:r>
        <w:rPr>
          <w:spacing w:val="-3"/>
        </w:rPr>
        <w:t>审核，推动现有各类产业园区及重点企业生态化、循环化改造。新</w:t>
      </w:r>
      <w:r>
        <w:rPr>
          <w:spacing w:val="-4"/>
        </w:rPr>
        <w:t>建、改建和扩建项目需满足产业准入、总量控制、排放标准等管理</w:t>
      </w:r>
      <w:r>
        <w:rPr>
          <w:spacing w:val="-3"/>
        </w:rPr>
        <w:t>制度要求的前提下，实行工业项目进园和集约高效发展，推进工业</w:t>
      </w:r>
      <w:r>
        <w:t>园区或工业集中区建设。</w:t>
      </w:r>
    </w:p>
    <w:p>
      <w:pPr>
        <w:pStyle w:val="BodyText"/>
        <w:spacing w:line="364" w:lineRule="auto"/>
        <w:ind w:left="2526" w:right="402" w:firstLine="480"/>
      </w:pPr>
      <w:r>
        <w:t>本项目位于宁津县张大庄镇，实行《区域性大气污染物综合排放标准》（</w:t>
      </w:r>
      <w:r>
        <w:rPr>
          <w:rFonts w:ascii="Times New Roman" w:eastAsia="Times New Roman"/>
        </w:rPr>
        <w:t>DB37/2376-2019</w:t>
      </w:r>
      <w:r>
        <w:t>）规定的一般控制区标准。</w:t>
      </w:r>
    </w:p>
    <w:p>
      <w:pPr>
        <w:pStyle w:val="Heading2"/>
        <w:numPr>
          <w:ilvl w:val="0"/>
          <w:numId w:val="1"/>
        </w:numPr>
        <w:tabs>
          <w:tab w:val="left" w:pos="3368"/>
        </w:tabs>
        <w:spacing w:before="0" w:after="0" w:line="306" w:lineRule="exact"/>
        <w:ind w:left="3367" w:right="0" w:hanging="362"/>
        <w:jc w:val="left"/>
      </w:pPr>
      <w:r>
        <w:t>水环境治理底线及分区管控</w:t>
      </w:r>
    </w:p>
    <w:p>
      <w:pPr>
        <w:pStyle w:val="BodyText"/>
        <w:spacing w:before="151"/>
        <w:ind w:left="3006"/>
      </w:pPr>
      <w:r>
        <w:t>①水环境管控分区</w:t>
      </w:r>
    </w:p>
    <w:p>
      <w:pPr>
        <w:pStyle w:val="BodyText"/>
        <w:spacing w:before="161" w:line="364" w:lineRule="auto"/>
        <w:ind w:left="2526" w:right="284" w:firstLine="480"/>
      </w:pPr>
      <w:r>
        <w:t>基于国家海河流域德州控制单元划分结果、</w:t>
      </w:r>
      <w:r>
        <w:rPr>
          <w:rFonts w:ascii="Times New Roman" w:eastAsia="Times New Roman"/>
        </w:rPr>
        <w:t xml:space="preserve">DEM </w:t>
      </w:r>
      <w:r>
        <w:t>的水文分析、行政区划、河流的流向、河流之间的汇流关系细化出控制单元，并与市水十条中控制单元的划分结果进行对比分析，识别不一致的划</w:t>
      </w:r>
    </w:p>
    <w:p>
      <w:pPr>
        <w:spacing w:after="0" w:line="364" w:lineRule="auto"/>
        <w:sectPr>
          <w:footerReference w:type="default" r:id="rId7"/>
          <w:pgSz w:w="11910" w:h="16840"/>
          <w:pgMar w:top="1380" w:right="980" w:bottom="1320" w:left="1040" w:header="0" w:footer="1050" w:gutter="0"/>
          <w:pgNumType w:start="3"/>
          <w:cols w:num="1" w:space="720"/>
        </w:sectPr>
      </w:pPr>
    </w:p>
    <w:p>
      <w:pPr>
        <w:pStyle w:val="BodyText"/>
        <w:spacing w:before="55"/>
        <w:ind w:left="2526"/>
      </w:pPr>
      <w:r>
        <w:pict>
          <v:shape id="_x0000_s1028" o:spid="_x0000_s1027" style="width:468.2pt;height:678.1pt;margin-top:91.8pt;margin-left:63.55pt;mso-height-relative:page;mso-position-horizontal-relative:page;mso-position-vertical-relative:page;mso-width-relative:page;position:absolute;z-index:-251656192" coordorigin="1271,1836" coordsize="9364,13562" path="m1271,1445l10635,1445m1271,15002l10635,15002m1276,1440l1276,14997m3459,1440l3459,14997m10630,1440l10630,14997e" filled="f" stroked="t" strokecolor="black">
            <v:path arrowok="t"/>
          </v:shape>
        </w:pict>
      </w:r>
      <w:r>
        <w:t xml:space="preserve">分结果，在充分咨询和调研的基础上，本报告将德州市 </w:t>
      </w:r>
      <w:r>
        <w:rPr>
          <w:rFonts w:ascii="Times New Roman" w:eastAsia="Times New Roman"/>
        </w:rPr>
        <w:t xml:space="preserve">134 </w:t>
      </w:r>
      <w:r>
        <w:t>个乡镇</w:t>
      </w:r>
    </w:p>
    <w:p>
      <w:pPr>
        <w:pStyle w:val="BodyText"/>
        <w:spacing w:before="158" w:line="362" w:lineRule="auto"/>
        <w:ind w:left="3006" w:right="3690" w:hanging="480"/>
      </w:pPr>
      <w:r>
        <w:t xml:space="preserve">划分了 </w:t>
      </w:r>
      <w:r>
        <w:rPr>
          <w:rFonts w:ascii="Times New Roman" w:eastAsia="Times New Roman"/>
        </w:rPr>
        <w:t xml:space="preserve">167 </w:t>
      </w:r>
      <w:r>
        <w:t>个水环境控制单元。宁津县水环境管控分区如下。</w:t>
      </w:r>
    </w:p>
    <w:p>
      <w:pPr>
        <w:pStyle w:val="BodyText"/>
        <w:spacing w:before="5" w:line="362" w:lineRule="auto"/>
        <w:ind w:left="3006" w:right="1530"/>
      </w:pPr>
      <w:r>
        <w:t>水环境优先保护区：</w:t>
      </w:r>
      <w:r>
        <w:rPr>
          <w:rFonts w:ascii="Times New Roman" w:eastAsia="Times New Roman"/>
        </w:rPr>
        <w:t>YS3714221210154</w:t>
      </w:r>
      <w:r>
        <w:rPr>
          <w:rFonts w:ascii="Times New Roman" w:eastAsia="Times New Roman"/>
          <w:spacing w:val="59"/>
        </w:rPr>
        <w:t xml:space="preserve"> </w:t>
      </w:r>
      <w:r>
        <w:rPr>
          <w:spacing w:val="-4"/>
        </w:rPr>
        <w:t>大柳水库。</w:t>
      </w:r>
      <w:r>
        <w:t>水环境重点管控区：</w:t>
      </w:r>
    </w:p>
    <w:p>
      <w:pPr>
        <w:pStyle w:val="BodyText"/>
        <w:spacing w:before="5" w:line="364" w:lineRule="auto"/>
        <w:ind w:left="3006" w:right="1770"/>
      </w:pPr>
      <w:r>
        <w:rPr>
          <w:rFonts w:ascii="Times New Roman" w:eastAsia="Times New Roman"/>
        </w:rPr>
        <w:t>YS3714222210111</w:t>
      </w:r>
      <w:r>
        <w:rPr>
          <w:rFonts w:ascii="Times New Roman" w:eastAsia="Times New Roman"/>
          <w:spacing w:val="59"/>
        </w:rPr>
        <w:t xml:space="preserve"> </w:t>
      </w:r>
      <w:r>
        <w:t>津城街道控制单元：宁南河</w:t>
      </w:r>
      <w:r>
        <w:rPr>
          <w:rFonts w:ascii="Times New Roman" w:eastAsia="Times New Roman"/>
        </w:rPr>
        <w:t>YS3714222210112</w:t>
      </w:r>
      <w:r>
        <w:rPr>
          <w:rFonts w:ascii="Times New Roman" w:eastAsia="Times New Roman"/>
          <w:spacing w:val="59"/>
        </w:rPr>
        <w:t xml:space="preserve"> </w:t>
      </w:r>
      <w:r>
        <w:rPr>
          <w:spacing w:val="-2"/>
        </w:rPr>
        <w:t>宁城街道控制单元：宁津新河</w:t>
      </w:r>
      <w:r>
        <w:rPr>
          <w:rFonts w:ascii="Times New Roman" w:eastAsia="Times New Roman"/>
        </w:rPr>
        <w:t>YS3714222210114</w:t>
      </w:r>
      <w:r>
        <w:rPr>
          <w:rFonts w:ascii="Times New Roman" w:eastAsia="Times New Roman"/>
          <w:spacing w:val="3"/>
        </w:rPr>
        <w:t xml:space="preserve">  </w:t>
      </w:r>
      <w:r>
        <w:t>时集镇控制单元：宁津新河水环境一般管控区：</w:t>
      </w:r>
    </w:p>
    <w:p>
      <w:pPr>
        <w:pStyle w:val="BodyText"/>
        <w:spacing w:line="364" w:lineRule="auto"/>
        <w:ind w:left="3006" w:right="1770"/>
      </w:pPr>
      <w:r>
        <w:rPr>
          <w:rFonts w:ascii="Times New Roman" w:eastAsia="Times New Roman"/>
        </w:rPr>
        <w:t>YS3714223210109</w:t>
      </w:r>
      <w:r>
        <w:rPr>
          <w:rFonts w:ascii="Times New Roman" w:eastAsia="Times New Roman"/>
          <w:spacing w:val="59"/>
        </w:rPr>
        <w:t xml:space="preserve"> </w:t>
      </w:r>
      <w:r>
        <w:t>大曹镇控制单元：漳卫新河</w:t>
      </w:r>
      <w:r>
        <w:rPr>
          <w:rFonts w:ascii="Times New Roman" w:eastAsia="Times New Roman"/>
        </w:rPr>
        <w:t>YS3714223210110</w:t>
      </w:r>
      <w:r>
        <w:rPr>
          <w:rFonts w:ascii="Times New Roman" w:eastAsia="Times New Roman"/>
          <w:spacing w:val="59"/>
        </w:rPr>
        <w:t xml:space="preserve"> </w:t>
      </w:r>
      <w:r>
        <w:t>保店镇控制单元：漳卫新河</w:t>
      </w:r>
      <w:r>
        <w:rPr>
          <w:rFonts w:ascii="Times New Roman" w:eastAsia="Times New Roman"/>
        </w:rPr>
        <w:t>YS3714223210113</w:t>
      </w:r>
      <w:r>
        <w:rPr>
          <w:rFonts w:ascii="Times New Roman" w:eastAsia="Times New Roman"/>
          <w:spacing w:val="59"/>
        </w:rPr>
        <w:t xml:space="preserve"> </w:t>
      </w:r>
      <w:r>
        <w:t>相衙镇控制单元：张伟新河</w:t>
      </w:r>
      <w:r>
        <w:rPr>
          <w:rFonts w:ascii="Times New Roman" w:eastAsia="Times New Roman"/>
        </w:rPr>
        <w:t>YS3714223210115</w:t>
      </w:r>
      <w:r>
        <w:rPr>
          <w:rFonts w:ascii="Times New Roman" w:eastAsia="Times New Roman"/>
          <w:spacing w:val="59"/>
        </w:rPr>
        <w:t xml:space="preserve"> </w:t>
      </w:r>
      <w:r>
        <w:rPr>
          <w:spacing w:val="-2"/>
        </w:rPr>
        <w:t>刘营伍乡控制单元：漳卫新河</w:t>
      </w:r>
      <w:r>
        <w:rPr>
          <w:rFonts w:ascii="Times New Roman" w:eastAsia="Times New Roman"/>
        </w:rPr>
        <w:t>YS3714223210116</w:t>
      </w:r>
      <w:r>
        <w:rPr>
          <w:rFonts w:ascii="Times New Roman" w:eastAsia="Times New Roman"/>
          <w:spacing w:val="59"/>
        </w:rPr>
        <w:t xml:space="preserve"> </w:t>
      </w:r>
      <w:r>
        <w:rPr>
          <w:spacing w:val="-2"/>
        </w:rPr>
        <w:t>柴胡店镇控制单元：宁津新河</w:t>
      </w:r>
      <w:r>
        <w:rPr>
          <w:rFonts w:ascii="Times New Roman" w:eastAsia="Times New Roman"/>
        </w:rPr>
        <w:t>YS3714223210117</w:t>
      </w:r>
      <w:r>
        <w:rPr>
          <w:rFonts w:ascii="Times New Roman" w:eastAsia="Times New Roman"/>
          <w:spacing w:val="59"/>
        </w:rPr>
        <w:t xml:space="preserve"> </w:t>
      </w:r>
      <w:r>
        <w:t>杜集镇控制单元：李固土沟</w:t>
      </w:r>
      <w:r>
        <w:rPr>
          <w:rFonts w:ascii="Times New Roman" w:eastAsia="Times New Roman"/>
        </w:rPr>
        <w:t>YS3714223210118</w:t>
      </w:r>
      <w:r>
        <w:rPr>
          <w:rFonts w:ascii="Times New Roman" w:eastAsia="Times New Roman"/>
          <w:spacing w:val="59"/>
        </w:rPr>
        <w:t xml:space="preserve"> </w:t>
      </w:r>
      <w:r>
        <w:t>长官镇控制单元：漳卫新河</w:t>
      </w:r>
      <w:r>
        <w:rPr>
          <w:rFonts w:ascii="Times New Roman" w:eastAsia="Times New Roman"/>
        </w:rPr>
        <w:t>YS3714223210119</w:t>
      </w:r>
      <w:r>
        <w:rPr>
          <w:rFonts w:ascii="Times New Roman" w:eastAsia="Times New Roman"/>
          <w:spacing w:val="59"/>
        </w:rPr>
        <w:t xml:space="preserve"> </w:t>
      </w:r>
      <w:r>
        <w:t>大柳镇控制单元：宁北河</w:t>
      </w:r>
      <w:r>
        <w:rPr>
          <w:rFonts w:ascii="Times New Roman" w:eastAsia="Times New Roman"/>
        </w:rPr>
        <w:t>YS3714222210120</w:t>
      </w:r>
      <w:r>
        <w:rPr>
          <w:rFonts w:ascii="Times New Roman" w:eastAsia="Times New Roman"/>
          <w:spacing w:val="59"/>
        </w:rPr>
        <w:t xml:space="preserve"> </w:t>
      </w:r>
      <w:r>
        <w:rPr>
          <w:spacing w:val="-2"/>
        </w:rPr>
        <w:t>张大庄镇控制单元：漳卫新河</w:t>
      </w:r>
    </w:p>
    <w:p>
      <w:pPr>
        <w:pStyle w:val="BodyText"/>
        <w:spacing w:line="303" w:lineRule="exact"/>
        <w:ind w:left="3006"/>
      </w:pPr>
      <w:r>
        <w:t>②水环境分区管控要求</w:t>
      </w:r>
    </w:p>
    <w:p>
      <w:pPr>
        <w:pStyle w:val="BodyText"/>
        <w:spacing w:before="155" w:line="364" w:lineRule="auto"/>
        <w:ind w:left="3006" w:right="282"/>
      </w:pPr>
      <w:r>
        <w:rPr>
          <w:spacing w:val="-11"/>
        </w:rPr>
        <w:t>本项目属于张大庄镇，属于水环境一般管控区，管控要求如下。</w:t>
      </w:r>
      <w:r>
        <w:rPr>
          <w:spacing w:val="-2"/>
        </w:rPr>
        <w:t>水环境一般保护区管控要求：控制高耗水工业项目建设。依法</w:t>
      </w:r>
    </w:p>
    <w:p>
      <w:pPr>
        <w:pStyle w:val="BodyText"/>
        <w:spacing w:before="2" w:line="364" w:lineRule="auto"/>
        <w:ind w:left="2526" w:right="282"/>
      </w:pPr>
      <w:r>
        <w:t xml:space="preserve">淘汰落后产能，完成国家、省下达的年度淘汰落后产能任务目标， </w:t>
      </w:r>
      <w:r>
        <w:rPr>
          <w:spacing w:val="-2"/>
        </w:rPr>
        <w:t>鼓励企业主动开展计划外淘汰。全面排查装备水平低、环保设施差</w:t>
      </w:r>
      <w:r>
        <w:rPr>
          <w:spacing w:val="-12"/>
        </w:rPr>
        <w:t>的小型工业企业，依法全部取缔不符合产业政策的小型造纸、制革、</w:t>
      </w:r>
      <w:r>
        <w:rPr>
          <w:spacing w:val="-2"/>
        </w:rPr>
        <w:t>印染、染料、颜料、电镀、农药、化工、炼油、废旧塑料再生等严重污染水环境的生产项目。</w:t>
      </w:r>
    </w:p>
    <w:p>
      <w:pPr>
        <w:pStyle w:val="BodyText"/>
        <w:spacing w:line="303" w:lineRule="exact"/>
        <w:ind w:left="3006"/>
      </w:pPr>
      <w:r>
        <w:t>本项目不属于上重点行业项目。</w:t>
      </w:r>
    </w:p>
    <w:p>
      <w:pPr>
        <w:pStyle w:val="Heading2"/>
        <w:numPr>
          <w:ilvl w:val="0"/>
          <w:numId w:val="1"/>
        </w:numPr>
        <w:tabs>
          <w:tab w:val="left" w:pos="3368"/>
        </w:tabs>
        <w:spacing w:before="160" w:after="0" w:line="240" w:lineRule="auto"/>
        <w:ind w:left="3367" w:right="0" w:hanging="362"/>
        <w:jc w:val="left"/>
      </w:pPr>
      <w:r>
        <w:t>土壤环境风险防控底线及分区管控</w:t>
      </w:r>
    </w:p>
    <w:p>
      <w:pPr>
        <w:pStyle w:val="BodyText"/>
        <w:spacing w:before="158"/>
        <w:ind w:left="3006"/>
      </w:pPr>
      <w:r>
        <w:t>①土壤环境风险防控底线</w:t>
      </w:r>
    </w:p>
    <w:p>
      <w:pPr>
        <w:spacing w:after="0"/>
        <w:sectPr>
          <w:footerReference w:type="default" r:id="rId8"/>
          <w:pgSz w:w="11910" w:h="16840"/>
          <w:pgMar w:top="1380" w:right="980" w:bottom="1320" w:left="1040" w:header="0" w:footer="1050" w:gutter="0"/>
          <w:pgNumType w:start="4"/>
          <w:cols w:num="1" w:space="720"/>
        </w:sectPr>
      </w:pPr>
    </w:p>
    <w:p>
      <w:pPr>
        <w:pStyle w:val="BodyText"/>
        <w:spacing w:before="55" w:line="364" w:lineRule="auto"/>
        <w:ind w:left="2526" w:right="359" w:firstLine="480"/>
      </w:pPr>
      <w:r>
        <w:pict>
          <v:shape id="_x0000_s1029" o:spid="_x0000_s1028" style="width:468.2pt;height:678.1pt;margin-top:91.8pt;margin-left:63.55pt;mso-height-relative:page;mso-position-horizontal-relative:page;mso-position-vertical-relative:page;mso-width-relative:page;position:absolute;z-index:-251655168" coordorigin="1271,1836" coordsize="9364,13562" path="m1271,1445l10635,1445m1271,15002l10635,15002m1276,1440l1276,14997m3459,1440l3459,14997m10630,1440l10630,14997e" filled="f" stroked="t" strokecolor="black">
            <v:path arrowok="t"/>
          </v:shape>
        </w:pict>
      </w:r>
      <w:r>
        <w:rPr>
          <w:spacing w:val="-3"/>
        </w:rPr>
        <w:t>根据《德州市土壤污染防治工作方案》中的要求确定总体目标</w:t>
      </w:r>
      <w:r>
        <w:rPr>
          <w:spacing w:val="-16"/>
        </w:rPr>
        <w:t>及德州市土壤污染实际情况，近期，受污染耕地安全利用率达到</w:t>
      </w:r>
      <w:r>
        <w:rPr>
          <w:rFonts w:ascii="Times New Roman" w:eastAsia="Times New Roman"/>
        </w:rPr>
        <w:t xml:space="preserve">91% </w:t>
      </w:r>
      <w:r>
        <w:rPr>
          <w:spacing w:val="-5"/>
        </w:rPr>
        <w:t xml:space="preserve">左右，污染地块安全利用率达到 </w:t>
      </w:r>
      <w:r>
        <w:rPr>
          <w:rFonts w:ascii="Times New Roman" w:eastAsia="Times New Roman"/>
        </w:rPr>
        <w:t>90%</w:t>
      </w:r>
      <w:r>
        <w:rPr>
          <w:spacing w:val="-12"/>
        </w:rPr>
        <w:t xml:space="preserve">以上；到 </w:t>
      </w:r>
      <w:r>
        <w:rPr>
          <w:rFonts w:ascii="Times New Roman" w:eastAsia="Times New Roman"/>
        </w:rPr>
        <w:t xml:space="preserve">2025 </w:t>
      </w:r>
      <w:r>
        <w:t>年，受污染耕</w:t>
      </w:r>
      <w:r>
        <w:rPr>
          <w:spacing w:val="-7"/>
        </w:rPr>
        <w:t xml:space="preserve">地安全利用率达到 </w:t>
      </w:r>
      <w:r>
        <w:rPr>
          <w:rFonts w:ascii="Times New Roman" w:eastAsia="Times New Roman"/>
        </w:rPr>
        <w:t>92%</w:t>
      </w:r>
      <w:r>
        <w:rPr>
          <w:spacing w:val="-5"/>
        </w:rPr>
        <w:t xml:space="preserve">以上，污染地块安全利用率达到 </w:t>
      </w:r>
      <w:r>
        <w:rPr>
          <w:rFonts w:ascii="Times New Roman" w:eastAsia="Times New Roman"/>
        </w:rPr>
        <w:t>93%</w:t>
      </w:r>
      <w:r>
        <w:rPr>
          <w:spacing w:val="-6"/>
        </w:rPr>
        <w:t xml:space="preserve">以上； </w:t>
      </w:r>
      <w:r>
        <w:rPr>
          <w:spacing w:val="-31"/>
        </w:rPr>
        <w:t xml:space="preserve">到 </w:t>
      </w:r>
      <w:r>
        <w:rPr>
          <w:rFonts w:ascii="Times New Roman" w:eastAsia="Times New Roman"/>
        </w:rPr>
        <w:t xml:space="preserve">2035 </w:t>
      </w:r>
      <w:r>
        <w:rPr>
          <w:spacing w:val="-4"/>
        </w:rPr>
        <w:t xml:space="preserve">年，受污染耕地安全利用率达到 </w:t>
      </w:r>
      <w:r>
        <w:rPr>
          <w:rFonts w:ascii="Times New Roman" w:eastAsia="Times New Roman"/>
        </w:rPr>
        <w:t>97%</w:t>
      </w:r>
      <w:r>
        <w:t>，污染地块安全利用</w:t>
      </w:r>
      <w:r>
        <w:rPr>
          <w:spacing w:val="-16"/>
        </w:rPr>
        <w:t xml:space="preserve">率达到 </w:t>
      </w:r>
      <w:r>
        <w:rPr>
          <w:rFonts w:ascii="Times New Roman" w:eastAsia="Times New Roman"/>
        </w:rPr>
        <w:t>97%</w:t>
      </w:r>
      <w:r>
        <w:t>。</w:t>
      </w:r>
    </w:p>
    <w:p>
      <w:pPr>
        <w:pStyle w:val="BodyText"/>
        <w:spacing w:line="304" w:lineRule="exact"/>
        <w:ind w:left="3006"/>
      </w:pPr>
      <w:r>
        <w:t>②土壤环境风险管控分区</w:t>
      </w:r>
    </w:p>
    <w:p>
      <w:pPr>
        <w:pStyle w:val="BodyText"/>
        <w:spacing w:before="158" w:line="364" w:lineRule="auto"/>
        <w:ind w:left="2526" w:right="282" w:firstLine="480"/>
      </w:pPr>
      <w:r>
        <w:rPr>
          <w:spacing w:val="-2"/>
        </w:rPr>
        <w:t>宁津县农用地土壤环境风险管控区：保店镇优先保护单元、柴</w:t>
      </w:r>
      <w:r>
        <w:rPr>
          <w:spacing w:val="-13"/>
        </w:rPr>
        <w:t>胡店镇优先保护单元、大曹镇优先保护单元、大柳镇优先保护单元、</w:t>
      </w:r>
      <w:r>
        <w:rPr>
          <w:spacing w:val="-2"/>
        </w:rPr>
        <w:t>杜集镇优先保护单元、津城街道办事处优先保护单元、刘营伍乡优</w:t>
      </w:r>
      <w:r>
        <w:rPr>
          <w:spacing w:val="-13"/>
        </w:rPr>
        <w:t>先保护单元、宁城街道办事处优先保护单元、时集镇优先保护单元、</w:t>
      </w:r>
      <w:r>
        <w:rPr>
          <w:spacing w:val="-2"/>
        </w:rPr>
        <w:t>相衙镇优先保护单元、张大庄镇优先保护单元、长官镇优先保护单元。</w:t>
      </w:r>
    </w:p>
    <w:p>
      <w:pPr>
        <w:pStyle w:val="BodyText"/>
        <w:spacing w:line="364" w:lineRule="auto"/>
        <w:ind w:left="2526" w:right="282" w:firstLine="480"/>
      </w:pPr>
      <w:r>
        <w:t xml:space="preserve">建设用地土壤环境风险管控区：宁津县洁宁垃圾处理有限公  </w:t>
      </w:r>
      <w:r>
        <w:rPr>
          <w:spacing w:val="-14"/>
        </w:rPr>
        <w:t>司、德州永胜能源科技技术有限公司、宁津众洁环保科技有限公司。</w:t>
      </w:r>
    </w:p>
    <w:p>
      <w:pPr>
        <w:pStyle w:val="BodyText"/>
        <w:spacing w:line="306" w:lineRule="exact"/>
        <w:ind w:left="3006"/>
      </w:pPr>
      <w:r>
        <w:t>③建设用地土壤环境风险管控要求</w:t>
      </w:r>
    </w:p>
    <w:p>
      <w:pPr>
        <w:pStyle w:val="BodyText"/>
        <w:spacing w:before="157" w:line="362" w:lineRule="auto"/>
        <w:ind w:left="2526" w:right="402" w:firstLine="480"/>
      </w:pPr>
      <w:r>
        <w:t>本项目位于张大庄镇，未在上述管控区内，属于建设用地一般管控单元，具体要求如下。</w:t>
      </w:r>
    </w:p>
    <w:p>
      <w:pPr>
        <w:pStyle w:val="BodyText"/>
        <w:spacing w:before="5" w:line="362" w:lineRule="auto"/>
        <w:ind w:left="2526" w:right="282" w:firstLine="480"/>
      </w:pPr>
      <w:r>
        <w:rPr>
          <w:spacing w:val="-11"/>
        </w:rPr>
        <w:t xml:space="preserve">建设用地一般管控单元：建立一企一档，标注地块内的风险源， </w:t>
      </w:r>
      <w:r>
        <w:t>标明企业的特征污染物。</w:t>
      </w:r>
    </w:p>
    <w:p>
      <w:pPr>
        <w:pStyle w:val="Heading2"/>
        <w:numPr>
          <w:ilvl w:val="0"/>
          <w:numId w:val="1"/>
        </w:numPr>
        <w:tabs>
          <w:tab w:val="left" w:pos="3368"/>
        </w:tabs>
        <w:spacing w:before="5" w:after="0" w:line="240" w:lineRule="auto"/>
        <w:ind w:left="3367" w:right="0" w:hanging="362"/>
        <w:jc w:val="left"/>
      </w:pPr>
      <w:r>
        <w:t>资源利用上线及分区管控</w:t>
      </w:r>
    </w:p>
    <w:p>
      <w:pPr>
        <w:pStyle w:val="ListParagraph"/>
        <w:numPr>
          <w:ilvl w:val="0"/>
          <w:numId w:val="2"/>
        </w:numPr>
        <w:tabs>
          <w:tab w:val="left" w:pos="3608"/>
        </w:tabs>
        <w:spacing w:before="160" w:after="0" w:line="240" w:lineRule="auto"/>
        <w:ind w:left="3607" w:right="0" w:hanging="602"/>
        <w:jc w:val="left"/>
        <w:rPr>
          <w:sz w:val="24"/>
        </w:rPr>
      </w:pPr>
      <w:r>
        <w:rPr>
          <w:sz w:val="24"/>
        </w:rPr>
        <w:t>能源资源利用上线及重点管控区</w:t>
      </w:r>
    </w:p>
    <w:p>
      <w:pPr>
        <w:pStyle w:val="BodyText"/>
        <w:spacing w:before="158"/>
        <w:ind w:left="3006"/>
      </w:pPr>
      <w:r>
        <w:t xml:space="preserve">①能源资源利用上线：德州市到 </w:t>
      </w:r>
      <w:r>
        <w:rPr>
          <w:rFonts w:ascii="Times New Roman" w:eastAsia="Times New Roman" w:hAnsi="Times New Roman"/>
        </w:rPr>
        <w:t xml:space="preserve">2025 </w:t>
      </w:r>
      <w:r>
        <w:t>年煤炭预控制目标为</w:t>
      </w:r>
    </w:p>
    <w:p>
      <w:pPr>
        <w:pStyle w:val="BodyText"/>
        <w:spacing w:before="161"/>
        <w:ind w:left="2526"/>
        <w:jc w:val="both"/>
        <w:rPr>
          <w:rFonts w:ascii="Times New Roman" w:eastAsia="Times New Roman"/>
        </w:rPr>
      </w:pPr>
      <w:r>
        <w:rPr>
          <w:rFonts w:ascii="Times New Roman" w:eastAsia="Times New Roman"/>
        </w:rPr>
        <w:t xml:space="preserve">1723.78 </w:t>
      </w:r>
      <w:r>
        <w:t xml:space="preserve">万吨、到 </w:t>
      </w:r>
      <w:r>
        <w:rPr>
          <w:rFonts w:ascii="Times New Roman" w:eastAsia="Times New Roman"/>
        </w:rPr>
        <w:t xml:space="preserve">2035 </w:t>
      </w:r>
      <w:r>
        <w:t xml:space="preserve">年煤炭预控制目标为 </w:t>
      </w:r>
      <w:r>
        <w:rPr>
          <w:rFonts w:ascii="Times New Roman" w:eastAsia="Times New Roman"/>
        </w:rPr>
        <w:t xml:space="preserve">1408.45 </w:t>
      </w:r>
      <w:r>
        <w:t xml:space="preserve">万吨、到 </w:t>
      </w:r>
      <w:r>
        <w:rPr>
          <w:rFonts w:ascii="Times New Roman" w:eastAsia="Times New Roman"/>
        </w:rPr>
        <w:t>2025</w:t>
      </w:r>
    </w:p>
    <w:p>
      <w:pPr>
        <w:pStyle w:val="BodyText"/>
        <w:spacing w:before="158"/>
        <w:ind w:left="2526"/>
        <w:jc w:val="both"/>
      </w:pPr>
      <w:r>
        <w:t xml:space="preserve">年能耗预控制目标为 </w:t>
      </w:r>
      <w:r>
        <w:rPr>
          <w:rFonts w:ascii="Times New Roman" w:eastAsia="Times New Roman"/>
        </w:rPr>
        <w:t xml:space="preserve">0.5 </w:t>
      </w:r>
      <w:r>
        <w:t>吨标准煤</w:t>
      </w:r>
      <w:r>
        <w:rPr>
          <w:rFonts w:ascii="Times New Roman" w:eastAsia="Times New Roman"/>
        </w:rPr>
        <w:t>/</w:t>
      </w:r>
      <w:r>
        <w:t xml:space="preserve">万元、到 </w:t>
      </w:r>
      <w:r>
        <w:rPr>
          <w:rFonts w:ascii="Times New Roman" w:eastAsia="Times New Roman"/>
        </w:rPr>
        <w:t xml:space="preserve">2035 </w:t>
      </w:r>
      <w:r>
        <w:t>年能耗预控制目</w:t>
      </w:r>
    </w:p>
    <w:p>
      <w:pPr>
        <w:pStyle w:val="BodyText"/>
        <w:spacing w:before="158"/>
        <w:ind w:left="2526"/>
        <w:jc w:val="both"/>
      </w:pPr>
      <w:r>
        <w:t xml:space="preserve">标 </w:t>
      </w:r>
      <w:r>
        <w:rPr>
          <w:rFonts w:ascii="Times New Roman" w:eastAsia="Times New Roman"/>
        </w:rPr>
        <w:t xml:space="preserve">0.4 </w:t>
      </w:r>
      <w:r>
        <w:t>吨标准煤</w:t>
      </w:r>
      <w:r>
        <w:rPr>
          <w:rFonts w:ascii="Times New Roman" w:eastAsia="Times New Roman"/>
        </w:rPr>
        <w:t>/</w:t>
      </w:r>
      <w:r>
        <w:t>万元。</w:t>
      </w:r>
    </w:p>
    <w:p>
      <w:pPr>
        <w:pStyle w:val="BodyText"/>
        <w:spacing w:before="160" w:line="364" w:lineRule="auto"/>
        <w:ind w:left="2526" w:right="397" w:firstLine="480"/>
        <w:jc w:val="both"/>
      </w:pPr>
      <w:r>
        <w:t xml:space="preserve">②重点管控分区：考虑大气环境质量改善要求，在人口密集、污染排放强度高的区域优先划定高污染燃料禁燃区，作为重点管控区，其余作为一般管控区，其中宁津县禁燃区面积为 </w:t>
      </w:r>
      <w:r>
        <w:rPr>
          <w:rFonts w:ascii="Times New Roman" w:eastAsia="Times New Roman" w:hAnsi="Times New Roman"/>
        </w:rPr>
        <w:t>14.39km</w:t>
      </w:r>
      <w:r>
        <w:rPr>
          <w:rFonts w:ascii="Times New Roman" w:eastAsia="Times New Roman" w:hAnsi="Times New Roman"/>
          <w:position w:val="8"/>
          <w:sz w:val="15"/>
        </w:rPr>
        <w:t>2</w:t>
      </w:r>
      <w:r>
        <w:t>。</w:t>
      </w:r>
    </w:p>
    <w:p>
      <w:pPr>
        <w:spacing w:after="0" w:line="364" w:lineRule="auto"/>
        <w:jc w:val="both"/>
        <w:sectPr>
          <w:footerReference w:type="default" r:id="rId9"/>
          <w:pgSz w:w="11910" w:h="16840"/>
          <w:pgMar w:top="1380" w:right="980" w:bottom="1320" w:left="1040" w:header="0" w:footer="1050" w:gutter="0"/>
          <w:pgNumType w:start="5"/>
          <w:cols w:num="1" w:space="720"/>
        </w:sectPr>
      </w:pPr>
    </w:p>
    <w:p>
      <w:pPr>
        <w:pStyle w:val="BodyText"/>
        <w:spacing w:before="55" w:line="364" w:lineRule="auto"/>
        <w:ind w:left="2526" w:right="402" w:firstLine="480"/>
        <w:jc w:val="both"/>
      </w:pPr>
      <w:r>
        <w:pict>
          <v:shape id="_x0000_s1030" o:spid="_x0000_s1029" style="width:468.2pt;height:678.1pt;margin-top:91.8pt;margin-left:63.55pt;mso-height-relative:page;mso-position-horizontal-relative:page;mso-position-vertical-relative:page;mso-width-relative:page;position:absolute;z-index:-251654144" coordorigin="1271,1836" coordsize="9364,13562" path="m1271,1445l10635,1445m1271,15002l10635,15002m1276,1440l1276,14997m3459,1440l3459,14997m10630,1440l10630,14997e" filled="f" stroked="t" strokecolor="black">
            <v:path arrowok="t"/>
          </v:shape>
        </w:pict>
      </w:r>
      <w:r>
        <w:t>③管控要求：</w:t>
      </w:r>
      <w:r>
        <w:rPr>
          <w:rFonts w:ascii="Times New Roman" w:eastAsia="Times New Roman" w:hAnsi="Times New Roman"/>
        </w:rPr>
        <w:t>“</w:t>
      </w:r>
      <w:r>
        <w:t>禁燃区</w:t>
      </w:r>
      <w:r>
        <w:rPr>
          <w:rFonts w:ascii="Times New Roman" w:eastAsia="Times New Roman" w:hAnsi="Times New Roman"/>
        </w:rPr>
        <w:t>”</w:t>
      </w:r>
      <w:r>
        <w:t>范围内，禁止销售、燃用高污染燃料； 禁止新建、扩建、改建燃用高污染燃料的项目；现有高污染燃料燃用设施，除用于城市集中供热外，有关单位和个人应当在规定的期限内改用天然气、液化石油气、电或其他清洁能源。逐步取缔热电联产供热管网覆盖范围内的供热锅炉、工业蒸汽锅炉及各种洗浴锅炉，推进热电联产和集中供热。</w:t>
      </w:r>
    </w:p>
    <w:p>
      <w:pPr>
        <w:pStyle w:val="ListParagraph"/>
        <w:numPr>
          <w:ilvl w:val="0"/>
          <w:numId w:val="2"/>
        </w:numPr>
        <w:tabs>
          <w:tab w:val="left" w:pos="3608"/>
        </w:tabs>
        <w:spacing w:before="0" w:after="0" w:line="304" w:lineRule="exact"/>
        <w:ind w:left="3607" w:right="151" w:hanging="3608"/>
        <w:jc w:val="left"/>
        <w:rPr>
          <w:sz w:val="24"/>
        </w:rPr>
      </w:pPr>
      <w:r>
        <w:rPr>
          <w:sz w:val="24"/>
        </w:rPr>
        <w:t>水资源利用上线及重点管控区</w:t>
      </w:r>
    </w:p>
    <w:p>
      <w:pPr>
        <w:pStyle w:val="BodyText"/>
        <w:spacing w:before="158" w:line="364" w:lineRule="auto"/>
        <w:ind w:left="2526" w:right="402" w:firstLine="480"/>
        <w:jc w:val="both"/>
      </w:pPr>
      <w:r>
        <w:rPr>
          <w:spacing w:val="-3"/>
        </w:rPr>
        <w:t>①水资源利用上线：统筹全市地表水等各类水资源，优先保证生活用水，合理安排农业用水和工业用水，实行最严格的水资源管理制度，把水资源作为最大的刚性约束，加强水资源的开发利用管</w:t>
      </w:r>
      <w:r>
        <w:rPr>
          <w:spacing w:val="-4"/>
        </w:rPr>
        <w:t>理。控制水耗较大的工业项目建设，新鲜水消耗较大的工业项目须</w:t>
      </w:r>
      <w:r>
        <w:rPr>
          <w:spacing w:val="-22"/>
        </w:rPr>
        <w:t xml:space="preserve">进行水资源评价。积极开展再生水利用，提高再生水利用率。到 </w:t>
      </w:r>
      <w:r>
        <w:rPr>
          <w:rFonts w:ascii="Times New Roman" w:eastAsia="Times New Roman" w:hAnsi="Times New Roman"/>
          <w:spacing w:val="-4"/>
        </w:rPr>
        <w:t xml:space="preserve">2025 </w:t>
      </w:r>
      <w:r>
        <w:rPr>
          <w:spacing w:val="-15"/>
        </w:rPr>
        <w:t xml:space="preserve">年，万元 </w:t>
      </w:r>
      <w:r>
        <w:rPr>
          <w:rFonts w:ascii="Times New Roman" w:eastAsia="Times New Roman" w:hAnsi="Times New Roman"/>
        </w:rPr>
        <w:t xml:space="preserve">GDP </w:t>
      </w:r>
      <w:r>
        <w:rPr>
          <w:spacing w:val="-13"/>
        </w:rPr>
        <w:t xml:space="preserve">用水量比 </w:t>
      </w:r>
      <w:r>
        <w:rPr>
          <w:rFonts w:ascii="Times New Roman" w:eastAsia="Times New Roman" w:hAnsi="Times New Roman"/>
        </w:rPr>
        <w:t xml:space="preserve">2020 </w:t>
      </w:r>
      <w:r>
        <w:rPr>
          <w:spacing w:val="-15"/>
        </w:rPr>
        <w:t xml:space="preserve">年下降 </w:t>
      </w:r>
      <w:r>
        <w:rPr>
          <w:rFonts w:ascii="Times New Roman" w:eastAsia="Times New Roman" w:hAnsi="Times New Roman"/>
        </w:rPr>
        <w:t>10%</w:t>
      </w:r>
      <w:r>
        <w:rPr>
          <w:spacing w:val="-5"/>
        </w:rPr>
        <w:t>以上；农田灌溉水有效利</w:t>
      </w:r>
      <w:r>
        <w:rPr>
          <w:spacing w:val="-11"/>
        </w:rPr>
        <w:t xml:space="preserve">用系数达到 </w:t>
      </w:r>
      <w:r>
        <w:rPr>
          <w:rFonts w:ascii="Times New Roman" w:eastAsia="Times New Roman" w:hAnsi="Times New Roman"/>
        </w:rPr>
        <w:t xml:space="preserve">0.6381 </w:t>
      </w:r>
      <w:r>
        <w:rPr>
          <w:spacing w:val="-12"/>
        </w:rPr>
        <w:t xml:space="preserve">左右。到 </w:t>
      </w:r>
      <w:r>
        <w:rPr>
          <w:rFonts w:ascii="Times New Roman" w:eastAsia="Times New Roman" w:hAnsi="Times New Roman"/>
        </w:rPr>
        <w:t xml:space="preserve">2035 </w:t>
      </w:r>
      <w:r>
        <w:rPr>
          <w:spacing w:val="-13"/>
        </w:rPr>
        <w:t xml:space="preserve">年，万元 </w:t>
      </w:r>
      <w:r>
        <w:rPr>
          <w:rFonts w:ascii="Times New Roman" w:eastAsia="Times New Roman" w:hAnsi="Times New Roman"/>
        </w:rPr>
        <w:t xml:space="preserve">GDP </w:t>
      </w:r>
      <w:r>
        <w:rPr>
          <w:spacing w:val="-13"/>
        </w:rPr>
        <w:t xml:space="preserve">用水量比 </w:t>
      </w:r>
      <w:r>
        <w:rPr>
          <w:rFonts w:ascii="Times New Roman" w:eastAsia="Times New Roman" w:hAnsi="Times New Roman"/>
        </w:rPr>
        <w:t xml:space="preserve">2020 </w:t>
      </w:r>
      <w:r>
        <w:t>年</w:t>
      </w:r>
      <w:r>
        <w:rPr>
          <w:spacing w:val="-21"/>
        </w:rPr>
        <w:t xml:space="preserve">下降 </w:t>
      </w:r>
      <w:r>
        <w:rPr>
          <w:rFonts w:ascii="Times New Roman" w:eastAsia="Times New Roman" w:hAnsi="Times New Roman"/>
        </w:rPr>
        <w:t>21%</w:t>
      </w:r>
      <w:r>
        <w:rPr>
          <w:spacing w:val="-4"/>
        </w:rPr>
        <w:t xml:space="preserve">以上；农田灌溉水有效利用系数达到 </w:t>
      </w:r>
      <w:r>
        <w:rPr>
          <w:rFonts w:ascii="Times New Roman" w:eastAsia="Times New Roman" w:hAnsi="Times New Roman"/>
        </w:rPr>
        <w:t xml:space="preserve">0.6411 </w:t>
      </w:r>
      <w:r>
        <w:t>左右。</w:t>
      </w:r>
    </w:p>
    <w:p>
      <w:pPr>
        <w:pStyle w:val="BodyText"/>
        <w:spacing w:line="364" w:lineRule="auto"/>
        <w:ind w:left="2526" w:right="397" w:firstLine="480"/>
        <w:jc w:val="both"/>
      </w:pPr>
      <w:r>
        <w:t>②地下水资源管控分区：德州市全市属于深层承压水禁采区， 宁津部分地区同时属于浅层地下水限采区，包括：津城街道、宁城街道、长官镇、大柳镇、保店镇、柴胡店镇、时集镇、相衙镇、大曹镇、张大庄镇、刘营伍乡。</w:t>
      </w:r>
    </w:p>
    <w:p>
      <w:pPr>
        <w:pStyle w:val="BodyText"/>
        <w:spacing w:line="364" w:lineRule="auto"/>
        <w:ind w:left="2526" w:right="402" w:firstLine="480"/>
        <w:jc w:val="both"/>
      </w:pPr>
      <w:r>
        <w:t>③管控要求：德州全市属于地下水超采区，根据《山东省地下水超采区综合整治实施方案》的要求，除居民生活用水与应急供水外，严禁新增地下水取水量；确需取用地下水的，要在现有地下水开采总量控制指标内调剂解决，并逐步削减地下水开采量。取用地下水总量已达到或超过控制指标的地区，暂停审批其建设项目新增取用地下水。</w:t>
      </w:r>
    </w:p>
    <w:p>
      <w:pPr>
        <w:pStyle w:val="BodyText"/>
        <w:spacing w:line="364" w:lineRule="auto"/>
        <w:ind w:left="2526" w:right="402" w:firstLine="480"/>
        <w:jc w:val="both"/>
      </w:pPr>
      <w:r>
        <w:t>浅层地下水限采区：分期封填区内工业公共供水管网内浅层地下水。工业公共供水管网外，寻找替代水源，逐步关停；农业公共供水管网覆盖地区的自备井要分期全部封填，井灌区主要通过节水灌溉、地表水源替代等措施压减地下水开采量，农灌机井不要求封</w:t>
      </w:r>
    </w:p>
    <w:p>
      <w:pPr>
        <w:spacing w:after="0" w:line="364" w:lineRule="auto"/>
        <w:jc w:val="both"/>
        <w:sectPr>
          <w:footerReference w:type="default" r:id="rId10"/>
          <w:pgSz w:w="11910" w:h="16840"/>
          <w:pgMar w:top="1380" w:right="980" w:bottom="1320" w:left="1040" w:header="0" w:footer="1050" w:gutter="0"/>
          <w:pgNumType w:start="6"/>
          <w:cols w:num="1" w:space="720"/>
        </w:sectPr>
      </w:pPr>
    </w:p>
    <w:p>
      <w:pPr>
        <w:pStyle w:val="BodyText"/>
        <w:spacing w:before="55"/>
        <w:ind w:left="2526"/>
      </w:pPr>
      <w:r>
        <w:pict>
          <v:shape id="_x0000_s1031" o:spid="_x0000_s1030" style="width:468.2pt;height:678.1pt;margin-top:91.8pt;margin-left:63.55pt;mso-height-relative:page;mso-position-horizontal-relative:page;mso-position-vertical-relative:page;mso-width-relative:page;position:absolute;z-index:-251653120" coordorigin="1271,1836" coordsize="9364,13562" path="m1271,1445l10635,1445m1271,15002l10635,15002m1276,1440l1276,14997m3459,1440l3459,14997m10630,1440l10630,14997e" filled="f" stroked="t" strokecolor="black">
            <v:path arrowok="t"/>
          </v:shape>
        </w:pict>
      </w:r>
      <w:r>
        <w:t>填，作为干旱年份的备用水源以确保粮食安全。</w:t>
      </w:r>
    </w:p>
    <w:p>
      <w:pPr>
        <w:pStyle w:val="BodyText"/>
        <w:spacing w:before="158" w:line="364" w:lineRule="auto"/>
        <w:ind w:left="2526" w:right="402" w:firstLine="480"/>
      </w:pPr>
      <w:r>
        <w:t>深层地下水禁采区：深层承压地下水原则上只能作为应急和战略储备水源要求，现状深层承压水开采井要结合替代水源建设逐步封停。逐步关停非生活用水和部分有水源替代条件的深层承压水开采井，</w:t>
      </w:r>
      <w:r>
        <w:rPr>
          <w:rFonts w:ascii="Times New Roman" w:eastAsia="Times New Roman" w:hAnsi="Times New Roman"/>
        </w:rPr>
        <w:t xml:space="preserve">2025 </w:t>
      </w:r>
      <w:r>
        <w:t>年前全部关停深层承压水开采井。试行</w:t>
      </w:r>
      <w:r>
        <w:rPr>
          <w:rFonts w:ascii="Times New Roman" w:eastAsia="Times New Roman" w:hAnsi="Times New Roman"/>
        </w:rPr>
        <w:t>“</w:t>
      </w:r>
      <w:r>
        <w:t>退地减水</w:t>
      </w:r>
      <w:r>
        <w:rPr>
          <w:rFonts w:ascii="Times New Roman" w:eastAsia="Times New Roman" w:hAnsi="Times New Roman"/>
        </w:rPr>
        <w:t xml:space="preserve">” </w:t>
      </w:r>
      <w:r>
        <w:t>措施，适当减少用水量较大的农作物种植面积，改种耐旱作物和生态树种。工业生产、城市绿化、生态景观等要优先使用再生水。对具备使用再生水条件但未充分利用的钢铁、火电、化工、造纸、印染等项目，不得批准其新增取用地下水。</w:t>
      </w:r>
    </w:p>
    <w:p>
      <w:pPr>
        <w:pStyle w:val="BodyText"/>
        <w:spacing w:line="364" w:lineRule="auto"/>
        <w:ind w:left="2526" w:right="401" w:firstLine="480"/>
        <w:jc w:val="both"/>
      </w:pPr>
      <w:r>
        <w:rPr>
          <w:spacing w:val="-3"/>
        </w:rPr>
        <w:t>结合上述要求，本项目所用资源为水、电，不使用产生废气的</w:t>
      </w:r>
      <w:r>
        <w:rPr>
          <w:spacing w:val="-11"/>
        </w:rPr>
        <w:t xml:space="preserve">燃料，新鲜水由市政给水管网，年用水量约为 </w:t>
      </w:r>
      <w:r>
        <w:rPr>
          <w:rFonts w:ascii="Times New Roman" w:eastAsia="Times New Roman" w:hAnsi="Times New Roman"/>
          <w:spacing w:val="-7"/>
        </w:rPr>
        <w:t>45m</w:t>
      </w:r>
      <w:r>
        <w:rPr>
          <w:rFonts w:ascii="Times New Roman" w:eastAsia="Times New Roman" w:hAnsi="Times New Roman"/>
          <w:spacing w:val="-7"/>
          <w:position w:val="8"/>
          <w:sz w:val="15"/>
        </w:rPr>
        <w:t>3</w:t>
      </w:r>
      <w:r>
        <w:rPr>
          <w:spacing w:val="-5"/>
        </w:rPr>
        <w:t>；供电由市政电</w:t>
      </w:r>
      <w:r>
        <w:rPr>
          <w:spacing w:val="-8"/>
        </w:rPr>
        <w:t xml:space="preserve">网供应，年用电量约为 </w:t>
      </w:r>
      <w:r>
        <w:rPr>
          <w:rFonts w:ascii="Times New Roman" w:eastAsia="Times New Roman" w:hAnsi="Times New Roman"/>
        </w:rPr>
        <w:t xml:space="preserve">15 </w:t>
      </w:r>
      <w:r>
        <w:rPr>
          <w:spacing w:val="-30"/>
        </w:rPr>
        <w:t xml:space="preserve">万 </w:t>
      </w:r>
      <w:r>
        <w:rPr>
          <w:rFonts w:ascii="Times New Roman" w:eastAsia="Times New Roman" w:hAnsi="Times New Roman"/>
        </w:rPr>
        <w:t>kW·h</w:t>
      </w:r>
      <w:r>
        <w:rPr>
          <w:spacing w:val="-4"/>
        </w:rPr>
        <w:t>。项目资源利用量相对于区域资</w:t>
      </w:r>
      <w:r>
        <w:t>源利用总量较少，符合资源利用上线及管控要求。</w:t>
      </w:r>
    </w:p>
    <w:p>
      <w:pPr>
        <w:pStyle w:val="Heading2"/>
        <w:numPr>
          <w:ilvl w:val="0"/>
          <w:numId w:val="1"/>
        </w:numPr>
        <w:tabs>
          <w:tab w:val="left" w:pos="3368"/>
        </w:tabs>
        <w:spacing w:before="0" w:after="0" w:line="305" w:lineRule="exact"/>
        <w:ind w:left="3367" w:right="0" w:hanging="362"/>
        <w:jc w:val="left"/>
      </w:pPr>
      <w:r>
        <w:t>生态环境准入要求</w:t>
      </w:r>
    </w:p>
    <w:p>
      <w:pPr>
        <w:pStyle w:val="BodyText"/>
        <w:spacing w:before="155" w:line="364" w:lineRule="auto"/>
        <w:ind w:left="2526" w:right="282" w:firstLine="480"/>
      </w:pPr>
      <w:r>
        <w:rPr>
          <w:spacing w:val="-9"/>
        </w:rPr>
        <w:t>本项目所在宁津县张大庄镇，属于一般管控区，具体要求如下。</w:t>
      </w:r>
      <w:r>
        <w:t>重点管控区管控要求：涵盖优先保护区和重点管控区以外的区域。</w:t>
      </w:r>
      <w:r>
        <w:rPr>
          <w:spacing w:val="-1"/>
        </w:rPr>
        <w:t>该区域以经济社会高质量发展为导向，生态环境保护与开发建设相</w:t>
      </w:r>
      <w:r>
        <w:rPr>
          <w:spacing w:val="-3"/>
        </w:rPr>
        <w:t>结合，引导产业科学合理布局，落实污染物总量控制要求，加强生态公益林保护与建设，合理控制开发强度。一般管控单元内的生态保护红线和一般生态空间严格按照相关要求进行管理。</w:t>
      </w:r>
    </w:p>
    <w:p>
      <w:pPr>
        <w:pStyle w:val="BodyText"/>
        <w:spacing w:line="304" w:lineRule="exact"/>
        <w:ind w:left="3006"/>
      </w:pPr>
      <w:r>
        <w:t>综上所述，拟建项目符合“三线一单”管控要求。</w:t>
      </w:r>
    </w:p>
    <w:p>
      <w:pPr>
        <w:pStyle w:val="Heading2"/>
        <w:spacing w:before="161"/>
        <w:ind w:left="3006"/>
      </w:pPr>
      <w:r>
        <w:rPr>
          <w:rFonts w:ascii="Times New Roman" w:eastAsia="Times New Roman"/>
        </w:rPr>
        <w:t>2</w:t>
      </w:r>
      <w:r>
        <w:t>、产业政策符合性分析</w:t>
      </w:r>
    </w:p>
    <w:p>
      <w:pPr>
        <w:pStyle w:val="BodyText"/>
        <w:spacing w:before="158" w:line="364" w:lineRule="auto"/>
        <w:ind w:left="2526" w:right="401" w:firstLine="480"/>
        <w:jc w:val="both"/>
      </w:pPr>
      <w:r>
        <w:rPr>
          <w:spacing w:val="-4"/>
        </w:rPr>
        <w:t>本项目不属于《产业结构调整指导目录</w:t>
      </w:r>
      <w:r>
        <w:t>（</w:t>
      </w:r>
      <w:r>
        <w:rPr>
          <w:rFonts w:ascii="Times New Roman" w:eastAsia="Times New Roman"/>
        </w:rPr>
        <w:t xml:space="preserve">2019 </w:t>
      </w:r>
      <w:r>
        <w:t>年本</w:t>
      </w:r>
      <w:r>
        <w:rPr>
          <w:spacing w:val="-17"/>
        </w:rPr>
        <w:t>）</w:t>
      </w:r>
      <w:r>
        <w:rPr>
          <w:spacing w:val="-9"/>
        </w:rPr>
        <w:t>》中的鼓</w:t>
      </w:r>
      <w:r>
        <w:rPr>
          <w:spacing w:val="-3"/>
        </w:rPr>
        <w:t>励类、限制类和淘汰类之列，项目涉及的生产工艺、生产设备不属</w:t>
      </w:r>
      <w:r>
        <w:rPr>
          <w:spacing w:val="-4"/>
        </w:rPr>
        <w:t>于《产业结构调整指导目录</w:t>
      </w:r>
      <w:r>
        <w:t>（</w:t>
      </w:r>
      <w:r>
        <w:rPr>
          <w:rFonts w:ascii="Times New Roman" w:eastAsia="Times New Roman"/>
        </w:rPr>
        <w:t xml:space="preserve">2019 </w:t>
      </w:r>
      <w:r>
        <w:t>年本</w:t>
      </w:r>
      <w:r>
        <w:rPr>
          <w:spacing w:val="-12"/>
        </w:rPr>
        <w:t>）</w:t>
      </w:r>
      <w:r>
        <w:rPr>
          <w:spacing w:val="-6"/>
        </w:rPr>
        <w:t>》中的限制类、淘汰类工</w:t>
      </w:r>
      <w:r>
        <w:rPr>
          <w:spacing w:val="-4"/>
        </w:rPr>
        <w:t>艺、设备，为允许建设项目。项目已经取得宁津县行政审批服务局</w:t>
      </w:r>
      <w:r>
        <w:rPr>
          <w:spacing w:val="-1"/>
        </w:rPr>
        <w:t xml:space="preserve">出具的建设项目备案证明，项目代码 </w:t>
      </w:r>
      <w:r>
        <w:rPr>
          <w:rFonts w:ascii="Times New Roman" w:eastAsia="Times New Roman"/>
        </w:rPr>
        <w:t>2206-371422-04-01-997511</w:t>
      </w:r>
      <w:r>
        <w:t>， 因此，项目建设符合国家产业政策。</w:t>
      </w:r>
    </w:p>
    <w:p>
      <w:pPr>
        <w:pStyle w:val="Heading2"/>
        <w:spacing w:line="304" w:lineRule="exact"/>
        <w:ind w:left="2946"/>
      </w:pPr>
      <w:r>
        <w:rPr>
          <w:rFonts w:ascii="Times New Roman" w:eastAsia="Times New Roman"/>
        </w:rPr>
        <w:t>3</w:t>
      </w:r>
      <w:r>
        <w:t>、与《山东省环境保护条例》的符合性分析</w:t>
      </w:r>
    </w:p>
    <w:p>
      <w:pPr>
        <w:spacing w:after="0" w:line="304" w:lineRule="exact"/>
        <w:sectPr>
          <w:footerReference w:type="default" r:id="rId11"/>
          <w:pgSz w:w="11910" w:h="16840"/>
          <w:pgMar w:top="1380" w:right="980" w:bottom="1320" w:left="1040" w:header="0" w:footer="1050" w:gutter="0"/>
          <w:pgNumType w:start="7"/>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95"/>
        <w:gridCol w:w="4014"/>
        <w:gridCol w:w="2006"/>
        <w:gridCol w:w="960"/>
        <w:gridCol w:w="96"/>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400"/>
        </w:trPr>
        <w:tc>
          <w:tcPr>
            <w:tcW w:w="2183" w:type="dxa"/>
            <w:vMerge w:val="restart"/>
          </w:tcPr>
          <w:p>
            <w:pPr>
              <w:pStyle w:val="TableParagraph"/>
              <w:rPr>
                <w:rFonts w:ascii="Times New Roman"/>
                <w:sz w:val="20"/>
              </w:rPr>
            </w:pPr>
          </w:p>
        </w:tc>
        <w:tc>
          <w:tcPr>
            <w:tcW w:w="7171" w:type="dxa"/>
            <w:gridSpan w:val="5"/>
          </w:tcPr>
          <w:p>
            <w:pPr>
              <w:pStyle w:val="TableParagraph"/>
              <w:spacing w:before="3" w:line="362" w:lineRule="auto"/>
              <w:ind w:left="107" w:right="94" w:firstLine="480"/>
              <w:rPr>
                <w:sz w:val="24"/>
              </w:rPr>
            </w:pPr>
            <w:r>
              <w:rPr>
                <w:sz w:val="24"/>
              </w:rPr>
              <w:t>本项目与《山东省环境保护管理条例》</w:t>
            </w:r>
            <w:r>
              <w:rPr>
                <w:rFonts w:ascii="Times New Roman" w:eastAsia="Times New Roman"/>
                <w:sz w:val="24"/>
              </w:rPr>
              <w:t xml:space="preserve">(2018 </w:t>
            </w:r>
            <w:r>
              <w:rPr>
                <w:sz w:val="24"/>
              </w:rPr>
              <w:t>年修订</w:t>
            </w:r>
            <w:r>
              <w:rPr>
                <w:rFonts w:ascii="Times New Roman" w:eastAsia="Times New Roman"/>
                <w:sz w:val="24"/>
              </w:rPr>
              <w:t>)</w:t>
            </w:r>
            <w:r>
              <w:rPr>
                <w:sz w:val="24"/>
              </w:rPr>
              <w:t xml:space="preserve">的符合性分析，见表 </w:t>
            </w:r>
            <w:r>
              <w:rPr>
                <w:rFonts w:ascii="Times New Roman" w:eastAsia="Times New Roman"/>
                <w:sz w:val="24"/>
              </w:rPr>
              <w:t>1-1</w:t>
            </w:r>
            <w:r>
              <w:rPr>
                <w:sz w:val="24"/>
              </w:rPr>
              <w:t>。</w:t>
            </w:r>
          </w:p>
          <w:p>
            <w:pPr>
              <w:pStyle w:val="TableParagraph"/>
              <w:spacing w:before="2"/>
              <w:ind w:left="606"/>
              <w:rPr>
                <w:b/>
                <w:sz w:val="24"/>
              </w:rPr>
            </w:pPr>
            <w:r>
              <w:rPr>
                <w:b/>
                <w:sz w:val="24"/>
              </w:rPr>
              <w:t xml:space="preserve">表 </w:t>
            </w:r>
            <w:r>
              <w:rPr>
                <w:rFonts w:ascii="Times New Roman" w:eastAsia="Times New Roman"/>
                <w:b/>
                <w:sz w:val="24"/>
              </w:rPr>
              <w:t xml:space="preserve">1-1 </w:t>
            </w:r>
            <w:r>
              <w:rPr>
                <w:b/>
                <w:sz w:val="24"/>
              </w:rPr>
              <w:t>本项目与《山东省环境保护管理条例》符合性分析</w:t>
            </w:r>
          </w:p>
        </w:tc>
      </w:tr>
      <w:tr>
        <w:tblPrEx>
          <w:tblW w:w="0" w:type="auto"/>
          <w:tblInd w:w="241" w:type="dxa"/>
          <w:tblLayout w:type="fixed"/>
          <w:tblCellMar>
            <w:top w:w="0" w:type="dxa"/>
            <w:left w:w="0" w:type="dxa"/>
            <w:bottom w:w="0" w:type="dxa"/>
            <w:right w:w="0" w:type="dxa"/>
          </w:tblCellMar>
        </w:tblPrEx>
        <w:trPr>
          <w:trHeight w:val="397"/>
        </w:trPr>
        <w:tc>
          <w:tcPr>
            <w:tcW w:w="2183" w:type="dxa"/>
            <w:vMerge/>
            <w:tcBorders>
              <w:top w:val="nil"/>
            </w:tcBorders>
          </w:tcPr>
          <w:p>
            <w:pPr>
              <w:rPr>
                <w:sz w:val="2"/>
                <w:szCs w:val="2"/>
              </w:rPr>
            </w:pPr>
          </w:p>
        </w:tc>
        <w:tc>
          <w:tcPr>
            <w:tcW w:w="95" w:type="dxa"/>
            <w:vMerge w:val="restart"/>
            <w:tcBorders>
              <w:top w:val="nil"/>
            </w:tcBorders>
          </w:tcPr>
          <w:p>
            <w:pPr>
              <w:pStyle w:val="TableParagraph"/>
              <w:rPr>
                <w:rFonts w:ascii="Times New Roman"/>
                <w:sz w:val="20"/>
              </w:rPr>
            </w:pPr>
          </w:p>
        </w:tc>
        <w:tc>
          <w:tcPr>
            <w:tcW w:w="4014" w:type="dxa"/>
          </w:tcPr>
          <w:p>
            <w:pPr>
              <w:pStyle w:val="TableParagraph"/>
              <w:spacing w:before="62"/>
              <w:ind w:left="640"/>
              <w:rPr>
                <w:b/>
                <w:sz w:val="21"/>
              </w:rPr>
            </w:pPr>
            <w:r>
              <w:rPr>
                <w:b/>
                <w:sz w:val="21"/>
              </w:rPr>
              <w:t>《山东省环境保护条例》内容</w:t>
            </w:r>
          </w:p>
        </w:tc>
        <w:tc>
          <w:tcPr>
            <w:tcW w:w="2006" w:type="dxa"/>
          </w:tcPr>
          <w:p>
            <w:pPr>
              <w:pStyle w:val="TableParagraph"/>
              <w:spacing w:before="62"/>
              <w:ind w:left="476"/>
              <w:rPr>
                <w:b/>
                <w:sz w:val="21"/>
              </w:rPr>
            </w:pPr>
            <w:r>
              <w:rPr>
                <w:b/>
                <w:sz w:val="21"/>
              </w:rPr>
              <w:t>本项目情况</w:t>
            </w:r>
          </w:p>
        </w:tc>
        <w:tc>
          <w:tcPr>
            <w:tcW w:w="960" w:type="dxa"/>
          </w:tcPr>
          <w:p>
            <w:pPr>
              <w:pStyle w:val="TableParagraph"/>
              <w:spacing w:before="62"/>
              <w:ind w:left="144" w:right="133"/>
              <w:jc w:val="center"/>
              <w:rPr>
                <w:b/>
                <w:sz w:val="21"/>
              </w:rPr>
            </w:pPr>
            <w:r>
              <w:rPr>
                <w:b/>
                <w:sz w:val="21"/>
              </w:rPr>
              <w:t>符合性</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560"/>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0" w:line="278" w:lineRule="auto"/>
              <w:ind w:left="108" w:right="-15" w:firstLine="420"/>
              <w:rPr>
                <w:sz w:val="21"/>
              </w:rPr>
            </w:pPr>
            <w:r>
              <w:rPr>
                <w:sz w:val="21"/>
              </w:rPr>
              <w:t>第十五条 禁止建设不符合国家和省</w:t>
            </w:r>
            <w:r>
              <w:rPr>
                <w:w w:val="95"/>
                <w:sz w:val="21"/>
              </w:rPr>
              <w:t>产</w:t>
            </w:r>
            <w:r>
              <w:rPr>
                <w:spacing w:val="-9"/>
                <w:w w:val="95"/>
                <w:sz w:val="21"/>
              </w:rPr>
              <w:t>业政策的小型造纸、制革、印染、染料、</w:t>
            </w:r>
            <w:r>
              <w:rPr>
                <w:sz w:val="21"/>
              </w:rPr>
              <w:t>炼焦、炼硫、炼芭、炼汞、炼油、电镀、农药、石棉、水泥、玻璃、钢铁、火电以</w:t>
            </w:r>
          </w:p>
          <w:p>
            <w:pPr>
              <w:pStyle w:val="TableParagraph"/>
              <w:spacing w:line="269" w:lineRule="exact"/>
              <w:ind w:left="108"/>
              <w:rPr>
                <w:sz w:val="21"/>
              </w:rPr>
            </w:pPr>
            <w:r>
              <w:rPr>
                <w:sz w:val="21"/>
              </w:rPr>
              <w:t>及其他严重污染环境的生产项目</w:t>
            </w:r>
          </w:p>
        </w:tc>
        <w:tc>
          <w:tcPr>
            <w:tcW w:w="2006" w:type="dxa"/>
          </w:tcPr>
          <w:p>
            <w:pPr>
              <w:pStyle w:val="TableParagraph"/>
              <w:rPr>
                <w:b/>
                <w:sz w:val="20"/>
              </w:rPr>
            </w:pPr>
          </w:p>
          <w:p>
            <w:pPr>
              <w:pStyle w:val="TableParagraph"/>
              <w:spacing w:before="1"/>
              <w:rPr>
                <w:b/>
                <w:sz w:val="18"/>
              </w:rPr>
            </w:pPr>
          </w:p>
          <w:p>
            <w:pPr>
              <w:pStyle w:val="TableParagraph"/>
              <w:spacing w:line="278" w:lineRule="auto"/>
              <w:ind w:left="373" w:right="154" w:hanging="212"/>
              <w:rPr>
                <w:sz w:val="21"/>
              </w:rPr>
            </w:pPr>
            <w:r>
              <w:rPr>
                <w:sz w:val="21"/>
              </w:rPr>
              <w:t>本项目不属于该类禁止建设项目</w:t>
            </w:r>
          </w:p>
        </w:tc>
        <w:tc>
          <w:tcPr>
            <w:tcW w:w="960" w:type="dxa"/>
          </w:tcPr>
          <w:p>
            <w:pPr>
              <w:pStyle w:val="TableParagraph"/>
              <w:rPr>
                <w:b/>
                <w:sz w:val="20"/>
              </w:rPr>
            </w:pPr>
          </w:p>
          <w:p>
            <w:pPr>
              <w:pStyle w:val="TableParagraph"/>
              <w:rPr>
                <w:b/>
                <w:sz w:val="20"/>
              </w:rPr>
            </w:pPr>
          </w:p>
          <w:p>
            <w:pPr>
              <w:pStyle w:val="TableParagraph"/>
              <w:spacing w:before="131"/>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872"/>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19" w:line="278" w:lineRule="auto"/>
              <w:ind w:left="108" w:right="-15" w:firstLine="420"/>
              <w:rPr>
                <w:sz w:val="21"/>
              </w:rPr>
            </w:pPr>
            <w:r>
              <w:rPr>
                <w:sz w:val="21"/>
              </w:rPr>
              <w:t>第四十三条 各级人民政府应当推进</w:t>
            </w:r>
            <w:r>
              <w:rPr>
                <w:spacing w:val="-10"/>
                <w:sz w:val="21"/>
              </w:rPr>
              <w:t>绿色低碳发展，制定循环经济、清洁生产、</w:t>
            </w:r>
            <w:r>
              <w:rPr>
                <w:spacing w:val="-13"/>
                <w:sz w:val="21"/>
              </w:rPr>
              <w:t>环境综合治理、废弃物资源化等政策措施， 加强重点区域、重点流域、重点行业污染控制，鼓励、支持无污染或者低污染产业</w:t>
            </w:r>
          </w:p>
          <w:p>
            <w:pPr>
              <w:pStyle w:val="TableParagraph"/>
              <w:spacing w:line="269" w:lineRule="exact"/>
              <w:ind w:left="108"/>
              <w:rPr>
                <w:sz w:val="21"/>
              </w:rPr>
            </w:pPr>
            <w:r>
              <w:rPr>
                <w:w w:val="95"/>
                <w:sz w:val="21"/>
              </w:rPr>
              <w:t>发展，提高资源利用效率，减少污染排放</w:t>
            </w:r>
          </w:p>
        </w:tc>
        <w:tc>
          <w:tcPr>
            <w:tcW w:w="2006" w:type="dxa"/>
          </w:tcPr>
          <w:p>
            <w:pPr>
              <w:pStyle w:val="TableParagraph"/>
              <w:rPr>
                <w:b/>
                <w:sz w:val="20"/>
              </w:rPr>
            </w:pPr>
          </w:p>
          <w:p>
            <w:pPr>
              <w:pStyle w:val="TableParagraph"/>
              <w:rPr>
                <w:b/>
                <w:sz w:val="18"/>
              </w:rPr>
            </w:pPr>
          </w:p>
          <w:p>
            <w:pPr>
              <w:pStyle w:val="TableParagraph"/>
              <w:spacing w:line="278" w:lineRule="auto"/>
              <w:ind w:left="106" w:right="96" w:hanging="3"/>
              <w:jc w:val="center"/>
              <w:rPr>
                <w:sz w:val="21"/>
              </w:rPr>
            </w:pPr>
            <w:r>
              <w:rPr>
                <w:sz w:val="21"/>
              </w:rPr>
              <w:t>本项目采取合理有</w:t>
            </w:r>
            <w:r>
              <w:rPr>
                <w:spacing w:val="-13"/>
                <w:sz w:val="21"/>
              </w:rPr>
              <w:t>效的环保措施后，对</w:t>
            </w:r>
            <w:r>
              <w:rPr>
                <w:sz w:val="21"/>
              </w:rPr>
              <w:t>环境影响较小</w:t>
            </w:r>
          </w:p>
        </w:tc>
        <w:tc>
          <w:tcPr>
            <w:tcW w:w="960" w:type="dxa"/>
          </w:tcPr>
          <w:p>
            <w:pPr>
              <w:pStyle w:val="TableParagraph"/>
              <w:rPr>
                <w:b/>
                <w:sz w:val="20"/>
              </w:rPr>
            </w:pPr>
          </w:p>
          <w:p>
            <w:pPr>
              <w:pStyle w:val="TableParagraph"/>
              <w:rPr>
                <w:b/>
                <w:sz w:val="20"/>
              </w:rPr>
            </w:pPr>
          </w:p>
          <w:p>
            <w:pPr>
              <w:pStyle w:val="TableParagraph"/>
              <w:spacing w:before="5"/>
              <w:rPr>
                <w:b/>
                <w:sz w:val="22"/>
              </w:rPr>
            </w:pPr>
          </w:p>
          <w:p>
            <w:pPr>
              <w:pStyle w:val="TableParagraph"/>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4055"/>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19" w:line="278" w:lineRule="auto"/>
              <w:ind w:left="108" w:right="99" w:firstLine="420"/>
              <w:rPr>
                <w:sz w:val="21"/>
              </w:rPr>
            </w:pPr>
            <w:r>
              <w:rPr>
                <w:spacing w:val="4"/>
                <w:sz w:val="21"/>
              </w:rPr>
              <w:t>第四十四条 各级人民政府及其有关</w:t>
            </w:r>
            <w:r>
              <w:rPr>
                <w:sz w:val="21"/>
              </w:rPr>
              <w:t>部门、园区管理机构应当做好环境基础设施规划，配套建设污水处理设施及配套 管网、固体废物的收集处置设施、危险 废物集中处置设施以及其他环境基础</w:t>
            </w:r>
          </w:p>
          <w:p>
            <w:pPr>
              <w:pStyle w:val="TableParagraph"/>
              <w:spacing w:line="278" w:lineRule="auto"/>
              <w:ind w:left="108" w:right="324"/>
              <w:rPr>
                <w:sz w:val="21"/>
              </w:rPr>
            </w:pPr>
            <w:r>
              <w:rPr>
                <w:w w:val="95"/>
                <w:sz w:val="21"/>
              </w:rPr>
              <w:t>设施，建立环境基础设施的运行、维护</w:t>
            </w:r>
            <w:r>
              <w:rPr>
                <w:sz w:val="21"/>
              </w:rPr>
              <w:t>制度，并保障其正常运行。</w:t>
            </w:r>
          </w:p>
          <w:p>
            <w:pPr>
              <w:pStyle w:val="TableParagraph"/>
              <w:spacing w:line="278" w:lineRule="auto"/>
              <w:ind w:left="108" w:right="324" w:firstLine="208"/>
              <w:jc w:val="both"/>
              <w:rPr>
                <w:sz w:val="21"/>
              </w:rPr>
            </w:pPr>
            <w:r>
              <w:rPr>
                <w:w w:val="95"/>
                <w:sz w:val="21"/>
              </w:rPr>
              <w:t>县级以上人民政府应当根据产业结构调整和产业布局优化的要求，引导工业企业入驻工业园区：新建有污染物排放的工业项目，除在安全生产等方面有特殊要求的以外，应当进入工业园区或者</w:t>
            </w:r>
          </w:p>
          <w:p>
            <w:pPr>
              <w:pStyle w:val="TableParagraph"/>
              <w:spacing w:line="269" w:lineRule="exact"/>
              <w:ind w:left="108"/>
              <w:rPr>
                <w:sz w:val="21"/>
              </w:rPr>
            </w:pPr>
            <w:r>
              <w:rPr>
                <w:sz w:val="21"/>
              </w:rPr>
              <w:t>工业集聚区</w:t>
            </w:r>
          </w:p>
        </w:tc>
        <w:tc>
          <w:tcPr>
            <w:tcW w:w="2006"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42" w:line="278" w:lineRule="auto"/>
              <w:ind w:left="106"/>
              <w:jc w:val="center"/>
              <w:rPr>
                <w:sz w:val="21"/>
              </w:rPr>
            </w:pPr>
            <w:r>
              <w:rPr>
                <w:spacing w:val="-2"/>
                <w:sz w:val="21"/>
              </w:rPr>
              <w:t xml:space="preserve">本项目为新建项目， </w:t>
            </w:r>
            <w:r>
              <w:rPr>
                <w:sz w:val="21"/>
              </w:rPr>
              <w:t xml:space="preserve">位于德州市宁津县 </w:t>
            </w:r>
            <w:r>
              <w:rPr>
                <w:spacing w:val="-12"/>
                <w:sz w:val="21"/>
              </w:rPr>
              <w:t>张大庄镇王庄村，位于工业集聚区内</w:t>
            </w:r>
          </w:p>
        </w:tc>
        <w:tc>
          <w:tcPr>
            <w:tcW w:w="960"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7"/>
              <w:rPr>
                <w:b/>
                <w:sz w:val="27"/>
              </w:rPr>
            </w:pPr>
          </w:p>
          <w:p>
            <w:pPr>
              <w:pStyle w:val="TableParagraph"/>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120"/>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Pr>
          <w:p>
            <w:pPr>
              <w:pStyle w:val="TableParagraph"/>
              <w:spacing w:before="21" w:line="278" w:lineRule="auto"/>
              <w:ind w:left="108" w:right="10" w:firstLine="420"/>
              <w:rPr>
                <w:sz w:val="21"/>
              </w:rPr>
            </w:pPr>
            <w:r>
              <w:rPr>
                <w:sz w:val="21"/>
              </w:rPr>
              <w:t>第四十五条 排污单位应当采取措施， 防治在生产建设或者其他活动中产生的废气、废水、废渣、医疗废物、粉尘、恶臭气体、放射性物质以及噪声、振动、光辐射、电磁辐射等对环境的污染和危害，其污染排放不得超过排放标准和重点污染物排放总量控制指标。</w:t>
            </w:r>
          </w:p>
          <w:p>
            <w:pPr>
              <w:pStyle w:val="TableParagraph"/>
              <w:spacing w:line="278" w:lineRule="auto"/>
              <w:ind w:left="108" w:right="-15" w:firstLine="420"/>
              <w:rPr>
                <w:sz w:val="21"/>
              </w:rPr>
            </w:pPr>
            <w:r>
              <w:rPr>
                <w:sz w:val="21"/>
              </w:rPr>
              <w:t>实行排污许可管理的排污单位，应当</w:t>
            </w:r>
            <w:r>
              <w:rPr>
                <w:spacing w:val="-6"/>
                <w:sz w:val="21"/>
              </w:rPr>
              <w:t>按照排污许可证规定的污染物种类、浓度、</w:t>
            </w:r>
          </w:p>
          <w:p>
            <w:pPr>
              <w:pStyle w:val="TableParagraph"/>
              <w:spacing w:line="269" w:lineRule="exact"/>
              <w:ind w:left="108"/>
              <w:rPr>
                <w:sz w:val="21"/>
              </w:rPr>
            </w:pPr>
            <w:r>
              <w:rPr>
                <w:sz w:val="21"/>
              </w:rPr>
              <w:t>排放去向和许可排放量等要求排放污染物</w:t>
            </w:r>
          </w:p>
        </w:tc>
        <w:tc>
          <w:tcPr>
            <w:tcW w:w="2006" w:type="dxa"/>
          </w:tcPr>
          <w:p>
            <w:pPr>
              <w:pStyle w:val="TableParagraph"/>
              <w:rPr>
                <w:b/>
                <w:sz w:val="26"/>
              </w:rPr>
            </w:pPr>
          </w:p>
          <w:p>
            <w:pPr>
              <w:pStyle w:val="TableParagraph"/>
              <w:spacing w:line="278" w:lineRule="auto"/>
              <w:ind w:left="106" w:right="96" w:firstLine="55"/>
              <w:jc w:val="both"/>
              <w:rPr>
                <w:sz w:val="21"/>
              </w:rPr>
            </w:pPr>
            <w:r>
              <w:rPr>
                <w:sz w:val="21"/>
              </w:rPr>
              <w:t>企业在施工期和运营期严格落实本报告提出的环保治理</w:t>
            </w:r>
            <w:r>
              <w:rPr>
                <w:spacing w:val="-14"/>
                <w:sz w:val="21"/>
              </w:rPr>
              <w:t>措施，污染物达标排放，颗粒物排放量不</w:t>
            </w:r>
            <w:r>
              <w:rPr>
                <w:sz w:val="21"/>
              </w:rPr>
              <w:t>超过申请的总量控</w:t>
            </w:r>
            <w:r>
              <w:rPr>
                <w:spacing w:val="-14"/>
                <w:sz w:val="21"/>
              </w:rPr>
              <w:t>制指标。本项目实行</w:t>
            </w:r>
            <w:r>
              <w:rPr>
                <w:sz w:val="21"/>
              </w:rPr>
              <w:t>排污许可登记管理</w:t>
            </w:r>
          </w:p>
        </w:tc>
        <w:tc>
          <w:tcPr>
            <w:tcW w:w="960"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44"/>
              <w:ind w:left="141" w:right="133"/>
              <w:jc w:val="center"/>
              <w:rPr>
                <w:sz w:val="21"/>
              </w:rPr>
            </w:pPr>
            <w:r>
              <w:rPr>
                <w:sz w:val="21"/>
              </w:rPr>
              <w:t>符合</w:t>
            </w:r>
          </w:p>
        </w:tc>
        <w:tc>
          <w:tcPr>
            <w:tcW w:w="96"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256"/>
        </w:trPr>
        <w:tc>
          <w:tcPr>
            <w:tcW w:w="2183" w:type="dxa"/>
            <w:vMerge/>
            <w:tcBorders>
              <w:top w:val="nil"/>
            </w:tcBorders>
          </w:tcPr>
          <w:p>
            <w:pPr>
              <w:rPr>
                <w:sz w:val="2"/>
                <w:szCs w:val="2"/>
              </w:rPr>
            </w:pPr>
          </w:p>
        </w:tc>
        <w:tc>
          <w:tcPr>
            <w:tcW w:w="95" w:type="dxa"/>
            <w:vMerge/>
            <w:tcBorders>
              <w:top w:val="nil"/>
            </w:tcBorders>
          </w:tcPr>
          <w:p>
            <w:pPr>
              <w:rPr>
                <w:sz w:val="2"/>
                <w:szCs w:val="2"/>
              </w:rPr>
            </w:pPr>
          </w:p>
        </w:tc>
        <w:tc>
          <w:tcPr>
            <w:tcW w:w="4014" w:type="dxa"/>
            <w:tcBorders>
              <w:bottom w:val="single" w:sz="8" w:space="0" w:color="000000"/>
            </w:tcBorders>
          </w:tcPr>
          <w:p>
            <w:pPr>
              <w:pStyle w:val="TableParagraph"/>
              <w:spacing w:before="20" w:line="278" w:lineRule="auto"/>
              <w:ind w:left="108" w:right="96" w:firstLine="420"/>
              <w:jc w:val="both"/>
              <w:rPr>
                <w:sz w:val="21"/>
              </w:rPr>
            </w:pPr>
            <w:r>
              <w:rPr>
                <w:spacing w:val="-11"/>
                <w:sz w:val="21"/>
              </w:rPr>
              <w:t>第四十六条 新建、改建、扩建建设项</w:t>
            </w:r>
            <w:r>
              <w:rPr>
                <w:spacing w:val="-1"/>
                <w:sz w:val="21"/>
              </w:rPr>
              <w:t>目，应当根据环境影响评价文件以及生态环境主管部门审批决定的要求建设环境保</w:t>
            </w:r>
          </w:p>
          <w:p>
            <w:pPr>
              <w:pStyle w:val="TableParagraph"/>
              <w:spacing w:line="269" w:lineRule="exact"/>
              <w:ind w:left="108"/>
              <w:rPr>
                <w:sz w:val="21"/>
              </w:rPr>
            </w:pPr>
            <w:r>
              <w:rPr>
                <w:sz w:val="21"/>
              </w:rPr>
              <w:t>护设施、落实环境保护措施。环境保护设</w:t>
            </w:r>
          </w:p>
        </w:tc>
        <w:tc>
          <w:tcPr>
            <w:tcW w:w="2006" w:type="dxa"/>
            <w:tcBorders>
              <w:bottom w:val="single" w:sz="8" w:space="0" w:color="000000"/>
            </w:tcBorders>
          </w:tcPr>
          <w:p>
            <w:pPr>
              <w:pStyle w:val="TableParagraph"/>
              <w:spacing w:before="20" w:line="278" w:lineRule="auto"/>
              <w:ind w:left="162" w:right="154"/>
              <w:jc w:val="both"/>
              <w:rPr>
                <w:sz w:val="21"/>
              </w:rPr>
            </w:pPr>
            <w:r>
              <w:rPr>
                <w:spacing w:val="-2"/>
                <w:sz w:val="21"/>
              </w:rPr>
              <w:t>本项目建成后严格按照环保要求建设</w:t>
            </w:r>
            <w:r>
              <w:rPr>
                <w:spacing w:val="-2"/>
                <w:w w:val="95"/>
                <w:sz w:val="21"/>
              </w:rPr>
              <w:t>环境保护设施、落</w:t>
            </w:r>
          </w:p>
          <w:p>
            <w:pPr>
              <w:pStyle w:val="TableParagraph"/>
              <w:spacing w:line="269" w:lineRule="exact"/>
              <w:ind w:left="267"/>
              <w:rPr>
                <w:sz w:val="21"/>
              </w:rPr>
            </w:pPr>
            <w:r>
              <w:rPr>
                <w:w w:val="95"/>
                <w:sz w:val="21"/>
              </w:rPr>
              <w:t>实环境保护措施</w:t>
            </w:r>
          </w:p>
        </w:tc>
        <w:tc>
          <w:tcPr>
            <w:tcW w:w="960" w:type="dxa"/>
            <w:tcBorders>
              <w:bottom w:val="single" w:sz="8" w:space="0" w:color="000000"/>
            </w:tcBorders>
          </w:tcPr>
          <w:p>
            <w:pPr>
              <w:pStyle w:val="TableParagraph"/>
              <w:rPr>
                <w:b/>
                <w:sz w:val="20"/>
              </w:rPr>
            </w:pPr>
          </w:p>
          <w:p>
            <w:pPr>
              <w:pStyle w:val="TableParagraph"/>
              <w:spacing w:before="1"/>
              <w:rPr>
                <w:b/>
                <w:sz w:val="18"/>
              </w:rPr>
            </w:pPr>
          </w:p>
          <w:p>
            <w:pPr>
              <w:pStyle w:val="TableParagraph"/>
              <w:spacing w:before="1"/>
              <w:ind w:left="141" w:right="133"/>
              <w:jc w:val="center"/>
              <w:rPr>
                <w:sz w:val="21"/>
              </w:rPr>
            </w:pPr>
            <w:r>
              <w:rPr>
                <w:sz w:val="21"/>
              </w:rPr>
              <w:t>符合</w:t>
            </w:r>
          </w:p>
        </w:tc>
        <w:tc>
          <w:tcPr>
            <w:tcW w:w="96" w:type="dxa"/>
            <w:tcBorders>
              <w:top w:val="nil"/>
            </w:tcBorders>
          </w:tcPr>
          <w:p>
            <w:pPr>
              <w:pStyle w:val="TableParagraph"/>
              <w:rPr>
                <w:rFonts w:ascii="Times New Roman"/>
                <w:sz w:val="20"/>
              </w:rPr>
            </w:pPr>
          </w:p>
        </w:tc>
      </w:tr>
    </w:tbl>
    <w:p>
      <w:pPr>
        <w:spacing w:after="0"/>
        <w:rPr>
          <w:rFonts w:ascii="Times New Roman"/>
          <w:sz w:val="20"/>
        </w:rPr>
        <w:sectPr>
          <w:footerReference w:type="default" r:id="rId12"/>
          <w:pgSz w:w="11910" w:h="16840"/>
          <w:pgMar w:top="1420" w:right="980" w:bottom="1240" w:left="1040" w:header="0" w:footer="1050" w:gutter="0"/>
          <w:pgNumType w:start="8"/>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04"/>
        <w:gridCol w:w="1344"/>
        <w:gridCol w:w="2661"/>
        <w:gridCol w:w="603"/>
        <w:gridCol w:w="1403"/>
        <w:gridCol w:w="929"/>
        <w:gridCol w:w="128"/>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23"/>
        </w:trPr>
        <w:tc>
          <w:tcPr>
            <w:tcW w:w="2183" w:type="dxa"/>
            <w:vMerge w:val="restart"/>
          </w:tcPr>
          <w:p>
            <w:pPr>
              <w:pStyle w:val="TableParagraph"/>
              <w:rPr>
                <w:rFonts w:ascii="Times New Roman"/>
                <w:sz w:val="20"/>
              </w:rPr>
            </w:pPr>
          </w:p>
        </w:tc>
        <w:tc>
          <w:tcPr>
            <w:tcW w:w="104" w:type="dxa"/>
            <w:tcBorders>
              <w:bottom w:val="nil"/>
            </w:tcBorders>
          </w:tcPr>
          <w:p>
            <w:pPr>
              <w:pStyle w:val="TableParagraph"/>
              <w:rPr>
                <w:rFonts w:ascii="Times New Roman"/>
                <w:sz w:val="20"/>
              </w:rPr>
            </w:pPr>
          </w:p>
        </w:tc>
        <w:tc>
          <w:tcPr>
            <w:tcW w:w="4005" w:type="dxa"/>
            <w:gridSpan w:val="2"/>
            <w:tcBorders>
              <w:top w:val="single" w:sz="8" w:space="0" w:color="000000"/>
            </w:tcBorders>
          </w:tcPr>
          <w:p>
            <w:pPr>
              <w:pStyle w:val="TableParagraph"/>
              <w:spacing w:before="21"/>
              <w:ind w:left="99"/>
              <w:rPr>
                <w:sz w:val="21"/>
              </w:rPr>
            </w:pPr>
            <w:r>
              <w:rPr>
                <w:sz w:val="21"/>
              </w:rPr>
              <w:t>施应当与主体工程同时设计、同时施工、</w:t>
            </w:r>
          </w:p>
          <w:p>
            <w:pPr>
              <w:pStyle w:val="TableParagraph"/>
              <w:spacing w:before="42"/>
              <w:ind w:left="99"/>
              <w:rPr>
                <w:sz w:val="21"/>
              </w:rPr>
            </w:pPr>
            <w:r>
              <w:rPr>
                <w:sz w:val="21"/>
              </w:rPr>
              <w:t>同时投产使用</w:t>
            </w:r>
          </w:p>
        </w:tc>
        <w:tc>
          <w:tcPr>
            <w:tcW w:w="2006" w:type="dxa"/>
            <w:gridSpan w:val="2"/>
            <w:tcBorders>
              <w:top w:val="single" w:sz="8" w:space="0" w:color="000000"/>
            </w:tcBorders>
          </w:tcPr>
          <w:p>
            <w:pPr>
              <w:pStyle w:val="TableParagraph"/>
              <w:rPr>
                <w:rFonts w:ascii="Times New Roman"/>
                <w:sz w:val="20"/>
              </w:rPr>
            </w:pPr>
          </w:p>
        </w:tc>
        <w:tc>
          <w:tcPr>
            <w:tcW w:w="929" w:type="dxa"/>
            <w:tcBorders>
              <w:top w:val="single" w:sz="8" w:space="0" w:color="000000"/>
            </w:tcBorders>
          </w:tcPr>
          <w:p>
            <w:pPr>
              <w:pStyle w:val="TableParagraph"/>
              <w:rPr>
                <w:rFonts w:ascii="Times New Roman"/>
                <w:sz w:val="20"/>
              </w:rPr>
            </w:pPr>
          </w:p>
        </w:tc>
        <w:tc>
          <w:tcPr>
            <w:tcW w:w="128" w:type="dxa"/>
            <w:tcBorders>
              <w:top w:val="single" w:sz="8" w:space="0" w:color="000000"/>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338"/>
        </w:trPr>
        <w:tc>
          <w:tcPr>
            <w:tcW w:w="2183" w:type="dxa"/>
            <w:vMerge/>
            <w:tcBorders>
              <w:top w:val="nil"/>
            </w:tcBorders>
          </w:tcPr>
          <w:p>
            <w:pPr>
              <w:rPr>
                <w:sz w:val="2"/>
                <w:szCs w:val="2"/>
              </w:rPr>
            </w:pPr>
          </w:p>
        </w:tc>
        <w:tc>
          <w:tcPr>
            <w:tcW w:w="7172" w:type="dxa"/>
            <w:gridSpan w:val="7"/>
          </w:tcPr>
          <w:p>
            <w:pPr>
              <w:pStyle w:val="TableParagraph"/>
              <w:spacing w:before="81"/>
              <w:ind w:left="587" w:right="-29"/>
              <w:rPr>
                <w:sz w:val="24"/>
              </w:rPr>
            </w:pPr>
            <w:r>
              <w:rPr>
                <w:spacing w:val="-20"/>
                <w:sz w:val="24"/>
              </w:rPr>
              <w:t xml:space="preserve">由表 </w:t>
            </w:r>
            <w:r>
              <w:rPr>
                <w:rFonts w:ascii="Times New Roman" w:eastAsia="Times New Roman"/>
                <w:sz w:val="24"/>
              </w:rPr>
              <w:t xml:space="preserve">1 </w:t>
            </w:r>
            <w:r>
              <w:rPr>
                <w:spacing w:val="-12"/>
                <w:sz w:val="24"/>
              </w:rPr>
              <w:t>可知，本项目符合《山东省环境保护条例》的相关要求。</w:t>
            </w:r>
          </w:p>
          <w:p>
            <w:pPr>
              <w:pStyle w:val="TableParagraph"/>
              <w:spacing w:before="161"/>
              <w:ind w:left="587"/>
              <w:rPr>
                <w:b/>
                <w:sz w:val="24"/>
              </w:rPr>
            </w:pPr>
            <w:r>
              <w:rPr>
                <w:rFonts w:ascii="Times New Roman" w:eastAsia="Times New Roman" w:hAnsi="Times New Roman"/>
                <w:b/>
                <w:sz w:val="24"/>
              </w:rPr>
              <w:t>4</w:t>
            </w:r>
            <w:r>
              <w:rPr>
                <w:b/>
                <w:sz w:val="24"/>
              </w:rPr>
              <w:t>、本项目与《德州市新一轮“四减四增”三年行动方 案》</w:t>
            </w:r>
          </w:p>
          <w:p>
            <w:pPr>
              <w:pStyle w:val="TableParagraph"/>
              <w:spacing w:before="160"/>
              <w:ind w:left="107"/>
              <w:rPr>
                <w:b/>
                <w:sz w:val="24"/>
              </w:rPr>
            </w:pPr>
            <w:r>
              <w:rPr>
                <w:b/>
                <w:sz w:val="24"/>
              </w:rPr>
              <w:t>（</w:t>
            </w:r>
            <w:r>
              <w:rPr>
                <w:rFonts w:ascii="Times New Roman" w:eastAsia="Times New Roman"/>
                <w:b/>
                <w:sz w:val="24"/>
              </w:rPr>
              <w:t xml:space="preserve">2021-2023 </w:t>
            </w:r>
            <w:r>
              <w:rPr>
                <w:b/>
                <w:sz w:val="24"/>
              </w:rPr>
              <w:t>年）的符合性分析见下表。</w:t>
            </w:r>
          </w:p>
          <w:p>
            <w:pPr>
              <w:pStyle w:val="TableParagraph"/>
              <w:spacing w:before="82"/>
              <w:ind w:left="126"/>
              <w:rPr>
                <w:b/>
                <w:sz w:val="24"/>
              </w:rPr>
            </w:pPr>
            <w:r>
              <w:rPr>
                <w:b/>
                <w:sz w:val="24"/>
              </w:rPr>
              <w:t xml:space="preserve">表 </w:t>
            </w:r>
            <w:r>
              <w:rPr>
                <w:rFonts w:ascii="Times New Roman" w:eastAsia="Times New Roman" w:hAnsi="Times New Roman"/>
                <w:b/>
                <w:sz w:val="24"/>
              </w:rPr>
              <w:t xml:space="preserve">1-2 </w:t>
            </w:r>
            <w:r>
              <w:rPr>
                <w:b/>
                <w:sz w:val="24"/>
              </w:rPr>
              <w:t>项目与《德州市新一轮“四减四增”三年行动方案》符合性</w:t>
            </w:r>
          </w:p>
          <w:p>
            <w:pPr>
              <w:pStyle w:val="TableParagraph"/>
              <w:spacing w:before="158"/>
              <w:ind w:left="2964" w:right="2952"/>
              <w:jc w:val="center"/>
              <w:rPr>
                <w:b/>
                <w:sz w:val="24"/>
              </w:rPr>
            </w:pPr>
            <w:r>
              <w:rPr>
                <w:b/>
                <w:sz w:val="24"/>
              </w:rPr>
              <w:t>分析一览表</w:t>
            </w:r>
          </w:p>
        </w:tc>
      </w:tr>
      <w:tr>
        <w:tblPrEx>
          <w:tblW w:w="0" w:type="auto"/>
          <w:tblInd w:w="241" w:type="dxa"/>
          <w:tblLayout w:type="fixed"/>
          <w:tblCellMar>
            <w:top w:w="0" w:type="dxa"/>
            <w:left w:w="0" w:type="dxa"/>
            <w:bottom w:w="0" w:type="dxa"/>
            <w:right w:w="0" w:type="dxa"/>
          </w:tblCellMar>
        </w:tblPrEx>
        <w:trPr>
          <w:trHeight w:val="273"/>
        </w:trPr>
        <w:tc>
          <w:tcPr>
            <w:tcW w:w="2183" w:type="dxa"/>
            <w:vMerge/>
            <w:tcBorders>
              <w:top w:val="nil"/>
            </w:tcBorders>
          </w:tcPr>
          <w:p>
            <w:pPr>
              <w:rPr>
                <w:sz w:val="2"/>
                <w:szCs w:val="2"/>
              </w:rPr>
            </w:pPr>
          </w:p>
        </w:tc>
        <w:tc>
          <w:tcPr>
            <w:tcW w:w="104" w:type="dxa"/>
            <w:vMerge w:val="restart"/>
            <w:tcBorders>
              <w:top w:val="nil"/>
            </w:tcBorders>
          </w:tcPr>
          <w:p>
            <w:pPr>
              <w:pStyle w:val="TableParagraph"/>
              <w:rPr>
                <w:rFonts w:ascii="Times New Roman"/>
                <w:sz w:val="20"/>
              </w:rPr>
            </w:pPr>
          </w:p>
        </w:tc>
        <w:tc>
          <w:tcPr>
            <w:tcW w:w="1344" w:type="dxa"/>
          </w:tcPr>
          <w:p>
            <w:pPr>
              <w:pStyle w:val="TableParagraph"/>
              <w:spacing w:line="254" w:lineRule="exact"/>
              <w:ind w:left="445" w:right="427"/>
              <w:jc w:val="center"/>
              <w:rPr>
                <w:b/>
                <w:sz w:val="21"/>
              </w:rPr>
            </w:pPr>
            <w:r>
              <w:rPr>
                <w:b/>
                <w:sz w:val="21"/>
              </w:rPr>
              <w:t>分类</w:t>
            </w:r>
          </w:p>
        </w:tc>
        <w:tc>
          <w:tcPr>
            <w:tcW w:w="3264" w:type="dxa"/>
            <w:gridSpan w:val="2"/>
          </w:tcPr>
          <w:p>
            <w:pPr>
              <w:pStyle w:val="TableParagraph"/>
              <w:spacing w:line="254" w:lineRule="exact"/>
              <w:ind w:left="1192" w:right="1178"/>
              <w:jc w:val="center"/>
              <w:rPr>
                <w:b/>
                <w:sz w:val="21"/>
              </w:rPr>
            </w:pPr>
            <w:r>
              <w:rPr>
                <w:b/>
                <w:sz w:val="21"/>
              </w:rPr>
              <w:t>文件要求</w:t>
            </w:r>
          </w:p>
        </w:tc>
        <w:tc>
          <w:tcPr>
            <w:tcW w:w="2332" w:type="dxa"/>
            <w:gridSpan w:val="2"/>
          </w:tcPr>
          <w:p>
            <w:pPr>
              <w:pStyle w:val="TableParagraph"/>
              <w:spacing w:line="254" w:lineRule="exact"/>
              <w:ind w:left="624"/>
              <w:rPr>
                <w:b/>
                <w:sz w:val="21"/>
              </w:rPr>
            </w:pPr>
            <w:r>
              <w:rPr>
                <w:b/>
                <w:sz w:val="21"/>
              </w:rPr>
              <w:t>符合性分析</w:t>
            </w:r>
          </w:p>
        </w:tc>
        <w:tc>
          <w:tcPr>
            <w:tcW w:w="128"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723"/>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34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2"/>
              <w:rPr>
                <w:b/>
                <w:sz w:val="23"/>
              </w:rPr>
            </w:pPr>
          </w:p>
          <w:p>
            <w:pPr>
              <w:pStyle w:val="TableParagraph"/>
              <w:spacing w:line="242" w:lineRule="auto"/>
              <w:ind w:left="149" w:right="133"/>
              <w:rPr>
                <w:sz w:val="21"/>
              </w:rPr>
            </w:pPr>
            <w:r>
              <w:rPr>
                <w:sz w:val="21"/>
              </w:rPr>
              <w:t>一、深入调整产业结构</w:t>
            </w:r>
          </w:p>
        </w:tc>
        <w:tc>
          <w:tcPr>
            <w:tcW w:w="3264" w:type="dxa"/>
            <w:gridSpan w:val="2"/>
          </w:tcPr>
          <w:p>
            <w:pPr>
              <w:pStyle w:val="TableParagraph"/>
              <w:spacing w:line="242" w:lineRule="auto"/>
              <w:ind w:left="108" w:right="-15"/>
              <w:rPr>
                <w:sz w:val="21"/>
              </w:rPr>
            </w:pPr>
            <w:r>
              <w:rPr>
                <w:rFonts w:ascii="Times New Roman" w:eastAsia="Times New Roman" w:hAnsi="Times New Roman"/>
                <w:sz w:val="21"/>
              </w:rPr>
              <w:t>1</w:t>
            </w:r>
            <w:r>
              <w:rPr>
                <w:sz w:val="21"/>
              </w:rPr>
              <w:t>、淘汰低效落后产能。根据省部署要求，依据安全、环保、技术、能耗、效益标准，以钢铁、地炼、焦化、煤电、水泥、轮胎、煤炭、</w:t>
            </w:r>
            <w:r>
              <w:rPr>
                <w:spacing w:val="-10"/>
                <w:sz w:val="21"/>
              </w:rPr>
              <w:t>化工等行业为重点，分类组织实施</w:t>
            </w:r>
            <w:r>
              <w:rPr>
                <w:spacing w:val="-12"/>
                <w:sz w:val="21"/>
              </w:rPr>
              <w:t>转移、压减、整合、关停任务，加快淘汰低效落后产能。实施</w:t>
            </w:r>
            <w:r>
              <w:rPr>
                <w:rFonts w:ascii="Times New Roman" w:eastAsia="Times New Roman" w:hAnsi="Times New Roman"/>
                <w:spacing w:val="-12"/>
                <w:sz w:val="21"/>
              </w:rPr>
              <w:t>“</w:t>
            </w:r>
            <w:r>
              <w:rPr>
                <w:spacing w:val="-12"/>
                <w:sz w:val="21"/>
              </w:rPr>
              <w:t>散乱污</w:t>
            </w:r>
            <w:r>
              <w:rPr>
                <w:rFonts w:ascii="Times New Roman" w:eastAsia="Times New Roman" w:hAnsi="Times New Roman"/>
                <w:spacing w:val="-12"/>
                <w:sz w:val="21"/>
              </w:rPr>
              <w:t>”</w:t>
            </w:r>
            <w:r>
              <w:rPr>
                <w:spacing w:val="-12"/>
                <w:sz w:val="21"/>
              </w:rPr>
              <w:t>企业动态清零，按照</w:t>
            </w:r>
            <w:r>
              <w:rPr>
                <w:rFonts w:ascii="Times New Roman" w:eastAsia="Times New Roman" w:hAnsi="Times New Roman"/>
                <w:spacing w:val="-12"/>
                <w:sz w:val="21"/>
              </w:rPr>
              <w:t>“</w:t>
            </w:r>
            <w:r>
              <w:rPr>
                <w:spacing w:val="-12"/>
                <w:sz w:val="21"/>
              </w:rPr>
              <w:t>发现一</w:t>
            </w:r>
          </w:p>
          <w:p>
            <w:pPr>
              <w:pStyle w:val="TableParagraph"/>
              <w:spacing w:before="4" w:line="270" w:lineRule="atLeast"/>
              <w:ind w:left="108" w:right="114"/>
              <w:rPr>
                <w:sz w:val="21"/>
              </w:rPr>
            </w:pPr>
            <w:r>
              <w:rPr>
                <w:w w:val="95"/>
                <w:sz w:val="21"/>
              </w:rPr>
              <w:t>起、处置一起</w:t>
            </w:r>
            <w:r>
              <w:rPr>
                <w:rFonts w:ascii="Times New Roman" w:eastAsia="Times New Roman" w:hAnsi="Times New Roman"/>
                <w:w w:val="95"/>
                <w:sz w:val="21"/>
              </w:rPr>
              <w:t>”</w:t>
            </w:r>
            <w:r>
              <w:rPr>
                <w:w w:val="95"/>
                <w:sz w:val="21"/>
              </w:rPr>
              <w:t>的原则，实施分类</w:t>
            </w:r>
            <w:r>
              <w:rPr>
                <w:sz w:val="21"/>
              </w:rPr>
              <w:t>整治。</w:t>
            </w:r>
          </w:p>
        </w:tc>
        <w:tc>
          <w:tcPr>
            <w:tcW w:w="2332" w:type="dxa"/>
            <w:gridSpan w:val="2"/>
          </w:tcPr>
          <w:p>
            <w:pPr>
              <w:pStyle w:val="TableParagraph"/>
              <w:rPr>
                <w:b/>
                <w:sz w:val="20"/>
              </w:rPr>
            </w:pPr>
          </w:p>
          <w:p>
            <w:pPr>
              <w:pStyle w:val="TableParagraph"/>
              <w:rPr>
                <w:b/>
                <w:sz w:val="20"/>
              </w:rPr>
            </w:pPr>
          </w:p>
          <w:p>
            <w:pPr>
              <w:pStyle w:val="TableParagraph"/>
              <w:spacing w:before="12"/>
              <w:rPr>
                <w:b/>
                <w:sz w:val="24"/>
              </w:rPr>
            </w:pPr>
          </w:p>
          <w:p>
            <w:pPr>
              <w:pStyle w:val="TableParagraph"/>
              <w:spacing w:line="242" w:lineRule="auto"/>
              <w:ind w:left="204" w:right="226"/>
              <w:jc w:val="center"/>
              <w:rPr>
                <w:sz w:val="21"/>
              </w:rPr>
            </w:pPr>
            <w:r>
              <w:rPr>
                <w:sz w:val="21"/>
              </w:rPr>
              <w:t>本项目不属于上述淘汰低效落后产能，符合。</w:t>
            </w:r>
          </w:p>
        </w:tc>
        <w:tc>
          <w:tcPr>
            <w:tcW w:w="128"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633"/>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344" w:type="dxa"/>
            <w:vMerge/>
            <w:tcBorders>
              <w:top w:val="nil"/>
            </w:tcBorders>
          </w:tcPr>
          <w:p>
            <w:pPr>
              <w:rPr>
                <w:sz w:val="2"/>
                <w:szCs w:val="2"/>
              </w:rPr>
            </w:pPr>
          </w:p>
        </w:tc>
        <w:tc>
          <w:tcPr>
            <w:tcW w:w="3264" w:type="dxa"/>
            <w:gridSpan w:val="2"/>
          </w:tcPr>
          <w:p>
            <w:pPr>
              <w:pStyle w:val="TableParagraph"/>
              <w:spacing w:line="242" w:lineRule="auto"/>
              <w:ind w:left="108" w:right="97"/>
              <w:jc w:val="both"/>
              <w:rPr>
                <w:sz w:val="21"/>
              </w:rPr>
            </w:pPr>
            <w:r>
              <w:rPr>
                <w:rFonts w:ascii="Times New Roman" w:eastAsia="Times New Roman" w:hAnsi="Times New Roman"/>
                <w:w w:val="95"/>
                <w:sz w:val="21"/>
              </w:rPr>
              <w:t>2</w:t>
            </w:r>
            <w:r>
              <w:rPr>
                <w:w w:val="95"/>
                <w:sz w:val="21"/>
              </w:rPr>
              <w:t>、严控重点行业新增产能。重大</w:t>
            </w:r>
            <w:r>
              <w:rPr>
                <w:spacing w:val="-11"/>
                <w:sz w:val="21"/>
              </w:rPr>
              <w:t>项目建设，必须首先满足环境质量</w:t>
            </w:r>
            <w:r>
              <w:rPr>
                <w:rFonts w:ascii="Times New Roman" w:eastAsia="Times New Roman" w:hAnsi="Times New Roman"/>
                <w:w w:val="95"/>
                <w:sz w:val="21"/>
              </w:rPr>
              <w:t>“</w:t>
            </w:r>
            <w:r>
              <w:rPr>
                <w:spacing w:val="-6"/>
                <w:w w:val="95"/>
                <w:sz w:val="21"/>
              </w:rPr>
              <w:t>只能更好，不能变坏</w:t>
            </w:r>
            <w:r>
              <w:rPr>
                <w:rFonts w:ascii="Times New Roman" w:eastAsia="Times New Roman" w:hAnsi="Times New Roman"/>
                <w:w w:val="95"/>
                <w:sz w:val="21"/>
              </w:rPr>
              <w:t>”</w:t>
            </w:r>
            <w:r>
              <w:rPr>
                <w:spacing w:val="-8"/>
                <w:w w:val="95"/>
                <w:sz w:val="21"/>
              </w:rPr>
              <w:t>的底线，严</w:t>
            </w:r>
            <w:r>
              <w:rPr>
                <w:spacing w:val="-8"/>
                <w:sz w:val="21"/>
              </w:rPr>
              <w:t>格落实污染物排放</w:t>
            </w:r>
            <w:r>
              <w:rPr>
                <w:rFonts w:ascii="Times New Roman" w:eastAsia="Times New Roman" w:hAnsi="Times New Roman"/>
                <w:spacing w:val="-8"/>
                <w:sz w:val="21"/>
              </w:rPr>
              <w:t>“</w:t>
            </w:r>
            <w:r>
              <w:rPr>
                <w:spacing w:val="-8"/>
                <w:sz w:val="21"/>
              </w:rPr>
              <w:t>减量替代是原</w:t>
            </w:r>
          </w:p>
          <w:p>
            <w:pPr>
              <w:pStyle w:val="TableParagraph"/>
              <w:spacing w:before="2" w:line="270" w:lineRule="atLeast"/>
              <w:ind w:left="108" w:right="111"/>
              <w:rPr>
                <w:sz w:val="21"/>
              </w:rPr>
            </w:pPr>
            <w:r>
              <w:rPr>
                <w:w w:val="95"/>
                <w:sz w:val="21"/>
              </w:rPr>
              <w:t>则，等量替代是例外</w:t>
            </w:r>
            <w:r>
              <w:rPr>
                <w:rFonts w:ascii="Times New Roman" w:eastAsia="Times New Roman" w:hAnsi="Times New Roman"/>
                <w:w w:val="95"/>
                <w:sz w:val="21"/>
              </w:rPr>
              <w:t>”</w:t>
            </w:r>
            <w:r>
              <w:rPr>
                <w:w w:val="95"/>
                <w:sz w:val="21"/>
              </w:rPr>
              <w:t>的总量控制</w:t>
            </w:r>
            <w:r>
              <w:rPr>
                <w:sz w:val="21"/>
              </w:rPr>
              <w:t>刚性要求。</w:t>
            </w:r>
          </w:p>
        </w:tc>
        <w:tc>
          <w:tcPr>
            <w:tcW w:w="2332" w:type="dxa"/>
            <w:gridSpan w:val="2"/>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17"/>
              </w:rPr>
            </w:pPr>
          </w:p>
          <w:p>
            <w:pPr>
              <w:pStyle w:val="TableParagraph"/>
              <w:spacing w:before="1" w:line="242" w:lineRule="auto"/>
              <w:ind w:left="730" w:right="226" w:hanging="526"/>
              <w:rPr>
                <w:sz w:val="21"/>
              </w:rPr>
            </w:pPr>
            <w:r>
              <w:rPr>
                <w:sz w:val="21"/>
              </w:rPr>
              <w:t>本项目不属于上述重点行业。</w:t>
            </w:r>
          </w:p>
        </w:tc>
        <w:tc>
          <w:tcPr>
            <w:tcW w:w="128" w:type="dxa"/>
            <w:vMerge w:val="restart"/>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634"/>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344" w:type="dxa"/>
            <w:vMerge/>
            <w:tcBorders>
              <w:top w:val="nil"/>
            </w:tcBorders>
          </w:tcPr>
          <w:p>
            <w:pPr>
              <w:rPr>
                <w:sz w:val="2"/>
                <w:szCs w:val="2"/>
              </w:rPr>
            </w:pPr>
          </w:p>
        </w:tc>
        <w:tc>
          <w:tcPr>
            <w:tcW w:w="3264" w:type="dxa"/>
            <w:gridSpan w:val="2"/>
          </w:tcPr>
          <w:p>
            <w:pPr>
              <w:pStyle w:val="TableParagraph"/>
              <w:spacing w:line="242" w:lineRule="auto"/>
              <w:ind w:left="108" w:right="-15"/>
              <w:rPr>
                <w:sz w:val="21"/>
              </w:rPr>
            </w:pPr>
            <w:r>
              <w:rPr>
                <w:rFonts w:ascii="Times New Roman" w:eastAsia="Times New Roman"/>
                <w:sz w:val="21"/>
              </w:rPr>
              <w:t>3</w:t>
            </w:r>
            <w:r>
              <w:rPr>
                <w:spacing w:val="-12"/>
                <w:sz w:val="21"/>
              </w:rPr>
              <w:t>、推动绿色循环低碳改造。电力、钢铁、建材、有色、石化、化工等</w:t>
            </w:r>
            <w:r>
              <w:rPr>
                <w:spacing w:val="-17"/>
                <w:sz w:val="21"/>
              </w:rPr>
              <w:t>重点行业制定碳达峰目标，实施减污降碳协同治理。优化整合钢铁、</w:t>
            </w:r>
          </w:p>
          <w:p>
            <w:pPr>
              <w:pStyle w:val="TableParagraph"/>
              <w:spacing w:before="2" w:line="270" w:lineRule="atLeast"/>
              <w:ind w:left="108" w:right="-15"/>
              <w:rPr>
                <w:sz w:val="21"/>
              </w:rPr>
            </w:pPr>
            <w:r>
              <w:rPr>
                <w:sz w:val="21"/>
              </w:rPr>
              <w:t>焦化、煤电、水泥、轮胎、煤炭、化工等行业产能布局。</w:t>
            </w:r>
          </w:p>
        </w:tc>
        <w:tc>
          <w:tcPr>
            <w:tcW w:w="2332" w:type="dxa"/>
            <w:gridSpan w:val="2"/>
            <w:vMerge/>
            <w:tcBorders>
              <w:top w:val="nil"/>
            </w:tcBorders>
          </w:tcPr>
          <w:p>
            <w:pPr>
              <w:rPr>
                <w:sz w:val="2"/>
                <w:szCs w:val="2"/>
              </w:rPr>
            </w:pPr>
          </w:p>
        </w:tc>
        <w:tc>
          <w:tcPr>
            <w:tcW w:w="128"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902"/>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344" w:type="dxa"/>
            <w:vMerge w:val="restart"/>
            <w:tcBorders>
              <w:bottom w:val="single" w:sz="8"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17"/>
              </w:rPr>
            </w:pPr>
          </w:p>
          <w:p>
            <w:pPr>
              <w:pStyle w:val="TableParagraph"/>
              <w:spacing w:before="1" w:line="242" w:lineRule="auto"/>
              <w:ind w:left="149" w:right="133"/>
              <w:rPr>
                <w:sz w:val="21"/>
              </w:rPr>
            </w:pPr>
            <w:r>
              <w:rPr>
                <w:sz w:val="21"/>
              </w:rPr>
              <w:t>二、深入调整能源结构</w:t>
            </w:r>
          </w:p>
        </w:tc>
        <w:tc>
          <w:tcPr>
            <w:tcW w:w="3264" w:type="dxa"/>
            <w:gridSpan w:val="2"/>
          </w:tcPr>
          <w:p>
            <w:pPr>
              <w:pStyle w:val="TableParagraph"/>
              <w:spacing w:line="242" w:lineRule="auto"/>
              <w:ind w:left="108" w:right="97"/>
              <w:rPr>
                <w:sz w:val="21"/>
              </w:rPr>
            </w:pPr>
            <w:r>
              <w:rPr>
                <w:rFonts w:ascii="Times New Roman" w:eastAsia="Times New Roman"/>
                <w:w w:val="95"/>
                <w:sz w:val="21"/>
              </w:rPr>
              <w:t>1</w:t>
            </w:r>
            <w:r>
              <w:rPr>
                <w:w w:val="95"/>
                <w:sz w:val="21"/>
              </w:rPr>
              <w:t>、严控化石能源消费。严控能源</w:t>
            </w:r>
            <w:r>
              <w:rPr>
                <w:spacing w:val="-11"/>
                <w:sz w:val="21"/>
              </w:rPr>
              <w:t>消费总量，在满足全社会能源需求</w:t>
            </w:r>
            <w:r>
              <w:rPr>
                <w:sz w:val="21"/>
              </w:rPr>
              <w:t>的前提下，持续推进煤炭消费压</w:t>
            </w:r>
            <w:r>
              <w:rPr>
                <w:spacing w:val="-11"/>
                <w:w w:val="95"/>
                <w:sz w:val="21"/>
              </w:rPr>
              <w:t>减，增加清洁能源供给，加大清洁</w:t>
            </w:r>
            <w:r>
              <w:rPr>
                <w:spacing w:val="-14"/>
                <w:sz w:val="21"/>
              </w:rPr>
              <w:t>能源替代力度，进一步控制化石能</w:t>
            </w:r>
            <w:r>
              <w:rPr>
                <w:spacing w:val="-11"/>
                <w:sz w:val="21"/>
              </w:rPr>
              <w:t>源消费，逐步实现新增能源需求主</w:t>
            </w:r>
          </w:p>
          <w:p>
            <w:pPr>
              <w:pStyle w:val="TableParagraph"/>
              <w:spacing w:before="4" w:line="247" w:lineRule="exact"/>
              <w:ind w:left="108"/>
              <w:rPr>
                <w:sz w:val="21"/>
              </w:rPr>
            </w:pPr>
            <w:r>
              <w:rPr>
                <w:sz w:val="21"/>
              </w:rPr>
              <w:t>要由清洁能源供给。</w:t>
            </w:r>
          </w:p>
        </w:tc>
        <w:tc>
          <w:tcPr>
            <w:tcW w:w="2332" w:type="dxa"/>
            <w:gridSpan w:val="2"/>
            <w:vMerge w:val="restart"/>
            <w:tcBorders>
              <w:bottom w:val="single" w:sz="8"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17"/>
              </w:rPr>
            </w:pPr>
          </w:p>
          <w:p>
            <w:pPr>
              <w:pStyle w:val="TableParagraph"/>
              <w:spacing w:before="1" w:line="242" w:lineRule="auto"/>
              <w:ind w:left="108" w:right="113" w:firstLine="96"/>
              <w:rPr>
                <w:sz w:val="21"/>
              </w:rPr>
            </w:pPr>
            <w:r>
              <w:rPr>
                <w:sz w:val="21"/>
              </w:rPr>
              <w:t>本项目不涉及煤炭等化石能源消费，符合。</w:t>
            </w:r>
          </w:p>
        </w:tc>
        <w:tc>
          <w:tcPr>
            <w:tcW w:w="128" w:type="dxa"/>
            <w:vMerge w:val="restart"/>
            <w:tcBorders>
              <w:top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353"/>
        </w:trPr>
        <w:tc>
          <w:tcPr>
            <w:tcW w:w="2183" w:type="dxa"/>
            <w:vMerge/>
            <w:tcBorders>
              <w:top w:val="nil"/>
            </w:tcBorders>
          </w:tcPr>
          <w:p>
            <w:pPr>
              <w:rPr>
                <w:sz w:val="2"/>
                <w:szCs w:val="2"/>
              </w:rPr>
            </w:pPr>
          </w:p>
        </w:tc>
        <w:tc>
          <w:tcPr>
            <w:tcW w:w="104" w:type="dxa"/>
            <w:vMerge/>
            <w:tcBorders>
              <w:top w:val="nil"/>
            </w:tcBorders>
          </w:tcPr>
          <w:p>
            <w:pPr>
              <w:rPr>
                <w:sz w:val="2"/>
                <w:szCs w:val="2"/>
              </w:rPr>
            </w:pPr>
          </w:p>
        </w:tc>
        <w:tc>
          <w:tcPr>
            <w:tcW w:w="1344" w:type="dxa"/>
            <w:vMerge/>
            <w:tcBorders>
              <w:top w:val="nil"/>
              <w:bottom w:val="single" w:sz="8" w:space="0" w:color="000000"/>
            </w:tcBorders>
          </w:tcPr>
          <w:p>
            <w:pPr>
              <w:rPr>
                <w:sz w:val="2"/>
                <w:szCs w:val="2"/>
              </w:rPr>
            </w:pPr>
          </w:p>
        </w:tc>
        <w:tc>
          <w:tcPr>
            <w:tcW w:w="3264" w:type="dxa"/>
            <w:gridSpan w:val="2"/>
            <w:tcBorders>
              <w:bottom w:val="single" w:sz="8" w:space="0" w:color="000000"/>
            </w:tcBorders>
          </w:tcPr>
          <w:p>
            <w:pPr>
              <w:pStyle w:val="TableParagraph"/>
              <w:spacing w:line="242" w:lineRule="auto"/>
              <w:ind w:left="108" w:right="97"/>
              <w:jc w:val="both"/>
              <w:rPr>
                <w:sz w:val="21"/>
              </w:rPr>
            </w:pPr>
            <w:r>
              <w:rPr>
                <w:rFonts w:ascii="Times New Roman" w:eastAsia="Times New Roman"/>
                <w:w w:val="95"/>
                <w:sz w:val="21"/>
              </w:rPr>
              <w:t>2</w:t>
            </w:r>
            <w:r>
              <w:rPr>
                <w:w w:val="95"/>
                <w:sz w:val="21"/>
              </w:rPr>
              <w:t>、持续压减煤炭使用。加快工业</w:t>
            </w:r>
            <w:r>
              <w:rPr>
                <w:spacing w:val="-10"/>
                <w:w w:val="95"/>
                <w:sz w:val="21"/>
              </w:rPr>
              <w:t>炉窑清洁能源替代，对以煤、石油</w:t>
            </w:r>
            <w:r>
              <w:rPr>
                <w:spacing w:val="-12"/>
                <w:w w:val="95"/>
                <w:sz w:val="21"/>
              </w:rPr>
              <w:t>焦、渣油、重油等为燃料的工业炉窑，使用清洁低碳能源以及利用工</w:t>
            </w:r>
          </w:p>
          <w:p>
            <w:pPr>
              <w:pStyle w:val="TableParagraph"/>
              <w:spacing w:line="251" w:lineRule="exact"/>
              <w:ind w:left="108"/>
              <w:rPr>
                <w:sz w:val="21"/>
              </w:rPr>
            </w:pPr>
            <w:r>
              <w:rPr>
                <w:w w:val="95"/>
                <w:sz w:val="21"/>
              </w:rPr>
              <w:t>厂余热、电厂热力等进行替代。</w:t>
            </w:r>
          </w:p>
        </w:tc>
        <w:tc>
          <w:tcPr>
            <w:tcW w:w="2332" w:type="dxa"/>
            <w:gridSpan w:val="2"/>
            <w:vMerge/>
            <w:tcBorders>
              <w:top w:val="nil"/>
              <w:bottom w:val="single" w:sz="8" w:space="0" w:color="000000"/>
            </w:tcBorders>
          </w:tcPr>
          <w:p>
            <w:pPr>
              <w:rPr>
                <w:sz w:val="2"/>
                <w:szCs w:val="2"/>
              </w:rPr>
            </w:pPr>
          </w:p>
        </w:tc>
        <w:tc>
          <w:tcPr>
            <w:tcW w:w="128" w:type="dxa"/>
            <w:vMerge/>
            <w:tcBorders>
              <w:top w:val="nil"/>
            </w:tcBorders>
          </w:tcPr>
          <w:p>
            <w:pPr>
              <w:rPr>
                <w:sz w:val="2"/>
                <w:szCs w:val="2"/>
              </w:rPr>
            </w:pPr>
          </w:p>
        </w:tc>
      </w:tr>
    </w:tbl>
    <w:p>
      <w:pPr>
        <w:spacing w:after="0"/>
        <w:rPr>
          <w:sz w:val="2"/>
          <w:szCs w:val="2"/>
        </w:rPr>
        <w:sectPr>
          <w:footerReference w:type="default" r:id="rId13"/>
          <w:pgSz w:w="11910" w:h="16840"/>
          <w:pgMar w:top="1420" w:right="980" w:bottom="1240" w:left="1040" w:header="0" w:footer="1050" w:gutter="0"/>
          <w:pgNumType w:start="9"/>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30"/>
        <w:gridCol w:w="922"/>
        <w:gridCol w:w="398"/>
        <w:gridCol w:w="3265"/>
        <w:gridCol w:w="154"/>
        <w:gridCol w:w="1499"/>
        <w:gridCol w:w="656"/>
        <w:gridCol w:w="154"/>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2450"/>
        </w:trPr>
        <w:tc>
          <w:tcPr>
            <w:tcW w:w="2183" w:type="dxa"/>
            <w:vMerge w:val="restart"/>
          </w:tcPr>
          <w:p>
            <w:pPr>
              <w:pStyle w:val="TableParagraph"/>
              <w:rPr>
                <w:rFonts w:ascii="Times New Roman"/>
                <w:sz w:val="20"/>
              </w:rPr>
            </w:pPr>
          </w:p>
        </w:tc>
        <w:tc>
          <w:tcPr>
            <w:tcW w:w="130" w:type="dxa"/>
            <w:vMerge w:val="restart"/>
            <w:tcBorders>
              <w:bottom w:val="nil"/>
            </w:tcBorders>
          </w:tcPr>
          <w:p>
            <w:pPr>
              <w:pStyle w:val="TableParagraph"/>
              <w:rPr>
                <w:rFonts w:ascii="Times New Roman"/>
                <w:sz w:val="20"/>
              </w:rPr>
            </w:pPr>
          </w:p>
        </w:tc>
        <w:tc>
          <w:tcPr>
            <w:tcW w:w="1320" w:type="dxa"/>
            <w:gridSpan w:val="2"/>
            <w:vMerge w:val="restart"/>
            <w:tcBorders>
              <w:top w:val="single" w:sz="8"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6"/>
              <w:rPr>
                <w:b/>
                <w:sz w:val="18"/>
              </w:rPr>
            </w:pPr>
          </w:p>
          <w:p>
            <w:pPr>
              <w:pStyle w:val="TableParagraph"/>
              <w:spacing w:line="242" w:lineRule="auto"/>
              <w:ind w:left="123" w:right="135"/>
              <w:rPr>
                <w:sz w:val="21"/>
              </w:rPr>
            </w:pPr>
            <w:r>
              <w:rPr>
                <w:sz w:val="21"/>
              </w:rPr>
              <w:t>三、深入调整运输结构</w:t>
            </w:r>
          </w:p>
        </w:tc>
        <w:tc>
          <w:tcPr>
            <w:tcW w:w="3265" w:type="dxa"/>
            <w:tcBorders>
              <w:top w:val="single" w:sz="8" w:space="0" w:color="000000"/>
            </w:tcBorders>
          </w:tcPr>
          <w:p>
            <w:pPr>
              <w:pStyle w:val="TableParagraph"/>
              <w:spacing w:before="1" w:line="242" w:lineRule="auto"/>
              <w:ind w:left="106" w:right="100"/>
              <w:rPr>
                <w:sz w:val="21"/>
              </w:rPr>
            </w:pPr>
            <w:r>
              <w:rPr>
                <w:rFonts w:ascii="Times New Roman" w:eastAsia="Times New Roman"/>
                <w:w w:val="95"/>
                <w:sz w:val="21"/>
              </w:rPr>
              <w:t>1</w:t>
            </w:r>
            <w:r>
              <w:rPr>
                <w:w w:val="95"/>
                <w:sz w:val="21"/>
              </w:rPr>
              <w:t>、提升综合运输效能。初步形成</w:t>
            </w:r>
            <w:r>
              <w:rPr>
                <w:sz w:val="21"/>
              </w:rPr>
              <w:t>大宗货物和集装箱中长距离运输</w:t>
            </w:r>
            <w:r>
              <w:rPr>
                <w:spacing w:val="-6"/>
                <w:sz w:val="21"/>
              </w:rPr>
              <w:t xml:space="preserve">以铁路为主的格局。到 </w:t>
            </w:r>
            <w:r>
              <w:rPr>
                <w:rFonts w:ascii="Times New Roman" w:eastAsia="Times New Roman"/>
                <w:sz w:val="21"/>
              </w:rPr>
              <w:t xml:space="preserve">2023 </w:t>
            </w:r>
            <w:r>
              <w:rPr>
                <w:sz w:val="21"/>
              </w:rPr>
              <w:t xml:space="preserve">年， </w:t>
            </w:r>
            <w:r>
              <w:rPr>
                <w:spacing w:val="-7"/>
                <w:sz w:val="21"/>
              </w:rPr>
              <w:t xml:space="preserve">铁路货物周转量增长 </w:t>
            </w:r>
            <w:r>
              <w:rPr>
                <w:rFonts w:ascii="Times New Roman" w:eastAsia="Times New Roman"/>
                <w:sz w:val="21"/>
              </w:rPr>
              <w:t>3%</w:t>
            </w:r>
            <w:r>
              <w:rPr>
                <w:spacing w:val="-4"/>
                <w:sz w:val="21"/>
              </w:rPr>
              <w:t>。大力推</w:t>
            </w:r>
            <w:r>
              <w:rPr>
                <w:spacing w:val="-12"/>
                <w:sz w:val="21"/>
              </w:rPr>
              <w:t>进铁路专用线建设，支持煤炭、钢</w:t>
            </w:r>
            <w:r>
              <w:rPr>
                <w:spacing w:val="-11"/>
                <w:w w:val="95"/>
                <w:sz w:val="21"/>
              </w:rPr>
              <w:t>铁、电力、焦化、水泥、砂石等大</w:t>
            </w:r>
            <w:r>
              <w:rPr>
                <w:spacing w:val="-17"/>
                <w:sz w:val="21"/>
              </w:rPr>
              <w:t xml:space="preserve">宗货物年运输量 </w:t>
            </w:r>
            <w:r>
              <w:rPr>
                <w:rFonts w:ascii="Times New Roman" w:eastAsia="Times New Roman"/>
                <w:sz w:val="21"/>
              </w:rPr>
              <w:t xml:space="preserve">150 </w:t>
            </w:r>
            <w:r>
              <w:rPr>
                <w:sz w:val="21"/>
              </w:rPr>
              <w:t>万吨以上的</w:t>
            </w:r>
          </w:p>
          <w:p>
            <w:pPr>
              <w:pStyle w:val="TableParagraph"/>
              <w:spacing w:before="3" w:line="270" w:lineRule="atLeast"/>
              <w:ind w:left="106" w:right="208"/>
              <w:rPr>
                <w:sz w:val="21"/>
              </w:rPr>
            </w:pPr>
            <w:r>
              <w:rPr>
                <w:sz w:val="21"/>
              </w:rPr>
              <w:t>大型工矿企业以及大型物流园区新（改、扩）建铁路专用线。</w:t>
            </w:r>
          </w:p>
        </w:tc>
        <w:tc>
          <w:tcPr>
            <w:tcW w:w="2309" w:type="dxa"/>
            <w:gridSpan w:val="3"/>
            <w:vMerge w:val="restart"/>
            <w:tcBorders>
              <w:top w:val="single" w:sz="8"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0"/>
              <w:rPr>
                <w:b/>
                <w:sz w:val="27"/>
              </w:rPr>
            </w:pPr>
          </w:p>
          <w:p>
            <w:pPr>
              <w:pStyle w:val="TableParagraph"/>
              <w:spacing w:line="242" w:lineRule="auto"/>
              <w:ind w:left="105" w:right="110" w:hanging="1"/>
              <w:jc w:val="center"/>
              <w:rPr>
                <w:sz w:val="21"/>
              </w:rPr>
            </w:pPr>
            <w:r>
              <w:rPr>
                <w:sz w:val="21"/>
              </w:rPr>
              <w:t>本项目原材料及产品</w:t>
            </w:r>
            <w:r>
              <w:rPr>
                <w:spacing w:val="-4"/>
                <w:sz w:val="21"/>
              </w:rPr>
              <w:t>输送距离较短，可采用</w:t>
            </w:r>
            <w:r>
              <w:rPr>
                <w:sz w:val="21"/>
              </w:rPr>
              <w:t>公路运输，符合。</w:t>
            </w:r>
          </w:p>
        </w:tc>
        <w:tc>
          <w:tcPr>
            <w:tcW w:w="154" w:type="dxa"/>
            <w:vMerge w:val="restart"/>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362"/>
        </w:trPr>
        <w:tc>
          <w:tcPr>
            <w:tcW w:w="2183" w:type="dxa"/>
            <w:vMerge/>
            <w:tcBorders>
              <w:top w:val="nil"/>
            </w:tcBorders>
          </w:tcPr>
          <w:p>
            <w:pPr>
              <w:rPr>
                <w:sz w:val="2"/>
                <w:szCs w:val="2"/>
              </w:rPr>
            </w:pPr>
          </w:p>
        </w:tc>
        <w:tc>
          <w:tcPr>
            <w:tcW w:w="130" w:type="dxa"/>
            <w:vMerge/>
            <w:tcBorders>
              <w:top w:val="nil"/>
              <w:bottom w:val="nil"/>
            </w:tcBorders>
          </w:tcPr>
          <w:p>
            <w:pPr>
              <w:rPr>
                <w:sz w:val="2"/>
                <w:szCs w:val="2"/>
              </w:rPr>
            </w:pPr>
          </w:p>
        </w:tc>
        <w:tc>
          <w:tcPr>
            <w:tcW w:w="1320" w:type="dxa"/>
            <w:gridSpan w:val="2"/>
            <w:vMerge/>
            <w:tcBorders>
              <w:top w:val="nil"/>
            </w:tcBorders>
          </w:tcPr>
          <w:p>
            <w:pPr>
              <w:rPr>
                <w:sz w:val="2"/>
                <w:szCs w:val="2"/>
              </w:rPr>
            </w:pPr>
          </w:p>
        </w:tc>
        <w:tc>
          <w:tcPr>
            <w:tcW w:w="3265" w:type="dxa"/>
          </w:tcPr>
          <w:p>
            <w:pPr>
              <w:pStyle w:val="TableParagraph"/>
              <w:spacing w:line="242" w:lineRule="auto"/>
              <w:ind w:left="106" w:right="100"/>
              <w:jc w:val="both"/>
              <w:rPr>
                <w:sz w:val="21"/>
              </w:rPr>
            </w:pPr>
            <w:r>
              <w:rPr>
                <w:rFonts w:ascii="Times New Roman" w:eastAsia="Times New Roman"/>
                <w:w w:val="95"/>
                <w:sz w:val="21"/>
              </w:rPr>
              <w:t>2</w:t>
            </w:r>
            <w:r>
              <w:rPr>
                <w:w w:val="95"/>
                <w:sz w:val="21"/>
              </w:rPr>
              <w:t>、增加绿色低碳运输量。发展绿</w:t>
            </w:r>
            <w:r>
              <w:rPr>
                <w:spacing w:val="-12"/>
                <w:sz w:val="21"/>
              </w:rPr>
              <w:t>色交通，创建绿色铁路站、绿色港口。改造更新高耗能设施设备，推</w:t>
            </w:r>
          </w:p>
          <w:p>
            <w:pPr>
              <w:pStyle w:val="TableParagraph"/>
              <w:spacing w:before="3" w:line="270" w:lineRule="atLeast"/>
              <w:ind w:left="106" w:right="100"/>
              <w:rPr>
                <w:sz w:val="21"/>
              </w:rPr>
            </w:pPr>
            <w:r>
              <w:rPr>
                <w:spacing w:val="-11"/>
                <w:sz w:val="21"/>
              </w:rPr>
              <w:t>广施工材料、废旧材料再生和综合</w:t>
            </w:r>
            <w:r>
              <w:rPr>
                <w:sz w:val="21"/>
              </w:rPr>
              <w:t>利用。</w:t>
            </w:r>
          </w:p>
        </w:tc>
        <w:tc>
          <w:tcPr>
            <w:tcW w:w="2309" w:type="dxa"/>
            <w:gridSpan w:val="3"/>
            <w:vMerge/>
            <w:tcBorders>
              <w:top w:val="nil"/>
            </w:tcBorders>
          </w:tcPr>
          <w:p>
            <w:pPr>
              <w:rPr>
                <w:sz w:val="2"/>
                <w:szCs w:val="2"/>
              </w:rPr>
            </w:pPr>
          </w:p>
        </w:tc>
        <w:tc>
          <w:tcPr>
            <w:tcW w:w="154" w:type="dxa"/>
            <w:vMerge/>
            <w:tcBorders>
              <w:top w:val="nil"/>
              <w:bottom w:val="nil"/>
            </w:tcBorders>
          </w:tcPr>
          <w:p>
            <w:pPr>
              <w:rPr>
                <w:sz w:val="2"/>
                <w:szCs w:val="2"/>
              </w:rPr>
            </w:pPr>
          </w:p>
        </w:tc>
      </w:tr>
      <w:tr>
        <w:tblPrEx>
          <w:tblW w:w="0" w:type="auto"/>
          <w:tblInd w:w="241" w:type="dxa"/>
          <w:tblLayout w:type="fixed"/>
          <w:tblCellMar>
            <w:top w:w="0" w:type="dxa"/>
            <w:left w:w="0" w:type="dxa"/>
            <w:bottom w:w="0" w:type="dxa"/>
            <w:right w:w="0" w:type="dxa"/>
          </w:tblCellMar>
        </w:tblPrEx>
        <w:trPr>
          <w:trHeight w:val="1872"/>
        </w:trPr>
        <w:tc>
          <w:tcPr>
            <w:tcW w:w="2183" w:type="dxa"/>
            <w:vMerge/>
            <w:tcBorders>
              <w:top w:val="nil"/>
            </w:tcBorders>
          </w:tcPr>
          <w:p>
            <w:pPr>
              <w:rPr>
                <w:sz w:val="2"/>
                <w:szCs w:val="2"/>
              </w:rPr>
            </w:pPr>
          </w:p>
        </w:tc>
        <w:tc>
          <w:tcPr>
            <w:tcW w:w="7178" w:type="dxa"/>
            <w:gridSpan w:val="8"/>
          </w:tcPr>
          <w:p>
            <w:pPr>
              <w:pStyle w:val="TableParagraph"/>
              <w:spacing w:before="79" w:line="364" w:lineRule="auto"/>
              <w:ind w:left="107" w:right="98" w:firstLine="480"/>
              <w:rPr>
                <w:sz w:val="24"/>
              </w:rPr>
            </w:pPr>
            <w:r>
              <w:rPr>
                <w:sz w:val="24"/>
              </w:rPr>
              <w:t>由上表分析可知，项目建设符合《德州市新一轮“四减四增” 三年行动方案》 （</w:t>
            </w:r>
            <w:r>
              <w:rPr>
                <w:rFonts w:ascii="Times New Roman" w:eastAsia="Times New Roman" w:hAnsi="Times New Roman"/>
                <w:sz w:val="24"/>
              </w:rPr>
              <w:t xml:space="preserve">2021-2023  </w:t>
            </w:r>
            <w:r>
              <w:rPr>
                <w:sz w:val="24"/>
              </w:rPr>
              <w:t>年）的要求。</w:t>
            </w:r>
          </w:p>
          <w:p>
            <w:pPr>
              <w:pStyle w:val="TableParagraph"/>
              <w:spacing w:before="1"/>
              <w:ind w:left="587"/>
              <w:rPr>
                <w:b/>
                <w:sz w:val="24"/>
              </w:rPr>
            </w:pPr>
            <w:r>
              <w:rPr>
                <w:rFonts w:ascii="Times New Roman" w:eastAsia="Times New Roman"/>
                <w:b/>
                <w:sz w:val="24"/>
              </w:rPr>
              <w:t>5</w:t>
            </w:r>
            <w:r>
              <w:rPr>
                <w:b/>
                <w:sz w:val="24"/>
              </w:rPr>
              <w:t>、项目建设与环保部环评</w:t>
            </w:r>
            <w:r>
              <w:rPr>
                <w:rFonts w:ascii="Times New Roman" w:eastAsia="Times New Roman"/>
                <w:b/>
                <w:sz w:val="24"/>
              </w:rPr>
              <w:t xml:space="preserve">[2016]150 </w:t>
            </w:r>
            <w:r>
              <w:rPr>
                <w:b/>
                <w:sz w:val="24"/>
              </w:rPr>
              <w:t>号文的符合性分析</w:t>
            </w:r>
          </w:p>
          <w:p>
            <w:pPr>
              <w:pStyle w:val="TableParagraph"/>
              <w:spacing w:before="161"/>
              <w:ind w:left="555"/>
              <w:rPr>
                <w:b/>
                <w:sz w:val="24"/>
              </w:rPr>
            </w:pPr>
            <w:r>
              <w:rPr>
                <w:b/>
                <w:sz w:val="24"/>
              </w:rPr>
              <w:t xml:space="preserve">表 </w:t>
            </w:r>
            <w:r>
              <w:rPr>
                <w:rFonts w:ascii="Times New Roman" w:eastAsia="Times New Roman"/>
                <w:b/>
                <w:sz w:val="24"/>
              </w:rPr>
              <w:t xml:space="preserve">1-3 </w:t>
            </w:r>
            <w:r>
              <w:rPr>
                <w:b/>
                <w:sz w:val="24"/>
              </w:rPr>
              <w:t>本项目与环保部环评</w:t>
            </w:r>
            <w:r>
              <w:rPr>
                <w:rFonts w:ascii="Times New Roman" w:eastAsia="Times New Roman"/>
                <w:b/>
                <w:sz w:val="24"/>
              </w:rPr>
              <w:t xml:space="preserve">[2016]150 </w:t>
            </w:r>
            <w:r>
              <w:rPr>
                <w:b/>
                <w:sz w:val="24"/>
              </w:rPr>
              <w:t>号文符合情况分析表</w:t>
            </w:r>
          </w:p>
        </w:tc>
      </w:tr>
      <w:tr>
        <w:tblPrEx>
          <w:tblW w:w="0" w:type="auto"/>
          <w:tblInd w:w="241" w:type="dxa"/>
          <w:tblLayout w:type="fixed"/>
          <w:tblCellMar>
            <w:top w:w="0" w:type="dxa"/>
            <w:left w:w="0" w:type="dxa"/>
            <w:bottom w:w="0" w:type="dxa"/>
            <w:right w:w="0" w:type="dxa"/>
          </w:tblCellMar>
        </w:tblPrEx>
        <w:trPr>
          <w:trHeight w:val="545"/>
        </w:trPr>
        <w:tc>
          <w:tcPr>
            <w:tcW w:w="2183" w:type="dxa"/>
            <w:vMerge/>
            <w:tcBorders>
              <w:top w:val="nil"/>
            </w:tcBorders>
          </w:tcPr>
          <w:p>
            <w:pPr>
              <w:rPr>
                <w:sz w:val="2"/>
                <w:szCs w:val="2"/>
              </w:rPr>
            </w:pPr>
          </w:p>
        </w:tc>
        <w:tc>
          <w:tcPr>
            <w:tcW w:w="130" w:type="dxa"/>
            <w:vMerge w:val="restart"/>
            <w:tcBorders>
              <w:top w:val="nil"/>
            </w:tcBorders>
          </w:tcPr>
          <w:p>
            <w:pPr>
              <w:pStyle w:val="TableParagraph"/>
              <w:rPr>
                <w:rFonts w:ascii="Times New Roman"/>
                <w:sz w:val="20"/>
              </w:rPr>
            </w:pPr>
          </w:p>
        </w:tc>
        <w:tc>
          <w:tcPr>
            <w:tcW w:w="922" w:type="dxa"/>
          </w:tcPr>
          <w:p>
            <w:pPr>
              <w:pStyle w:val="TableParagraph"/>
              <w:spacing w:before="135"/>
              <w:ind w:left="257"/>
              <w:rPr>
                <w:b/>
                <w:sz w:val="21"/>
              </w:rPr>
            </w:pPr>
            <w:r>
              <w:rPr>
                <w:b/>
                <w:sz w:val="21"/>
              </w:rPr>
              <w:t>分类</w:t>
            </w:r>
          </w:p>
        </w:tc>
        <w:tc>
          <w:tcPr>
            <w:tcW w:w="3817" w:type="dxa"/>
            <w:gridSpan w:val="3"/>
          </w:tcPr>
          <w:p>
            <w:pPr>
              <w:pStyle w:val="TableParagraph"/>
              <w:spacing w:before="135"/>
              <w:ind w:left="1465" w:right="1457"/>
              <w:jc w:val="center"/>
              <w:rPr>
                <w:b/>
                <w:sz w:val="21"/>
              </w:rPr>
            </w:pPr>
            <w:r>
              <w:rPr>
                <w:b/>
                <w:sz w:val="21"/>
              </w:rPr>
              <w:t>文件要求</w:t>
            </w:r>
          </w:p>
        </w:tc>
        <w:tc>
          <w:tcPr>
            <w:tcW w:w="1499" w:type="dxa"/>
          </w:tcPr>
          <w:p>
            <w:pPr>
              <w:pStyle w:val="TableParagraph"/>
              <w:spacing w:before="135"/>
              <w:ind w:left="220"/>
              <w:rPr>
                <w:b/>
                <w:sz w:val="21"/>
              </w:rPr>
            </w:pPr>
            <w:r>
              <w:rPr>
                <w:b/>
                <w:sz w:val="21"/>
              </w:rPr>
              <w:t>本项目情况</w:t>
            </w:r>
          </w:p>
        </w:tc>
        <w:tc>
          <w:tcPr>
            <w:tcW w:w="656" w:type="dxa"/>
          </w:tcPr>
          <w:p>
            <w:pPr>
              <w:pStyle w:val="TableParagraph"/>
              <w:spacing w:before="1"/>
              <w:ind w:left="92" w:right="91"/>
              <w:jc w:val="center"/>
              <w:rPr>
                <w:b/>
                <w:sz w:val="21"/>
              </w:rPr>
            </w:pPr>
            <w:r>
              <w:rPr>
                <w:b/>
                <w:sz w:val="21"/>
              </w:rPr>
              <w:t>符合</w:t>
            </w:r>
          </w:p>
          <w:p>
            <w:pPr>
              <w:pStyle w:val="TableParagraph"/>
              <w:spacing w:before="2" w:line="253" w:lineRule="exact"/>
              <w:ind w:left="1"/>
              <w:jc w:val="center"/>
              <w:rPr>
                <w:b/>
                <w:sz w:val="21"/>
              </w:rPr>
            </w:pPr>
            <w:r>
              <w:rPr>
                <w:b/>
                <w:w w:val="99"/>
                <w:sz w:val="21"/>
              </w:rPr>
              <w:t>性</w:t>
            </w:r>
          </w:p>
        </w:tc>
        <w:tc>
          <w:tcPr>
            <w:tcW w:w="154"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535"/>
        </w:trPr>
        <w:tc>
          <w:tcPr>
            <w:tcW w:w="2183" w:type="dxa"/>
            <w:vMerge/>
            <w:tcBorders>
              <w:top w:val="nil"/>
            </w:tcBorders>
          </w:tcPr>
          <w:p>
            <w:pPr>
              <w:rPr>
                <w:sz w:val="2"/>
                <w:szCs w:val="2"/>
              </w:rPr>
            </w:pPr>
          </w:p>
        </w:tc>
        <w:tc>
          <w:tcPr>
            <w:tcW w:w="130" w:type="dxa"/>
            <w:vMerge/>
            <w:tcBorders>
              <w:top w:val="nil"/>
            </w:tcBorders>
          </w:tcPr>
          <w:p>
            <w:pPr>
              <w:rPr>
                <w:sz w:val="2"/>
                <w:szCs w:val="2"/>
              </w:rPr>
            </w:pPr>
          </w:p>
        </w:tc>
        <w:tc>
          <w:tcPr>
            <w:tcW w:w="922" w:type="dxa"/>
            <w:vMerge w:val="restart"/>
            <w:tcBorders>
              <w:bottom w:val="single" w:sz="8" w:space="0" w:color="000000"/>
            </w:tcBorders>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25"/>
              </w:rPr>
            </w:pPr>
          </w:p>
          <w:p>
            <w:pPr>
              <w:pStyle w:val="TableParagraph"/>
              <w:spacing w:before="1" w:line="242" w:lineRule="auto"/>
              <w:ind w:left="152" w:right="128" w:hanging="1"/>
              <w:jc w:val="center"/>
              <w:rPr>
                <w:sz w:val="21"/>
              </w:rPr>
            </w:pPr>
            <w:r>
              <w:rPr>
                <w:sz w:val="21"/>
              </w:rPr>
              <w:t xml:space="preserve">强化 </w:t>
            </w:r>
            <w:r>
              <w:rPr>
                <w:spacing w:val="-6"/>
                <w:sz w:val="21"/>
              </w:rPr>
              <w:t>“三线一单约</w:t>
            </w:r>
            <w:r>
              <w:rPr>
                <w:sz w:val="21"/>
              </w:rPr>
              <w:t>束作 用”</w:t>
            </w:r>
          </w:p>
        </w:tc>
        <w:tc>
          <w:tcPr>
            <w:tcW w:w="3817" w:type="dxa"/>
            <w:gridSpan w:val="3"/>
          </w:tcPr>
          <w:p>
            <w:pPr>
              <w:pStyle w:val="TableParagraph"/>
              <w:spacing w:line="242" w:lineRule="auto"/>
              <w:ind w:left="120" w:right="115"/>
              <w:jc w:val="both"/>
              <w:rPr>
                <w:sz w:val="21"/>
              </w:rPr>
            </w:pPr>
            <w:r>
              <w:rPr>
                <w:w w:val="95"/>
                <w:sz w:val="21"/>
              </w:rPr>
              <w:t>（一）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 依法不予审批新建工业项目和矿产开发</w:t>
            </w:r>
          </w:p>
          <w:p>
            <w:pPr>
              <w:pStyle w:val="TableParagraph"/>
              <w:spacing w:before="8" w:line="246" w:lineRule="exact"/>
              <w:ind w:left="1169"/>
              <w:rPr>
                <w:sz w:val="21"/>
              </w:rPr>
            </w:pPr>
            <w:r>
              <w:rPr>
                <w:sz w:val="21"/>
              </w:rPr>
              <w:t>项目的环评文件</w:t>
            </w:r>
          </w:p>
        </w:tc>
        <w:tc>
          <w:tcPr>
            <w:tcW w:w="1499" w:type="dxa"/>
          </w:tcPr>
          <w:p>
            <w:pPr>
              <w:pStyle w:val="TableParagraph"/>
              <w:rPr>
                <w:b/>
                <w:sz w:val="20"/>
              </w:rPr>
            </w:pPr>
          </w:p>
          <w:p>
            <w:pPr>
              <w:pStyle w:val="TableParagraph"/>
              <w:spacing w:before="7"/>
              <w:rPr>
                <w:b/>
                <w:sz w:val="22"/>
              </w:rPr>
            </w:pPr>
          </w:p>
          <w:p>
            <w:pPr>
              <w:pStyle w:val="TableParagraph"/>
              <w:spacing w:line="242" w:lineRule="auto"/>
              <w:ind w:left="102" w:right="-15" w:firstLine="12"/>
              <w:rPr>
                <w:sz w:val="21"/>
              </w:rPr>
            </w:pPr>
            <w:r>
              <w:rPr>
                <w:sz w:val="21"/>
              </w:rPr>
              <w:t>本项目符合环境保护法律法</w:t>
            </w:r>
            <w:r>
              <w:rPr>
                <w:spacing w:val="-13"/>
                <w:sz w:val="21"/>
              </w:rPr>
              <w:t>规、产业政策、相关技术规范及环境保护部和省环保厅的有关要求，不在德州市生态保护红线内</w:t>
            </w:r>
          </w:p>
        </w:tc>
        <w:tc>
          <w:tcPr>
            <w:tcW w:w="656"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5"/>
              <w:rPr>
                <w:b/>
                <w:sz w:val="27"/>
              </w:rPr>
            </w:pPr>
          </w:p>
          <w:p>
            <w:pPr>
              <w:pStyle w:val="TableParagraph"/>
              <w:ind w:left="113"/>
              <w:rPr>
                <w:sz w:val="21"/>
              </w:rPr>
            </w:pPr>
            <w:r>
              <w:rPr>
                <w:sz w:val="21"/>
              </w:rPr>
              <w:t>符合</w:t>
            </w:r>
          </w:p>
        </w:tc>
        <w:tc>
          <w:tcPr>
            <w:tcW w:w="154"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712"/>
        </w:trPr>
        <w:tc>
          <w:tcPr>
            <w:tcW w:w="2183" w:type="dxa"/>
            <w:vMerge/>
            <w:tcBorders>
              <w:top w:val="nil"/>
            </w:tcBorders>
          </w:tcPr>
          <w:p>
            <w:pPr>
              <w:rPr>
                <w:sz w:val="2"/>
                <w:szCs w:val="2"/>
              </w:rPr>
            </w:pPr>
          </w:p>
        </w:tc>
        <w:tc>
          <w:tcPr>
            <w:tcW w:w="130" w:type="dxa"/>
            <w:vMerge/>
            <w:tcBorders>
              <w:top w:val="nil"/>
            </w:tcBorders>
          </w:tcPr>
          <w:p>
            <w:pPr>
              <w:rPr>
                <w:sz w:val="2"/>
                <w:szCs w:val="2"/>
              </w:rPr>
            </w:pPr>
          </w:p>
        </w:tc>
        <w:tc>
          <w:tcPr>
            <w:tcW w:w="922" w:type="dxa"/>
            <w:vMerge/>
            <w:tcBorders>
              <w:top w:val="nil"/>
              <w:bottom w:val="single" w:sz="8" w:space="0" w:color="000000"/>
            </w:tcBorders>
          </w:tcPr>
          <w:p>
            <w:pPr>
              <w:rPr>
                <w:sz w:val="2"/>
                <w:szCs w:val="2"/>
              </w:rPr>
            </w:pPr>
          </w:p>
        </w:tc>
        <w:tc>
          <w:tcPr>
            <w:tcW w:w="3817" w:type="dxa"/>
            <w:gridSpan w:val="3"/>
          </w:tcPr>
          <w:p>
            <w:pPr>
              <w:pStyle w:val="TableParagraph"/>
              <w:spacing w:line="242" w:lineRule="auto"/>
              <w:ind w:left="120" w:right="115"/>
              <w:jc w:val="both"/>
              <w:rPr>
                <w:sz w:val="21"/>
              </w:rPr>
            </w:pPr>
            <w:r>
              <w:rPr>
                <w:w w:val="95"/>
                <w:sz w:val="21"/>
              </w:rPr>
              <w:t>（二）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w:t>
            </w:r>
          </w:p>
          <w:p>
            <w:pPr>
              <w:pStyle w:val="TableParagraph"/>
              <w:spacing w:line="270" w:lineRule="atLeast"/>
              <w:ind w:left="749" w:right="115" w:hanging="629"/>
              <w:rPr>
                <w:sz w:val="21"/>
              </w:rPr>
            </w:pPr>
            <w:r>
              <w:rPr>
                <w:w w:val="95"/>
                <w:sz w:val="21"/>
              </w:rPr>
              <w:t>设对环境质量的影响，强化污染防治措</w:t>
            </w:r>
            <w:r>
              <w:rPr>
                <w:sz w:val="21"/>
              </w:rPr>
              <w:t>施和污染物排放控制要求</w:t>
            </w:r>
          </w:p>
        </w:tc>
        <w:tc>
          <w:tcPr>
            <w:tcW w:w="1499" w:type="dxa"/>
          </w:tcPr>
          <w:p>
            <w:pPr>
              <w:pStyle w:val="TableParagraph"/>
              <w:spacing w:before="129" w:line="242" w:lineRule="auto"/>
              <w:ind w:left="114" w:right="114"/>
              <w:jc w:val="center"/>
              <w:rPr>
                <w:sz w:val="21"/>
              </w:rPr>
            </w:pPr>
            <w:r>
              <w:rPr>
                <w:spacing w:val="-3"/>
                <w:sz w:val="21"/>
              </w:rPr>
              <w:t>本项目结合自身项目特点， 深入分析预测项目建设对环</w:t>
            </w:r>
            <w:r>
              <w:rPr>
                <w:sz w:val="21"/>
              </w:rPr>
              <w:t xml:space="preserve">境质量的影 </w:t>
            </w:r>
            <w:r>
              <w:rPr>
                <w:spacing w:val="-3"/>
                <w:sz w:val="21"/>
              </w:rPr>
              <w:t>响，并提出了相关污染防治措施和污染物排放控制要求</w:t>
            </w:r>
          </w:p>
        </w:tc>
        <w:tc>
          <w:tcPr>
            <w:tcW w:w="656"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
              <w:rPr>
                <w:b/>
                <w:sz w:val="15"/>
              </w:rPr>
            </w:pPr>
          </w:p>
          <w:p>
            <w:pPr>
              <w:pStyle w:val="TableParagraph"/>
              <w:spacing w:before="1"/>
              <w:ind w:left="113"/>
              <w:rPr>
                <w:sz w:val="21"/>
              </w:rPr>
            </w:pPr>
            <w:r>
              <w:rPr>
                <w:sz w:val="21"/>
              </w:rPr>
              <w:t>符合</w:t>
            </w:r>
          </w:p>
        </w:tc>
        <w:tc>
          <w:tcPr>
            <w:tcW w:w="154"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1354"/>
        </w:trPr>
        <w:tc>
          <w:tcPr>
            <w:tcW w:w="2183" w:type="dxa"/>
            <w:vMerge/>
            <w:tcBorders>
              <w:top w:val="nil"/>
            </w:tcBorders>
          </w:tcPr>
          <w:p>
            <w:pPr>
              <w:rPr>
                <w:sz w:val="2"/>
                <w:szCs w:val="2"/>
              </w:rPr>
            </w:pPr>
          </w:p>
        </w:tc>
        <w:tc>
          <w:tcPr>
            <w:tcW w:w="130" w:type="dxa"/>
            <w:vMerge/>
            <w:tcBorders>
              <w:top w:val="nil"/>
            </w:tcBorders>
          </w:tcPr>
          <w:p>
            <w:pPr>
              <w:rPr>
                <w:sz w:val="2"/>
                <w:szCs w:val="2"/>
              </w:rPr>
            </w:pPr>
          </w:p>
        </w:tc>
        <w:tc>
          <w:tcPr>
            <w:tcW w:w="922" w:type="dxa"/>
            <w:vMerge/>
            <w:tcBorders>
              <w:top w:val="nil"/>
              <w:bottom w:val="single" w:sz="8" w:space="0" w:color="000000"/>
            </w:tcBorders>
          </w:tcPr>
          <w:p>
            <w:pPr>
              <w:rPr>
                <w:sz w:val="2"/>
                <w:szCs w:val="2"/>
              </w:rPr>
            </w:pPr>
          </w:p>
        </w:tc>
        <w:tc>
          <w:tcPr>
            <w:tcW w:w="3817" w:type="dxa"/>
            <w:gridSpan w:val="3"/>
            <w:tcBorders>
              <w:bottom w:val="single" w:sz="8" w:space="0" w:color="000000"/>
            </w:tcBorders>
          </w:tcPr>
          <w:p>
            <w:pPr>
              <w:pStyle w:val="TableParagraph"/>
              <w:spacing w:line="242" w:lineRule="auto"/>
              <w:ind w:left="120" w:right="115"/>
              <w:jc w:val="both"/>
              <w:rPr>
                <w:sz w:val="21"/>
              </w:rPr>
            </w:pPr>
            <w:r>
              <w:rPr>
                <w:w w:val="95"/>
                <w:sz w:val="21"/>
              </w:rPr>
              <w:t>（三）资源是环境的载体，资源利用上线是各地区能源、水、土地等资源消耗不得突破的“天花板”。相关规划环评</w:t>
            </w:r>
          </w:p>
          <w:p>
            <w:pPr>
              <w:pStyle w:val="TableParagraph"/>
              <w:spacing w:line="270" w:lineRule="atLeast"/>
              <w:ind w:left="120" w:right="115"/>
              <w:rPr>
                <w:sz w:val="21"/>
              </w:rPr>
            </w:pPr>
            <w:r>
              <w:rPr>
                <w:w w:val="95"/>
                <w:sz w:val="21"/>
              </w:rPr>
              <w:t>应依据有关资源利用上线，对规划实施以及规划内项目的资源开发利用，区分</w:t>
            </w:r>
          </w:p>
        </w:tc>
        <w:tc>
          <w:tcPr>
            <w:tcW w:w="1499" w:type="dxa"/>
            <w:tcBorders>
              <w:bottom w:val="single" w:sz="8" w:space="0" w:color="000000"/>
            </w:tcBorders>
          </w:tcPr>
          <w:p>
            <w:pPr>
              <w:pStyle w:val="TableParagraph"/>
              <w:spacing w:line="242" w:lineRule="auto"/>
              <w:ind w:left="114" w:right="114"/>
              <w:jc w:val="both"/>
              <w:rPr>
                <w:sz w:val="21"/>
              </w:rPr>
            </w:pPr>
            <w:r>
              <w:rPr>
                <w:spacing w:val="-3"/>
                <w:sz w:val="21"/>
              </w:rPr>
              <w:t>项目营运过程中消耗一定的</w:t>
            </w:r>
            <w:r>
              <w:rPr>
                <w:spacing w:val="-3"/>
                <w:w w:val="95"/>
                <w:sz w:val="21"/>
              </w:rPr>
              <w:t>能源、水、土</w:t>
            </w:r>
          </w:p>
          <w:p>
            <w:pPr>
              <w:pStyle w:val="TableParagraph"/>
              <w:spacing w:line="270" w:lineRule="atLeast"/>
              <w:ind w:left="114" w:right="114"/>
              <w:rPr>
                <w:sz w:val="21"/>
              </w:rPr>
            </w:pPr>
            <w:r>
              <w:rPr>
                <w:spacing w:val="-3"/>
                <w:sz w:val="21"/>
              </w:rPr>
              <w:t>地等资源，但</w:t>
            </w:r>
            <w:r>
              <w:rPr>
                <w:spacing w:val="-3"/>
                <w:w w:val="95"/>
                <w:sz w:val="21"/>
              </w:rPr>
              <w:t>项目不属于高</w:t>
            </w:r>
          </w:p>
        </w:tc>
        <w:tc>
          <w:tcPr>
            <w:tcW w:w="656" w:type="dxa"/>
            <w:tcBorders>
              <w:bottom w:val="single" w:sz="8" w:space="0" w:color="000000"/>
            </w:tcBorders>
          </w:tcPr>
          <w:p>
            <w:pPr>
              <w:pStyle w:val="TableParagraph"/>
              <w:rPr>
                <w:b/>
                <w:sz w:val="20"/>
              </w:rPr>
            </w:pPr>
          </w:p>
          <w:p>
            <w:pPr>
              <w:pStyle w:val="TableParagraph"/>
              <w:spacing w:before="1"/>
              <w:rPr>
                <w:b/>
                <w:sz w:val="22"/>
              </w:rPr>
            </w:pPr>
          </w:p>
          <w:p>
            <w:pPr>
              <w:pStyle w:val="TableParagraph"/>
              <w:ind w:left="113"/>
              <w:rPr>
                <w:sz w:val="21"/>
              </w:rPr>
            </w:pPr>
            <w:r>
              <w:rPr>
                <w:sz w:val="21"/>
              </w:rPr>
              <w:t>符合</w:t>
            </w:r>
          </w:p>
        </w:tc>
        <w:tc>
          <w:tcPr>
            <w:tcW w:w="154" w:type="dxa"/>
            <w:tcBorders>
              <w:top w:val="nil"/>
            </w:tcBorders>
          </w:tcPr>
          <w:p>
            <w:pPr>
              <w:pStyle w:val="TableParagraph"/>
              <w:rPr>
                <w:rFonts w:ascii="Times New Roman"/>
                <w:sz w:val="20"/>
              </w:rPr>
            </w:pPr>
          </w:p>
        </w:tc>
      </w:tr>
    </w:tbl>
    <w:p>
      <w:pPr>
        <w:spacing w:after="0"/>
        <w:rPr>
          <w:rFonts w:ascii="Times New Roman"/>
          <w:sz w:val="20"/>
        </w:rPr>
        <w:sectPr>
          <w:footerReference w:type="default" r:id="rId14"/>
          <w:pgSz w:w="11910" w:h="16840"/>
          <w:pgMar w:top="1420" w:right="980" w:bottom="1240" w:left="1040" w:header="0" w:footer="1050" w:gutter="0"/>
          <w:pgNumType w:start="10"/>
          <w:cols w:num="1" w:space="720"/>
        </w:sectPr>
      </w:pPr>
    </w:p>
    <w:tbl>
      <w:tblPr>
        <w:tblStyle w:val="TableNormal"/>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183"/>
        <w:gridCol w:w="146"/>
        <w:gridCol w:w="905"/>
        <w:gridCol w:w="3814"/>
        <w:gridCol w:w="1498"/>
        <w:gridCol w:w="661"/>
        <w:gridCol w:w="147"/>
      </w:tblGrid>
      <w:tr>
        <w:tblPrEx>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1088"/>
        </w:trPr>
        <w:tc>
          <w:tcPr>
            <w:tcW w:w="2183" w:type="dxa"/>
            <w:vMerge w:val="restart"/>
          </w:tcPr>
          <w:p>
            <w:pPr>
              <w:pStyle w:val="TableParagraph"/>
              <w:rPr>
                <w:rFonts w:ascii="Times New Roman"/>
                <w:sz w:val="20"/>
              </w:rPr>
            </w:pPr>
          </w:p>
        </w:tc>
        <w:tc>
          <w:tcPr>
            <w:tcW w:w="146" w:type="dxa"/>
            <w:vMerge w:val="restart"/>
            <w:tcBorders>
              <w:bottom w:val="nil"/>
            </w:tcBorders>
          </w:tcPr>
          <w:p>
            <w:pPr>
              <w:pStyle w:val="TableParagraph"/>
              <w:rPr>
                <w:rFonts w:ascii="Times New Roman"/>
                <w:sz w:val="20"/>
              </w:rPr>
            </w:pPr>
          </w:p>
        </w:tc>
        <w:tc>
          <w:tcPr>
            <w:tcW w:w="905" w:type="dxa"/>
            <w:vMerge w:val="restart"/>
            <w:tcBorders>
              <w:top w:val="single" w:sz="8" w:space="0" w:color="000000"/>
            </w:tcBorders>
          </w:tcPr>
          <w:p>
            <w:pPr>
              <w:pStyle w:val="TableParagraph"/>
              <w:rPr>
                <w:rFonts w:ascii="Times New Roman"/>
                <w:sz w:val="20"/>
              </w:rPr>
            </w:pPr>
          </w:p>
        </w:tc>
        <w:tc>
          <w:tcPr>
            <w:tcW w:w="3814" w:type="dxa"/>
            <w:tcBorders>
              <w:top w:val="single" w:sz="8" w:space="0" w:color="000000"/>
            </w:tcBorders>
          </w:tcPr>
          <w:p>
            <w:pPr>
              <w:pStyle w:val="TableParagraph"/>
              <w:spacing w:before="1" w:line="242" w:lineRule="auto"/>
              <w:ind w:left="121" w:right="111"/>
              <w:jc w:val="both"/>
              <w:rPr>
                <w:sz w:val="21"/>
              </w:rPr>
            </w:pPr>
            <w:r>
              <w:rPr>
                <w:w w:val="95"/>
                <w:sz w:val="21"/>
              </w:rPr>
              <w:t>不同行业，从能源资源开发等量或减量替代、开采方式和规模控制、利用效率和保护措施等方面提出建议，为规划编</w:t>
            </w:r>
          </w:p>
          <w:p>
            <w:pPr>
              <w:pStyle w:val="TableParagraph"/>
              <w:spacing w:before="1" w:line="251" w:lineRule="exact"/>
              <w:ind w:left="647"/>
              <w:rPr>
                <w:sz w:val="21"/>
              </w:rPr>
            </w:pPr>
            <w:r>
              <w:rPr>
                <w:sz w:val="21"/>
              </w:rPr>
              <w:t>制和审批决策提供重要依据</w:t>
            </w:r>
          </w:p>
        </w:tc>
        <w:tc>
          <w:tcPr>
            <w:tcW w:w="1498" w:type="dxa"/>
            <w:tcBorders>
              <w:top w:val="single" w:sz="8" w:space="0" w:color="000000"/>
            </w:tcBorders>
          </w:tcPr>
          <w:p>
            <w:pPr>
              <w:pStyle w:val="TableParagraph"/>
              <w:spacing w:before="1" w:line="242" w:lineRule="auto"/>
              <w:ind w:left="118" w:right="109"/>
              <w:jc w:val="both"/>
              <w:rPr>
                <w:sz w:val="21"/>
              </w:rPr>
            </w:pPr>
            <w:r>
              <w:rPr>
                <w:sz w:val="21"/>
              </w:rPr>
              <w:t>耗能行业，资源消耗量相对区域资源利用</w:t>
            </w:r>
          </w:p>
          <w:p>
            <w:pPr>
              <w:pStyle w:val="TableParagraph"/>
              <w:spacing w:before="1" w:line="251" w:lineRule="exact"/>
              <w:ind w:left="327"/>
              <w:rPr>
                <w:sz w:val="21"/>
              </w:rPr>
            </w:pPr>
            <w:r>
              <w:rPr>
                <w:sz w:val="21"/>
              </w:rPr>
              <w:t>总量较少</w:t>
            </w:r>
          </w:p>
        </w:tc>
        <w:tc>
          <w:tcPr>
            <w:tcW w:w="661" w:type="dxa"/>
            <w:tcBorders>
              <w:top w:val="single" w:sz="8" w:space="0" w:color="000000"/>
            </w:tcBorders>
          </w:tcPr>
          <w:p>
            <w:pPr>
              <w:pStyle w:val="TableParagraph"/>
              <w:rPr>
                <w:rFonts w:ascii="Times New Roman"/>
                <w:sz w:val="20"/>
              </w:rPr>
            </w:pPr>
          </w:p>
        </w:tc>
        <w:tc>
          <w:tcPr>
            <w:tcW w:w="147" w:type="dxa"/>
            <w:tcBorders>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3541"/>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905" w:type="dxa"/>
            <w:vMerge/>
            <w:tcBorders>
              <w:top w:val="nil"/>
            </w:tcBorders>
          </w:tcPr>
          <w:p>
            <w:pPr>
              <w:rPr>
                <w:sz w:val="2"/>
                <w:szCs w:val="2"/>
              </w:rPr>
            </w:pPr>
          </w:p>
        </w:tc>
        <w:tc>
          <w:tcPr>
            <w:tcW w:w="3814" w:type="dxa"/>
          </w:tcPr>
          <w:p>
            <w:pPr>
              <w:pStyle w:val="TableParagraph"/>
              <w:rPr>
                <w:b/>
                <w:sz w:val="20"/>
              </w:rPr>
            </w:pPr>
          </w:p>
          <w:p>
            <w:pPr>
              <w:pStyle w:val="TableParagraph"/>
              <w:spacing w:before="6"/>
              <w:rPr>
                <w:b/>
                <w:sz w:val="22"/>
              </w:rPr>
            </w:pPr>
          </w:p>
          <w:p>
            <w:pPr>
              <w:pStyle w:val="TableParagraph"/>
              <w:spacing w:line="242" w:lineRule="auto"/>
              <w:ind w:left="107" w:right="-15" w:hanging="109"/>
              <w:jc w:val="center"/>
              <w:rPr>
                <w:sz w:val="21"/>
              </w:rPr>
            </w:pPr>
            <w:r>
              <w:rPr>
                <w:sz w:val="21"/>
              </w:rPr>
              <w:t xml:space="preserve">（四）环境准入负面清单是基于生态保 </w:t>
            </w:r>
            <w:r>
              <w:rPr>
                <w:spacing w:val="-9"/>
                <w:w w:val="95"/>
                <w:sz w:val="21"/>
              </w:rPr>
              <w:t xml:space="preserve">护红线、环境质量底线和资源利用上线， </w:t>
            </w:r>
            <w:r>
              <w:rPr>
                <w:spacing w:val="-9"/>
                <w:sz w:val="21"/>
              </w:rPr>
              <w:t>以清单方式列出的禁止、限制等差别化 环境准入条件和要求。要在规划环评清 单式管理试点的基础上，从布局选址、 资源利用效率、资源配置方式等方面入 手，制定环境准入负面清单，充分发挥 负面清单对产业发展和项目准入的指导 和约束作用</w:t>
            </w:r>
          </w:p>
        </w:tc>
        <w:tc>
          <w:tcPr>
            <w:tcW w:w="1498" w:type="dxa"/>
          </w:tcPr>
          <w:p>
            <w:pPr>
              <w:pStyle w:val="TableParagraph"/>
              <w:spacing w:before="2" w:line="242" w:lineRule="auto"/>
              <w:ind w:left="106" w:right="-15" w:firstLine="12"/>
              <w:rPr>
                <w:sz w:val="21"/>
              </w:rPr>
            </w:pPr>
            <w:r>
              <w:rPr>
                <w:sz w:val="21"/>
              </w:rPr>
              <w:t>本项目符合所在地环境准入负面清单，项目涉及的生产工艺、生产设备不属于《产业结构调整指导目录（</w:t>
            </w:r>
            <w:r>
              <w:rPr>
                <w:rFonts w:ascii="Times New Roman" w:eastAsia="Times New Roman"/>
                <w:sz w:val="21"/>
              </w:rPr>
              <w:t xml:space="preserve">2019 </w:t>
            </w:r>
            <w:r>
              <w:rPr>
                <w:sz w:val="21"/>
              </w:rPr>
              <w:t>年本）》中的限制类、淘汰</w:t>
            </w:r>
            <w:r>
              <w:rPr>
                <w:spacing w:val="-13"/>
                <w:sz w:val="21"/>
              </w:rPr>
              <w:t>类工艺、设备， 为允许建设项</w:t>
            </w:r>
          </w:p>
          <w:p>
            <w:pPr>
              <w:pStyle w:val="TableParagraph"/>
              <w:spacing w:before="5" w:line="253" w:lineRule="exact"/>
              <w:ind w:left="644"/>
              <w:rPr>
                <w:sz w:val="21"/>
              </w:rPr>
            </w:pPr>
            <w:r>
              <w:rPr>
                <w:w w:val="99"/>
                <w:sz w:val="21"/>
              </w:rPr>
              <w:t>目</w:t>
            </w:r>
          </w:p>
        </w:tc>
        <w:tc>
          <w:tcPr>
            <w:tcW w:w="661"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6"/>
              <w:rPr>
                <w:b/>
                <w:sz w:val="27"/>
              </w:rPr>
            </w:pPr>
          </w:p>
          <w:p>
            <w:pPr>
              <w:pStyle w:val="TableParagraph"/>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451"/>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905"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9"/>
              <w:rPr>
                <w:b/>
                <w:sz w:val="27"/>
              </w:rPr>
            </w:pPr>
          </w:p>
          <w:p>
            <w:pPr>
              <w:pStyle w:val="TableParagraph"/>
              <w:spacing w:line="242" w:lineRule="auto"/>
              <w:ind w:left="136" w:right="127" w:hanging="1"/>
              <w:jc w:val="center"/>
              <w:rPr>
                <w:sz w:val="21"/>
              </w:rPr>
            </w:pPr>
            <w:r>
              <w:rPr>
                <w:sz w:val="21"/>
              </w:rPr>
              <w:t xml:space="preserve">建立 </w:t>
            </w:r>
            <w:r>
              <w:rPr>
                <w:spacing w:val="-6"/>
                <w:sz w:val="21"/>
              </w:rPr>
              <w:t>“三挂</w:t>
            </w:r>
          </w:p>
          <w:p>
            <w:pPr>
              <w:pStyle w:val="TableParagraph"/>
              <w:spacing w:line="244" w:lineRule="auto"/>
              <w:ind w:left="136" w:right="127"/>
              <w:jc w:val="center"/>
              <w:rPr>
                <w:sz w:val="21"/>
              </w:rPr>
            </w:pPr>
            <w:r>
              <w:rPr>
                <w:sz w:val="21"/>
              </w:rPr>
              <w:t>钩”机制</w:t>
            </w:r>
          </w:p>
        </w:tc>
        <w:tc>
          <w:tcPr>
            <w:tcW w:w="3814" w:type="dxa"/>
          </w:tcPr>
          <w:p>
            <w:pPr>
              <w:pStyle w:val="TableParagraph"/>
              <w:spacing w:line="242" w:lineRule="auto"/>
              <w:ind w:left="107" w:right="-15" w:firstLine="14"/>
              <w:rPr>
                <w:sz w:val="21"/>
              </w:rPr>
            </w:pPr>
            <w:r>
              <w:rPr>
                <w:sz w:val="21"/>
              </w:rPr>
              <w:t>（五）加强规划环评与建设项目环评联动。规划环评要探索清单式管理，在结论和审查意见中明确“三线一单”相关</w:t>
            </w:r>
            <w:r>
              <w:rPr>
                <w:spacing w:val="-9"/>
                <w:sz w:val="21"/>
              </w:rPr>
              <w:t>管控要求，并推动将管控要求纳入规划。规划环评要作为规划所包含项目环评的重要依据，对于不符合规划环评结论及审查意见的项目环评，依法不予审批。规划所包含项目的环评内容，应当根据</w:t>
            </w:r>
          </w:p>
          <w:p>
            <w:pPr>
              <w:pStyle w:val="TableParagraph"/>
              <w:spacing w:before="3" w:line="254" w:lineRule="exact"/>
              <w:ind w:left="330"/>
              <w:rPr>
                <w:sz w:val="21"/>
              </w:rPr>
            </w:pPr>
            <w:r>
              <w:rPr>
                <w:sz w:val="21"/>
              </w:rPr>
              <w:t>规划环评结论和审查意见予以简化</w:t>
            </w:r>
          </w:p>
        </w:tc>
        <w:tc>
          <w:tcPr>
            <w:tcW w:w="1498" w:type="dxa"/>
          </w:tcPr>
          <w:p>
            <w:pPr>
              <w:pStyle w:val="TableParagraph"/>
              <w:rPr>
                <w:b/>
                <w:sz w:val="20"/>
              </w:rPr>
            </w:pPr>
          </w:p>
          <w:p>
            <w:pPr>
              <w:pStyle w:val="TableParagraph"/>
              <w:rPr>
                <w:b/>
                <w:sz w:val="20"/>
              </w:rPr>
            </w:pPr>
          </w:p>
          <w:p>
            <w:pPr>
              <w:pStyle w:val="TableParagraph"/>
              <w:spacing w:before="167" w:line="242" w:lineRule="auto"/>
              <w:ind w:left="118" w:right="109"/>
              <w:jc w:val="center"/>
              <w:rPr>
                <w:sz w:val="21"/>
              </w:rPr>
            </w:pPr>
            <w:r>
              <w:rPr>
                <w:sz w:val="21"/>
              </w:rPr>
              <w:t>本项目环评对验收及监管计划进行了讨论及论述。</w:t>
            </w:r>
          </w:p>
        </w:tc>
        <w:tc>
          <w:tcPr>
            <w:tcW w:w="661" w:type="dxa"/>
          </w:tcPr>
          <w:p>
            <w:pPr>
              <w:pStyle w:val="TableParagraph"/>
              <w:rPr>
                <w:b/>
                <w:sz w:val="20"/>
              </w:rPr>
            </w:pPr>
          </w:p>
          <w:p>
            <w:pPr>
              <w:pStyle w:val="TableParagraph"/>
              <w:rPr>
                <w:b/>
                <w:sz w:val="20"/>
              </w:rPr>
            </w:pPr>
          </w:p>
          <w:p>
            <w:pPr>
              <w:pStyle w:val="TableParagraph"/>
              <w:rPr>
                <w:b/>
                <w:sz w:val="20"/>
              </w:rPr>
            </w:pPr>
          </w:p>
          <w:p>
            <w:pPr>
              <w:pStyle w:val="TableParagraph"/>
              <w:rPr>
                <w:b/>
                <w:sz w:val="25"/>
              </w:rPr>
            </w:pPr>
          </w:p>
          <w:p>
            <w:pPr>
              <w:pStyle w:val="TableParagraph"/>
              <w:spacing w:before="1"/>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996"/>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905" w:type="dxa"/>
            <w:vMerge/>
            <w:tcBorders>
              <w:top w:val="nil"/>
            </w:tcBorders>
          </w:tcPr>
          <w:p>
            <w:pPr>
              <w:rPr>
                <w:sz w:val="2"/>
                <w:szCs w:val="2"/>
              </w:rPr>
            </w:pPr>
          </w:p>
        </w:tc>
        <w:tc>
          <w:tcPr>
            <w:tcW w:w="3814" w:type="dxa"/>
          </w:tcPr>
          <w:p>
            <w:pPr>
              <w:pStyle w:val="TableParagraph"/>
              <w:spacing w:line="242" w:lineRule="auto"/>
              <w:ind w:left="121" w:right="111"/>
              <w:jc w:val="both"/>
              <w:rPr>
                <w:sz w:val="21"/>
              </w:rPr>
            </w:pPr>
            <w:r>
              <w:rPr>
                <w:w w:val="95"/>
                <w:sz w:val="21"/>
              </w:rPr>
              <w:t>（六）建立项目环评审批与现有项目环境管理联动机制。对于现有同类型项目环境污染或生态破坏严重、环境违法违规现象多发，致使环境容量接近或超过承载能力的地区，在现有问题整改到位前，依法暂停审批该地区同类行业的项目环评文件。改建、扩建和技术改造项目，应对现有工程的环境保护措施及效果进行全面梳理；如现有工程已经造成</w:t>
            </w:r>
          </w:p>
          <w:p>
            <w:pPr>
              <w:pStyle w:val="TableParagraph"/>
              <w:spacing w:before="5" w:line="270" w:lineRule="atLeast"/>
              <w:ind w:left="961" w:right="111" w:hanging="840"/>
              <w:rPr>
                <w:sz w:val="21"/>
              </w:rPr>
            </w:pPr>
            <w:r>
              <w:rPr>
                <w:w w:val="95"/>
                <w:sz w:val="21"/>
              </w:rPr>
              <w:t>明显环境问题，应提出有效的整改方案</w:t>
            </w:r>
            <w:r>
              <w:rPr>
                <w:sz w:val="21"/>
              </w:rPr>
              <w:t>和“以新带老”措施</w:t>
            </w:r>
          </w:p>
        </w:tc>
        <w:tc>
          <w:tcPr>
            <w:tcW w:w="1498" w:type="dxa"/>
          </w:tcPr>
          <w:p>
            <w:pPr>
              <w:pStyle w:val="TableParagraph"/>
              <w:spacing w:line="242" w:lineRule="auto"/>
              <w:ind w:left="118" w:right="109"/>
              <w:jc w:val="both"/>
              <w:rPr>
                <w:sz w:val="21"/>
              </w:rPr>
            </w:pPr>
            <w:r>
              <w:rPr>
                <w:sz w:val="21"/>
              </w:rPr>
              <w:t>本项目属于新建项目，且通过分析，不会对周边环境空气、水环境及声环境造成明显影响，并对可能出现的环境影响提出了</w:t>
            </w:r>
          </w:p>
          <w:p>
            <w:pPr>
              <w:pStyle w:val="TableParagraph"/>
              <w:spacing w:before="5" w:line="270" w:lineRule="atLeast"/>
              <w:ind w:left="644" w:right="109" w:hanging="526"/>
              <w:rPr>
                <w:sz w:val="21"/>
              </w:rPr>
            </w:pPr>
            <w:r>
              <w:rPr>
                <w:sz w:val="21"/>
              </w:rPr>
              <w:t>相应的环保措施</w:t>
            </w:r>
          </w:p>
        </w:tc>
        <w:tc>
          <w:tcPr>
            <w:tcW w:w="661"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2"/>
              <w:rPr>
                <w:b/>
                <w:sz w:val="26"/>
              </w:rPr>
            </w:pPr>
          </w:p>
          <w:p>
            <w:pPr>
              <w:pStyle w:val="TableParagraph"/>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2995"/>
        </w:trPr>
        <w:tc>
          <w:tcPr>
            <w:tcW w:w="2183" w:type="dxa"/>
            <w:vMerge/>
            <w:tcBorders>
              <w:top w:val="nil"/>
            </w:tcBorders>
          </w:tcPr>
          <w:p>
            <w:pPr>
              <w:rPr>
                <w:sz w:val="2"/>
                <w:szCs w:val="2"/>
              </w:rPr>
            </w:pPr>
          </w:p>
        </w:tc>
        <w:tc>
          <w:tcPr>
            <w:tcW w:w="146" w:type="dxa"/>
            <w:vMerge/>
            <w:tcBorders>
              <w:top w:val="nil"/>
              <w:bottom w:val="nil"/>
            </w:tcBorders>
          </w:tcPr>
          <w:p>
            <w:pPr>
              <w:rPr>
                <w:sz w:val="2"/>
                <w:szCs w:val="2"/>
              </w:rPr>
            </w:pPr>
          </w:p>
        </w:tc>
        <w:tc>
          <w:tcPr>
            <w:tcW w:w="905" w:type="dxa"/>
            <w:vMerge/>
            <w:tcBorders>
              <w:top w:val="nil"/>
            </w:tcBorders>
          </w:tcPr>
          <w:p>
            <w:pPr>
              <w:rPr>
                <w:sz w:val="2"/>
                <w:szCs w:val="2"/>
              </w:rPr>
            </w:pPr>
          </w:p>
        </w:tc>
        <w:tc>
          <w:tcPr>
            <w:tcW w:w="3814" w:type="dxa"/>
          </w:tcPr>
          <w:p>
            <w:pPr>
              <w:pStyle w:val="TableParagraph"/>
              <w:spacing w:line="242" w:lineRule="auto"/>
              <w:ind w:left="121" w:right="111"/>
              <w:jc w:val="both"/>
              <w:rPr>
                <w:sz w:val="21"/>
              </w:rPr>
            </w:pPr>
            <w:r>
              <w:rPr>
                <w:w w:val="95"/>
                <w:sz w:val="21"/>
              </w:rPr>
              <w:t>（七）建立项目环评审批与区域环境质量联动机制。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严格控制在优先保护类耕地集中区域新建有色金属冶炼、石油加工、化工、焦</w:t>
            </w:r>
          </w:p>
          <w:p>
            <w:pPr>
              <w:pStyle w:val="TableParagraph"/>
              <w:spacing w:before="4" w:line="254" w:lineRule="exact"/>
              <w:ind w:left="856"/>
              <w:rPr>
                <w:sz w:val="21"/>
              </w:rPr>
            </w:pPr>
            <w:r>
              <w:rPr>
                <w:sz w:val="21"/>
              </w:rPr>
              <w:t>化、电镀、制革等项目</w:t>
            </w:r>
          </w:p>
        </w:tc>
        <w:tc>
          <w:tcPr>
            <w:tcW w:w="1498" w:type="dxa"/>
          </w:tcPr>
          <w:p>
            <w:pPr>
              <w:pStyle w:val="TableParagraph"/>
              <w:rPr>
                <w:b/>
                <w:sz w:val="20"/>
              </w:rPr>
            </w:pPr>
          </w:p>
          <w:p>
            <w:pPr>
              <w:pStyle w:val="TableParagraph"/>
              <w:rPr>
                <w:b/>
                <w:sz w:val="20"/>
              </w:rPr>
            </w:pPr>
          </w:p>
          <w:p>
            <w:pPr>
              <w:pStyle w:val="TableParagraph"/>
              <w:spacing w:before="167" w:line="242" w:lineRule="auto"/>
              <w:ind w:left="118" w:right="109"/>
              <w:jc w:val="center"/>
              <w:rPr>
                <w:sz w:val="21"/>
              </w:rPr>
            </w:pPr>
            <w:r>
              <w:rPr>
                <w:sz w:val="21"/>
              </w:rPr>
              <w:t>本项目采取相应的环保措施后，可以满足区域环境质量改善目标管理要求</w:t>
            </w:r>
          </w:p>
        </w:tc>
        <w:tc>
          <w:tcPr>
            <w:tcW w:w="661" w:type="dxa"/>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3"/>
              <w:rPr>
                <w:b/>
                <w:sz w:val="26"/>
              </w:rPr>
            </w:pPr>
          </w:p>
          <w:p>
            <w:pPr>
              <w:pStyle w:val="TableParagraph"/>
              <w:ind w:left="118"/>
              <w:rPr>
                <w:sz w:val="21"/>
              </w:rPr>
            </w:pPr>
            <w:r>
              <w:rPr>
                <w:sz w:val="21"/>
              </w:rPr>
              <w:t>符合</w:t>
            </w:r>
          </w:p>
        </w:tc>
        <w:tc>
          <w:tcPr>
            <w:tcW w:w="147" w:type="dxa"/>
            <w:tcBorders>
              <w:top w:val="nil"/>
              <w:bottom w:val="nil"/>
            </w:tcBorders>
          </w:tcPr>
          <w:p>
            <w:pPr>
              <w:pStyle w:val="TableParagraph"/>
              <w:rPr>
                <w:rFonts w:ascii="Times New Roman"/>
                <w:sz w:val="20"/>
              </w:rPr>
            </w:pPr>
          </w:p>
        </w:tc>
      </w:tr>
      <w:tr>
        <w:tblPrEx>
          <w:tblW w:w="0" w:type="auto"/>
          <w:tblInd w:w="241" w:type="dxa"/>
          <w:tblLayout w:type="fixed"/>
          <w:tblCellMar>
            <w:top w:w="0" w:type="dxa"/>
            <w:left w:w="0" w:type="dxa"/>
            <w:bottom w:w="0" w:type="dxa"/>
            <w:right w:w="0" w:type="dxa"/>
          </w:tblCellMar>
        </w:tblPrEx>
        <w:trPr>
          <w:trHeight w:val="476"/>
        </w:trPr>
        <w:tc>
          <w:tcPr>
            <w:tcW w:w="2183" w:type="dxa"/>
            <w:vMerge/>
            <w:tcBorders>
              <w:top w:val="nil"/>
            </w:tcBorders>
          </w:tcPr>
          <w:p>
            <w:pPr>
              <w:rPr>
                <w:sz w:val="2"/>
                <w:szCs w:val="2"/>
              </w:rPr>
            </w:pPr>
          </w:p>
        </w:tc>
        <w:tc>
          <w:tcPr>
            <w:tcW w:w="7171" w:type="dxa"/>
            <w:gridSpan w:val="6"/>
          </w:tcPr>
          <w:p>
            <w:pPr>
              <w:pStyle w:val="TableParagraph"/>
              <w:spacing w:before="80"/>
              <w:ind w:left="587"/>
              <w:rPr>
                <w:sz w:val="24"/>
              </w:rPr>
            </w:pPr>
            <w:bookmarkStart w:id="0" w:name="由表可知，本项目的建设满足环保部环评[2016]150号文的相关要求。"/>
            <w:bookmarkEnd w:id="0"/>
            <w:r>
              <w:rPr>
                <w:spacing w:val="-11"/>
                <w:sz w:val="24"/>
              </w:rPr>
              <w:t>由表可知，本项目的建设满足环保部环评</w:t>
            </w:r>
            <w:r>
              <w:rPr>
                <w:rFonts w:ascii="Times New Roman" w:eastAsia="Times New Roman"/>
                <w:sz w:val="24"/>
              </w:rPr>
              <w:t xml:space="preserve">[2016]150 </w:t>
            </w:r>
            <w:r>
              <w:rPr>
                <w:sz w:val="24"/>
              </w:rPr>
              <w:t>号文的相关</w:t>
            </w:r>
          </w:p>
        </w:tc>
      </w:tr>
    </w:tbl>
    <w:p>
      <w:pPr>
        <w:spacing w:after="0"/>
        <w:rPr>
          <w:sz w:val="24"/>
        </w:rPr>
        <w:sectPr>
          <w:footerReference w:type="default" r:id="rId15"/>
          <w:pgSz w:w="11910" w:h="16840"/>
          <w:pgMar w:top="1420" w:right="980" w:bottom="1240" w:left="1040" w:header="0" w:footer="1050" w:gutter="0"/>
          <w:pgNumType w:start="11"/>
          <w:cols w:num="1" w:space="720"/>
        </w:sectPr>
      </w:pPr>
    </w:p>
    <w:p>
      <w:pPr>
        <w:pStyle w:val="BodyText"/>
        <w:spacing w:before="92"/>
        <w:ind w:left="2526"/>
      </w:pPr>
      <w:r>
        <w:pict>
          <v:shape id="_x0000_s1032" o:spid="_x0000_s1031" style="width:468.2pt;height:678.2pt;margin-top:91.7pt;margin-left:63.55pt;mso-height-relative:page;mso-position-horizontal-relative:page;mso-position-vertical-relative:page;mso-width-relative:page;position:absolute;z-index:-251652096" coordorigin="1271,1834" coordsize="9364,13564" path="m1271,1445l10635,1445m1271,15004l10635,15004m1276,1440l1276,14999m3459,1440l3459,14999m10630,1440l10630,14999e" filled="f" stroked="t" strokecolor="black">
            <v:path arrowok="t"/>
          </v:shape>
        </w:pict>
      </w:r>
      <w:r>
        <w:t>要求。</w:t>
      </w:r>
    </w:p>
    <w:p>
      <w:pPr>
        <w:pStyle w:val="Heading2"/>
        <w:spacing w:before="83"/>
        <w:ind w:left="3006"/>
        <w:rPr>
          <w:rFonts w:ascii="Times New Roman" w:eastAsia="Times New Roman"/>
        </w:rPr>
      </w:pPr>
      <w:r>
        <w:rPr>
          <w:rFonts w:ascii="Times New Roman" w:eastAsia="Times New Roman"/>
        </w:rPr>
        <w:t>6</w:t>
      </w:r>
      <w:r>
        <w:t>、项目与与《山东省深入打好蓝天保卫战行动计划</w:t>
      </w:r>
      <w:r>
        <w:rPr>
          <w:rFonts w:ascii="Times New Roman" w:eastAsia="Times New Roman"/>
        </w:rPr>
        <w:t>(2021-2025</w:t>
      </w:r>
    </w:p>
    <w:p>
      <w:pPr>
        <w:spacing w:before="158"/>
        <w:ind w:left="2526" w:right="0" w:firstLine="0"/>
        <w:jc w:val="left"/>
        <w:rPr>
          <w:b/>
          <w:sz w:val="24"/>
        </w:rPr>
      </w:pPr>
      <w:r>
        <w:rPr>
          <w:b/>
          <w:sz w:val="24"/>
        </w:rPr>
        <w:t>年</w:t>
      </w:r>
      <w:r>
        <w:rPr>
          <w:rFonts w:ascii="Times New Roman" w:eastAsia="Times New Roman"/>
          <w:b/>
          <w:sz w:val="24"/>
        </w:rPr>
        <w:t>)</w:t>
      </w:r>
      <w:r>
        <w:rPr>
          <w:b/>
          <w:sz w:val="24"/>
        </w:rPr>
        <w:t>》、《山东省深入打好净土保卫战行动计划（</w:t>
      </w:r>
      <w:r>
        <w:rPr>
          <w:rFonts w:ascii="Times New Roman" w:eastAsia="Times New Roman"/>
          <w:b/>
          <w:sz w:val="24"/>
        </w:rPr>
        <w:t xml:space="preserve">2021-2025 </w:t>
      </w:r>
      <w:r>
        <w:rPr>
          <w:b/>
          <w:sz w:val="24"/>
        </w:rPr>
        <w:t>年</w:t>
      </w:r>
      <w:r>
        <w:rPr>
          <w:rFonts w:ascii="Times New Roman" w:eastAsia="Times New Roman"/>
          <w:b/>
          <w:sz w:val="24"/>
        </w:rPr>
        <w:t>)</w:t>
      </w:r>
      <w:r>
        <w:rPr>
          <w:b/>
          <w:sz w:val="24"/>
        </w:rPr>
        <w:t>》、</w:t>
      </w:r>
    </w:p>
    <w:p>
      <w:pPr>
        <w:spacing w:before="158" w:line="364" w:lineRule="auto"/>
        <w:ind w:left="2526" w:right="476" w:firstLine="0"/>
        <w:jc w:val="left"/>
        <w:rPr>
          <w:b/>
          <w:sz w:val="24"/>
        </w:rPr>
      </w:pPr>
      <w:r>
        <w:rPr>
          <w:b/>
          <w:sz w:val="24"/>
        </w:rPr>
        <w:t>《山东省</w:t>
      </w:r>
      <w:r>
        <w:rPr>
          <w:rFonts w:ascii="Times New Roman" w:eastAsia="Times New Roman" w:hAnsi="Times New Roman"/>
          <w:b/>
          <w:sz w:val="24"/>
        </w:rPr>
        <w:t>“</w:t>
      </w:r>
      <w:r>
        <w:rPr>
          <w:b/>
          <w:sz w:val="24"/>
        </w:rPr>
        <w:t>十四五</w:t>
      </w:r>
      <w:r>
        <w:rPr>
          <w:rFonts w:ascii="Times New Roman" w:eastAsia="Times New Roman" w:hAnsi="Times New Roman"/>
          <w:b/>
          <w:sz w:val="24"/>
        </w:rPr>
        <w:t>”</w:t>
      </w:r>
      <w:r>
        <w:rPr>
          <w:b/>
          <w:sz w:val="24"/>
        </w:rPr>
        <w:t>生态环境保护规划》及《</w:t>
      </w:r>
      <w:r>
        <w:rPr>
          <w:rFonts w:ascii="Times New Roman" w:eastAsia="Times New Roman" w:hAnsi="Times New Roman"/>
          <w:b/>
          <w:sz w:val="24"/>
        </w:rPr>
        <w:t xml:space="preserve">2021-2022 </w:t>
      </w:r>
      <w:r>
        <w:rPr>
          <w:b/>
          <w:sz w:val="24"/>
        </w:rPr>
        <w:t>年秋冬季大气污染综合治理攻坚方案》符合性分析。</w:t>
      </w:r>
    </w:p>
    <w:p>
      <w:pPr>
        <w:spacing w:before="0" w:line="306" w:lineRule="exact"/>
        <w:ind w:left="4945" w:right="0" w:firstLine="0"/>
        <w:jc w:val="left"/>
        <w:rPr>
          <w:b/>
          <w:sz w:val="24"/>
        </w:rPr>
      </w:pPr>
      <w:r>
        <w:rPr>
          <w:b/>
          <w:sz w:val="24"/>
        </w:rPr>
        <w:t xml:space="preserve">表 </w:t>
      </w:r>
      <w:r>
        <w:rPr>
          <w:rFonts w:ascii="Times New Roman" w:eastAsia="Times New Roman"/>
          <w:b/>
          <w:sz w:val="24"/>
        </w:rPr>
        <w:t xml:space="preserve">1-4 </w:t>
      </w:r>
      <w:r>
        <w:rPr>
          <w:b/>
          <w:sz w:val="24"/>
        </w:rPr>
        <w:t>本项目符合性</w:t>
      </w:r>
    </w:p>
    <w:p>
      <w:pPr>
        <w:pStyle w:val="BodyText"/>
        <w:spacing w:before="5"/>
        <w:rPr>
          <w:b/>
          <w:sz w:val="12"/>
        </w:rPr>
      </w:pPr>
    </w:p>
    <w:tbl>
      <w:tblPr>
        <w:tblStyle w:val="TableNormal"/>
        <w:tblW w:w="0" w:type="auto"/>
        <w:tblInd w:w="2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57"/>
        <w:gridCol w:w="3879"/>
        <w:gridCol w:w="2319"/>
      </w:tblGrid>
      <w:tr>
        <w:tblPrEx>
          <w:tblW w:w="0" w:type="auto"/>
          <w:tblInd w:w="2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1"/>
        </w:trPr>
        <w:tc>
          <w:tcPr>
            <w:tcW w:w="757" w:type="dxa"/>
          </w:tcPr>
          <w:p>
            <w:pPr>
              <w:pStyle w:val="TableParagraph"/>
              <w:spacing w:before="17"/>
              <w:ind w:left="146" w:right="139"/>
              <w:jc w:val="center"/>
              <w:rPr>
                <w:b/>
                <w:sz w:val="21"/>
              </w:rPr>
            </w:pPr>
            <w:r>
              <w:rPr>
                <w:b/>
                <w:sz w:val="21"/>
              </w:rPr>
              <w:t>序号</w:t>
            </w:r>
          </w:p>
        </w:tc>
        <w:tc>
          <w:tcPr>
            <w:tcW w:w="3879" w:type="dxa"/>
          </w:tcPr>
          <w:p>
            <w:pPr>
              <w:pStyle w:val="TableParagraph"/>
              <w:spacing w:before="17"/>
              <w:ind w:left="1498" w:right="1486"/>
              <w:jc w:val="center"/>
              <w:rPr>
                <w:b/>
                <w:sz w:val="21"/>
              </w:rPr>
            </w:pPr>
            <w:r>
              <w:rPr>
                <w:b/>
                <w:sz w:val="21"/>
              </w:rPr>
              <w:t>相关要求</w:t>
            </w:r>
          </w:p>
        </w:tc>
        <w:tc>
          <w:tcPr>
            <w:tcW w:w="2319" w:type="dxa"/>
          </w:tcPr>
          <w:p>
            <w:pPr>
              <w:pStyle w:val="TableParagraph"/>
              <w:spacing w:before="17"/>
              <w:ind w:left="633"/>
              <w:rPr>
                <w:b/>
                <w:sz w:val="21"/>
              </w:rPr>
            </w:pPr>
            <w:r>
              <w:rPr>
                <w:b/>
                <w:sz w:val="21"/>
              </w:rPr>
              <w:t>项目符合性</w:t>
            </w:r>
          </w:p>
        </w:tc>
      </w:tr>
      <w:tr>
        <w:tblPrEx>
          <w:tblW w:w="0" w:type="auto"/>
          <w:tblInd w:w="2537" w:type="dxa"/>
          <w:tblLayout w:type="fixed"/>
          <w:tblCellMar>
            <w:top w:w="0" w:type="dxa"/>
            <w:left w:w="0" w:type="dxa"/>
            <w:bottom w:w="0" w:type="dxa"/>
            <w:right w:w="0" w:type="dxa"/>
          </w:tblCellMar>
        </w:tblPrEx>
        <w:trPr>
          <w:trHeight w:val="442"/>
        </w:trPr>
        <w:tc>
          <w:tcPr>
            <w:tcW w:w="6955" w:type="dxa"/>
            <w:gridSpan w:val="3"/>
          </w:tcPr>
          <w:p>
            <w:pPr>
              <w:pStyle w:val="TableParagraph"/>
              <w:spacing w:before="86"/>
              <w:ind w:left="790"/>
              <w:rPr>
                <w:b/>
                <w:sz w:val="21"/>
              </w:rPr>
            </w:pPr>
            <w:r>
              <w:rPr>
                <w:b/>
                <w:sz w:val="21"/>
              </w:rPr>
              <w:t>《山东省深入打好蓝天保卫战行动计划（</w:t>
            </w:r>
            <w:r>
              <w:rPr>
                <w:rFonts w:ascii="Times New Roman" w:eastAsia="Times New Roman"/>
                <w:b/>
                <w:sz w:val="21"/>
              </w:rPr>
              <w:t xml:space="preserve">2021-2025 </w:t>
            </w:r>
            <w:r>
              <w:rPr>
                <w:b/>
                <w:sz w:val="21"/>
              </w:rPr>
              <w:t>年）》</w:t>
            </w:r>
          </w:p>
        </w:tc>
      </w:tr>
      <w:tr>
        <w:tblPrEx>
          <w:tblW w:w="0" w:type="auto"/>
          <w:tblInd w:w="2537" w:type="dxa"/>
          <w:tblLayout w:type="fixed"/>
          <w:tblCellMar>
            <w:top w:w="0" w:type="dxa"/>
            <w:left w:w="0" w:type="dxa"/>
            <w:bottom w:w="0" w:type="dxa"/>
            <w:right w:w="0" w:type="dxa"/>
          </w:tblCellMar>
        </w:tblPrEx>
        <w:trPr>
          <w:trHeight w:val="2183"/>
        </w:trPr>
        <w:tc>
          <w:tcPr>
            <w:tcW w:w="757" w:type="dxa"/>
          </w:tcPr>
          <w:p>
            <w:pPr>
              <w:pStyle w:val="TableParagraph"/>
              <w:rPr>
                <w:b/>
                <w:sz w:val="22"/>
              </w:rPr>
            </w:pPr>
          </w:p>
          <w:p>
            <w:pPr>
              <w:pStyle w:val="TableParagraph"/>
              <w:rPr>
                <w:b/>
                <w:sz w:val="22"/>
              </w:rPr>
            </w:pPr>
          </w:p>
          <w:p>
            <w:pPr>
              <w:pStyle w:val="TableParagraph"/>
              <w:rPr>
                <w:b/>
                <w:sz w:val="27"/>
              </w:rPr>
            </w:pPr>
          </w:p>
          <w:p>
            <w:pPr>
              <w:pStyle w:val="TableParagraph"/>
              <w:ind w:left="8"/>
              <w:jc w:val="center"/>
              <w:rPr>
                <w:rFonts w:ascii="Times New Roman"/>
                <w:sz w:val="21"/>
              </w:rPr>
            </w:pPr>
            <w:r>
              <w:rPr>
                <w:rFonts w:ascii="Times New Roman"/>
                <w:w w:val="99"/>
                <w:sz w:val="21"/>
              </w:rPr>
              <w:t>1</w:t>
            </w:r>
          </w:p>
        </w:tc>
        <w:tc>
          <w:tcPr>
            <w:tcW w:w="3879" w:type="dxa"/>
          </w:tcPr>
          <w:p>
            <w:pPr>
              <w:pStyle w:val="TableParagraph"/>
              <w:spacing w:before="20" w:line="278" w:lineRule="auto"/>
              <w:ind w:left="108" w:right="-15"/>
              <w:rPr>
                <w:sz w:val="21"/>
              </w:rPr>
            </w:pPr>
            <w:r>
              <w:rPr>
                <w:spacing w:val="-3"/>
                <w:sz w:val="21"/>
              </w:rPr>
              <w:t>一、淘汰低效落后产能聚焦钢铁、地炼、</w:t>
            </w:r>
            <w:r>
              <w:rPr>
                <w:spacing w:val="-12"/>
                <w:sz w:val="21"/>
              </w:rPr>
              <w:t xml:space="preserve">焦化、煤电、水泥、轮胎、煤炭、化工 </w:t>
            </w:r>
            <w:r>
              <w:rPr>
                <w:rFonts w:ascii="Times New Roman" w:eastAsia="Times New Roman" w:hAnsi="Times New Roman"/>
                <w:sz w:val="21"/>
              </w:rPr>
              <w:t xml:space="preserve">8 </w:t>
            </w:r>
            <w:r>
              <w:rPr>
                <w:sz w:val="21"/>
              </w:rPr>
              <w:t xml:space="preserve">个重点行业，加快淘汰低效落后产能。严格执行质量、环保、能耗、安全等法 </w:t>
            </w:r>
            <w:r>
              <w:rPr>
                <w:spacing w:val="-18"/>
                <w:w w:val="95"/>
                <w:sz w:val="21"/>
              </w:rPr>
              <w:t xml:space="preserve">规标准，按照《产业结构调整指导目录》， </w:t>
            </w:r>
            <w:r>
              <w:rPr>
                <w:spacing w:val="-18"/>
                <w:sz w:val="21"/>
              </w:rPr>
              <w:t>对</w:t>
            </w:r>
            <w:r>
              <w:rPr>
                <w:rFonts w:ascii="Times New Roman" w:eastAsia="Times New Roman" w:hAnsi="Times New Roman"/>
                <w:spacing w:val="-18"/>
                <w:sz w:val="21"/>
              </w:rPr>
              <w:t>“</w:t>
            </w:r>
            <w:r>
              <w:rPr>
                <w:spacing w:val="-18"/>
                <w:sz w:val="21"/>
              </w:rPr>
              <w:t>淘汰类</w:t>
            </w:r>
            <w:r>
              <w:rPr>
                <w:rFonts w:ascii="Times New Roman" w:eastAsia="Times New Roman" w:hAnsi="Times New Roman"/>
                <w:spacing w:val="-18"/>
                <w:sz w:val="21"/>
              </w:rPr>
              <w:t>”</w:t>
            </w:r>
            <w:r>
              <w:rPr>
                <w:spacing w:val="-18"/>
                <w:sz w:val="21"/>
              </w:rPr>
              <w:t>落后生产工艺装备和落后产</w:t>
            </w:r>
          </w:p>
          <w:p>
            <w:pPr>
              <w:pStyle w:val="TableParagraph"/>
              <w:spacing w:line="268" w:lineRule="exact"/>
              <w:ind w:left="1099"/>
              <w:rPr>
                <w:sz w:val="21"/>
              </w:rPr>
            </w:pPr>
            <w:r>
              <w:rPr>
                <w:sz w:val="21"/>
              </w:rPr>
              <w:t>品全部淘汰出清。</w:t>
            </w:r>
          </w:p>
        </w:tc>
        <w:tc>
          <w:tcPr>
            <w:tcW w:w="2319" w:type="dxa"/>
          </w:tcPr>
          <w:p>
            <w:pPr>
              <w:pStyle w:val="TableParagraph"/>
              <w:rPr>
                <w:b/>
                <w:sz w:val="20"/>
              </w:rPr>
            </w:pPr>
          </w:p>
          <w:p>
            <w:pPr>
              <w:pStyle w:val="TableParagraph"/>
              <w:rPr>
                <w:b/>
                <w:sz w:val="16"/>
              </w:rPr>
            </w:pPr>
          </w:p>
          <w:p>
            <w:pPr>
              <w:pStyle w:val="TableParagraph"/>
              <w:spacing w:line="278" w:lineRule="auto"/>
              <w:ind w:left="107" w:right="99"/>
              <w:jc w:val="both"/>
              <w:rPr>
                <w:sz w:val="21"/>
              </w:rPr>
            </w:pPr>
            <w:r>
              <w:rPr>
                <w:sz w:val="21"/>
              </w:rPr>
              <w:t>项目属于生物质致密成型燃料加工业，不属低效落后产能，符合。</w:t>
            </w:r>
          </w:p>
        </w:tc>
      </w:tr>
      <w:tr>
        <w:tblPrEx>
          <w:tblW w:w="0" w:type="auto"/>
          <w:tblInd w:w="2537" w:type="dxa"/>
          <w:tblLayout w:type="fixed"/>
          <w:tblCellMar>
            <w:top w:w="0" w:type="dxa"/>
            <w:left w:w="0" w:type="dxa"/>
            <w:bottom w:w="0" w:type="dxa"/>
            <w:right w:w="0" w:type="dxa"/>
          </w:tblCellMar>
        </w:tblPrEx>
        <w:trPr>
          <w:trHeight w:val="441"/>
        </w:trPr>
        <w:tc>
          <w:tcPr>
            <w:tcW w:w="6955" w:type="dxa"/>
            <w:gridSpan w:val="3"/>
          </w:tcPr>
          <w:p>
            <w:pPr>
              <w:pStyle w:val="TableParagraph"/>
              <w:spacing w:before="87"/>
              <w:ind w:left="911" w:right="886"/>
              <w:jc w:val="center"/>
              <w:rPr>
                <w:b/>
                <w:sz w:val="21"/>
              </w:rPr>
            </w:pPr>
            <w:r>
              <w:rPr>
                <w:b/>
                <w:sz w:val="21"/>
              </w:rPr>
              <w:t>《山东省深入打好净土保卫战行动计划</w:t>
            </w:r>
            <w:r>
              <w:rPr>
                <w:rFonts w:ascii="Times New Roman" w:eastAsia="Times New Roman"/>
                <w:b/>
                <w:sz w:val="21"/>
              </w:rPr>
              <w:t xml:space="preserve">(2021-2025 </w:t>
            </w:r>
            <w:r>
              <w:rPr>
                <w:b/>
                <w:sz w:val="21"/>
              </w:rPr>
              <w:t>年</w:t>
            </w:r>
            <w:r>
              <w:rPr>
                <w:rFonts w:ascii="Times New Roman" w:eastAsia="Times New Roman"/>
                <w:b/>
                <w:sz w:val="21"/>
              </w:rPr>
              <w:t>)</w:t>
            </w:r>
            <w:r>
              <w:rPr>
                <w:b/>
                <w:sz w:val="21"/>
              </w:rPr>
              <w:t>》</w:t>
            </w:r>
          </w:p>
        </w:tc>
      </w:tr>
      <w:tr>
        <w:tblPrEx>
          <w:tblW w:w="0" w:type="auto"/>
          <w:tblInd w:w="2537" w:type="dxa"/>
          <w:tblLayout w:type="fixed"/>
          <w:tblCellMar>
            <w:top w:w="0" w:type="dxa"/>
            <w:left w:w="0" w:type="dxa"/>
            <w:bottom w:w="0" w:type="dxa"/>
            <w:right w:w="0" w:type="dxa"/>
          </w:tblCellMar>
        </w:tblPrEx>
        <w:trPr>
          <w:trHeight w:val="2496"/>
        </w:trPr>
        <w:tc>
          <w:tcPr>
            <w:tcW w:w="757" w:type="dxa"/>
          </w:tcPr>
          <w:p>
            <w:pPr>
              <w:pStyle w:val="TableParagraph"/>
              <w:rPr>
                <w:b/>
                <w:sz w:val="22"/>
              </w:rPr>
            </w:pPr>
          </w:p>
          <w:p>
            <w:pPr>
              <w:pStyle w:val="TableParagraph"/>
              <w:rPr>
                <w:b/>
                <w:sz w:val="22"/>
              </w:rPr>
            </w:pPr>
          </w:p>
          <w:p>
            <w:pPr>
              <w:pStyle w:val="TableParagraph"/>
              <w:rPr>
                <w:b/>
                <w:sz w:val="22"/>
              </w:rPr>
            </w:pPr>
          </w:p>
          <w:p>
            <w:pPr>
              <w:pStyle w:val="TableParagraph"/>
              <w:spacing w:before="1"/>
              <w:rPr>
                <w:b/>
                <w:sz w:val="17"/>
              </w:rPr>
            </w:pPr>
          </w:p>
          <w:p>
            <w:pPr>
              <w:pStyle w:val="TableParagraph"/>
              <w:ind w:left="8"/>
              <w:jc w:val="center"/>
              <w:rPr>
                <w:rFonts w:ascii="Times New Roman"/>
                <w:sz w:val="21"/>
              </w:rPr>
            </w:pPr>
            <w:r>
              <w:rPr>
                <w:rFonts w:ascii="Times New Roman"/>
                <w:w w:val="99"/>
                <w:sz w:val="21"/>
              </w:rPr>
              <w:t>2</w:t>
            </w:r>
          </w:p>
        </w:tc>
        <w:tc>
          <w:tcPr>
            <w:tcW w:w="3879" w:type="dxa"/>
          </w:tcPr>
          <w:p>
            <w:pPr>
              <w:pStyle w:val="TableParagraph"/>
              <w:spacing w:before="21" w:line="278" w:lineRule="auto"/>
              <w:ind w:left="127" w:right="117" w:firstLine="26"/>
              <w:jc w:val="both"/>
              <w:rPr>
                <w:sz w:val="21"/>
              </w:rPr>
            </w:pPr>
            <w:r>
              <w:rPr>
                <w:sz w:val="21"/>
              </w:rPr>
              <w:t>深入推进生活垃圾分类，建立有害垃圾收集转运体系。亚格落实《山东省城市生活垃圾分类制度实施方案》，完善垃圾分类标识体系，健全垃圾分类奖励制度。</w:t>
            </w:r>
            <w:r>
              <w:rPr>
                <w:rFonts w:ascii="Times New Roman" w:eastAsia="Times New Roman"/>
                <w:sz w:val="21"/>
              </w:rPr>
              <w:t xml:space="preserve">2025 </w:t>
            </w:r>
            <w:r>
              <w:rPr>
                <w:sz w:val="21"/>
              </w:rPr>
              <w:t>年年底前，各市基本建成生活垃圾分类处理系统。推进生活垃圾焚烧处理等设施建设和改造提升，优化处理</w:t>
            </w:r>
          </w:p>
          <w:p>
            <w:pPr>
              <w:pStyle w:val="TableParagraph"/>
              <w:spacing w:line="268" w:lineRule="exact"/>
              <w:ind w:left="888"/>
              <w:rPr>
                <w:sz w:val="21"/>
              </w:rPr>
            </w:pPr>
            <w:r>
              <w:rPr>
                <w:sz w:val="21"/>
              </w:rPr>
              <w:t>工艺，增强处理能力。</w:t>
            </w:r>
          </w:p>
        </w:tc>
        <w:tc>
          <w:tcPr>
            <w:tcW w:w="2319" w:type="dxa"/>
          </w:tcPr>
          <w:p>
            <w:pPr>
              <w:pStyle w:val="TableParagraph"/>
              <w:rPr>
                <w:b/>
                <w:sz w:val="20"/>
              </w:rPr>
            </w:pPr>
          </w:p>
          <w:p>
            <w:pPr>
              <w:pStyle w:val="TableParagraph"/>
              <w:spacing w:before="2"/>
              <w:rPr>
                <w:b/>
                <w:sz w:val="18"/>
              </w:rPr>
            </w:pPr>
          </w:p>
          <w:p>
            <w:pPr>
              <w:pStyle w:val="TableParagraph"/>
              <w:spacing w:line="278" w:lineRule="auto"/>
              <w:ind w:left="107" w:right="101"/>
              <w:jc w:val="center"/>
              <w:rPr>
                <w:sz w:val="21"/>
              </w:rPr>
            </w:pPr>
            <w:r>
              <w:rPr>
                <w:w w:val="95"/>
                <w:sz w:val="21"/>
              </w:rPr>
              <w:t>项目生活垃圾由环卫部门定期清运，项目产生的一般工业固废由物资部门回收，能够妥善处</w:t>
            </w:r>
            <w:r>
              <w:rPr>
                <w:sz w:val="21"/>
              </w:rPr>
              <w:t>理，符合</w:t>
            </w:r>
          </w:p>
        </w:tc>
      </w:tr>
      <w:tr>
        <w:tblPrEx>
          <w:tblW w:w="0" w:type="auto"/>
          <w:tblInd w:w="2537" w:type="dxa"/>
          <w:tblLayout w:type="fixed"/>
          <w:tblCellMar>
            <w:top w:w="0" w:type="dxa"/>
            <w:left w:w="0" w:type="dxa"/>
            <w:bottom w:w="0" w:type="dxa"/>
            <w:right w:w="0" w:type="dxa"/>
          </w:tblCellMar>
        </w:tblPrEx>
        <w:trPr>
          <w:trHeight w:val="442"/>
        </w:trPr>
        <w:tc>
          <w:tcPr>
            <w:tcW w:w="6955" w:type="dxa"/>
            <w:gridSpan w:val="3"/>
          </w:tcPr>
          <w:p>
            <w:pPr>
              <w:pStyle w:val="TableParagraph"/>
              <w:spacing w:before="86"/>
              <w:ind w:left="1690"/>
              <w:rPr>
                <w:b/>
                <w:sz w:val="21"/>
              </w:rPr>
            </w:pPr>
            <w:r>
              <w:rPr>
                <w:b/>
                <w:sz w:val="21"/>
              </w:rPr>
              <w:t>《山东省</w:t>
            </w:r>
            <w:r>
              <w:rPr>
                <w:rFonts w:ascii="Times New Roman" w:eastAsia="Times New Roman" w:hAnsi="Times New Roman"/>
                <w:b/>
                <w:sz w:val="21"/>
              </w:rPr>
              <w:t>“</w:t>
            </w:r>
            <w:r>
              <w:rPr>
                <w:b/>
                <w:sz w:val="21"/>
              </w:rPr>
              <w:t>十四五</w:t>
            </w:r>
            <w:r>
              <w:rPr>
                <w:rFonts w:ascii="Times New Roman" w:eastAsia="Times New Roman" w:hAnsi="Times New Roman"/>
                <w:b/>
                <w:sz w:val="21"/>
              </w:rPr>
              <w:t>”</w:t>
            </w:r>
            <w:r>
              <w:rPr>
                <w:b/>
                <w:sz w:val="21"/>
              </w:rPr>
              <w:t>生态环境保护规划》</w:t>
            </w:r>
          </w:p>
        </w:tc>
      </w:tr>
      <w:tr>
        <w:tblPrEx>
          <w:tblW w:w="0" w:type="auto"/>
          <w:tblInd w:w="2537" w:type="dxa"/>
          <w:tblLayout w:type="fixed"/>
          <w:tblCellMar>
            <w:top w:w="0" w:type="dxa"/>
            <w:left w:w="0" w:type="dxa"/>
            <w:bottom w:w="0" w:type="dxa"/>
            <w:right w:w="0" w:type="dxa"/>
          </w:tblCellMar>
        </w:tblPrEx>
        <w:trPr>
          <w:trHeight w:val="3744"/>
        </w:trPr>
        <w:tc>
          <w:tcPr>
            <w:tcW w:w="757" w:type="dxa"/>
          </w:tcPr>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rPr>
                <w:b/>
                <w:sz w:val="22"/>
              </w:rPr>
            </w:pPr>
          </w:p>
          <w:p>
            <w:pPr>
              <w:pStyle w:val="TableParagraph"/>
              <w:spacing w:before="11"/>
              <w:rPr>
                <w:b/>
                <w:sz w:val="21"/>
              </w:rPr>
            </w:pPr>
          </w:p>
          <w:p>
            <w:pPr>
              <w:pStyle w:val="TableParagraph"/>
              <w:spacing w:before="1"/>
              <w:ind w:left="8"/>
              <w:jc w:val="center"/>
              <w:rPr>
                <w:rFonts w:ascii="Times New Roman"/>
                <w:sz w:val="21"/>
              </w:rPr>
            </w:pPr>
            <w:r>
              <w:rPr>
                <w:rFonts w:ascii="Times New Roman"/>
                <w:w w:val="99"/>
                <w:sz w:val="21"/>
              </w:rPr>
              <w:t>3</w:t>
            </w:r>
          </w:p>
        </w:tc>
        <w:tc>
          <w:tcPr>
            <w:tcW w:w="3879" w:type="dxa"/>
          </w:tcPr>
          <w:p>
            <w:pPr>
              <w:pStyle w:val="TableParagraph"/>
              <w:spacing w:before="20" w:line="278" w:lineRule="auto"/>
              <w:ind w:left="108" w:right="-15" w:firstLine="98"/>
              <w:rPr>
                <w:sz w:val="21"/>
              </w:rPr>
            </w:pPr>
            <w:r>
              <w:rPr>
                <w:sz w:val="21"/>
              </w:rPr>
              <w:t>第二节 加快产业结构调整坚决淘汰落后动能。严格落实《产业结构调整指导</w:t>
            </w:r>
            <w:r>
              <w:rPr>
                <w:spacing w:val="-14"/>
                <w:sz w:val="21"/>
              </w:rPr>
              <w:t>目录》，加快推动</w:t>
            </w:r>
            <w:r>
              <w:rPr>
                <w:rFonts w:ascii="Times New Roman" w:eastAsia="Times New Roman" w:hAnsi="Times New Roman"/>
                <w:sz w:val="21"/>
              </w:rPr>
              <w:t>“</w:t>
            </w:r>
            <w:r>
              <w:rPr>
                <w:sz w:val="21"/>
              </w:rPr>
              <w:t>淘汰类</w:t>
            </w:r>
            <w:r>
              <w:rPr>
                <w:rFonts w:ascii="Times New Roman" w:eastAsia="Times New Roman" w:hAnsi="Times New Roman"/>
                <w:sz w:val="21"/>
              </w:rPr>
              <w:t>”</w:t>
            </w:r>
            <w:r>
              <w:rPr>
                <w:sz w:val="21"/>
              </w:rPr>
              <w:t>生产工艺和产品退出。精准聚焦钢铁、地炼、焦化、</w:t>
            </w:r>
            <w:r>
              <w:rPr>
                <w:spacing w:val="-4"/>
                <w:sz w:val="21"/>
              </w:rPr>
              <w:t xml:space="preserve">煤电、水泥、轮胎、煤炭、化工等 </w:t>
            </w:r>
            <w:r>
              <w:rPr>
                <w:rFonts w:ascii="Times New Roman" w:eastAsia="Times New Roman" w:hAnsi="Times New Roman"/>
                <w:sz w:val="21"/>
              </w:rPr>
              <w:t>8</w:t>
            </w:r>
            <w:r>
              <w:rPr>
                <w:rFonts w:ascii="Times New Roman" w:eastAsia="Times New Roman" w:hAnsi="Times New Roman"/>
                <w:spacing w:val="-1"/>
                <w:sz w:val="21"/>
              </w:rPr>
              <w:t xml:space="preserve"> </w:t>
            </w:r>
            <w:r>
              <w:rPr>
                <w:sz w:val="21"/>
              </w:rPr>
              <w:t>个重点行业，加快淘汰低效落后动能。进</w:t>
            </w:r>
            <w:r>
              <w:rPr>
                <w:spacing w:val="-2"/>
                <w:sz w:val="21"/>
              </w:rPr>
              <w:t>一步健全并严格落实环保、安全、技术、能耗、效益标准，各市制定具体措施， 重点围绕再生橡胶、废旧塑料再生、砖瓦、石灰、石膏等行业，分类组织实施转移、压减、整合、关停任务，推动低</w:t>
            </w:r>
          </w:p>
          <w:p>
            <w:pPr>
              <w:pStyle w:val="TableParagraph"/>
              <w:spacing w:line="268" w:lineRule="exact"/>
              <w:ind w:left="1099"/>
              <w:rPr>
                <w:sz w:val="21"/>
              </w:rPr>
            </w:pPr>
            <w:r>
              <w:rPr>
                <w:sz w:val="21"/>
              </w:rPr>
              <w:t>效落后产能退出。</w:t>
            </w:r>
          </w:p>
        </w:tc>
        <w:tc>
          <w:tcPr>
            <w:tcW w:w="2319" w:type="dxa"/>
          </w:tcPr>
          <w:p>
            <w:pPr>
              <w:pStyle w:val="TableParagraph"/>
              <w:rPr>
                <w:b/>
                <w:sz w:val="20"/>
              </w:rPr>
            </w:pPr>
          </w:p>
          <w:p>
            <w:pPr>
              <w:pStyle w:val="TableParagraph"/>
              <w:rPr>
                <w:b/>
                <w:sz w:val="20"/>
              </w:rPr>
            </w:pPr>
          </w:p>
          <w:p>
            <w:pPr>
              <w:pStyle w:val="TableParagraph"/>
              <w:rPr>
                <w:b/>
                <w:sz w:val="20"/>
              </w:rPr>
            </w:pPr>
          </w:p>
          <w:p>
            <w:pPr>
              <w:pStyle w:val="TableParagraph"/>
              <w:spacing w:before="161" w:line="278" w:lineRule="auto"/>
              <w:ind w:left="107" w:right="96" w:hanging="5"/>
              <w:jc w:val="center"/>
              <w:rPr>
                <w:sz w:val="21"/>
              </w:rPr>
            </w:pPr>
            <w:r>
              <w:rPr>
                <w:w w:val="95"/>
                <w:sz w:val="21"/>
              </w:rPr>
              <w:t>项目属于生物质致密成</w:t>
            </w:r>
            <w:r>
              <w:rPr>
                <w:spacing w:val="-1"/>
                <w:sz w:val="21"/>
              </w:rPr>
              <w:t>型燃料加工业，不属于</w:t>
            </w:r>
            <w:r>
              <w:rPr>
                <w:spacing w:val="-12"/>
                <w:w w:val="95"/>
                <w:sz w:val="21"/>
              </w:rPr>
              <w:t>落后动能，不使用</w:t>
            </w:r>
            <w:r>
              <w:rPr>
                <w:rFonts w:ascii="Times New Roman" w:eastAsia="Times New Roman" w:hAnsi="Times New Roman"/>
                <w:w w:val="95"/>
                <w:sz w:val="21"/>
              </w:rPr>
              <w:t>“</w:t>
            </w:r>
            <w:r>
              <w:rPr>
                <w:w w:val="95"/>
                <w:sz w:val="21"/>
              </w:rPr>
              <w:t>淘汰</w:t>
            </w:r>
            <w:r>
              <w:rPr>
                <w:sz w:val="21"/>
              </w:rPr>
              <w:t>类</w:t>
            </w:r>
            <w:r>
              <w:rPr>
                <w:rFonts w:ascii="Times New Roman" w:eastAsia="Times New Roman" w:hAnsi="Times New Roman"/>
                <w:sz w:val="21"/>
              </w:rPr>
              <w:t>”</w:t>
            </w:r>
            <w:r>
              <w:rPr>
                <w:spacing w:val="-12"/>
                <w:sz w:val="21"/>
              </w:rPr>
              <w:t>生产工艺和产品，符</w:t>
            </w:r>
            <w:r>
              <w:rPr>
                <w:sz w:val="21"/>
              </w:rPr>
              <w:t>合</w:t>
            </w:r>
          </w:p>
        </w:tc>
      </w:tr>
    </w:tbl>
    <w:p>
      <w:pPr>
        <w:spacing w:before="2"/>
        <w:ind w:left="3006" w:right="0" w:firstLine="0"/>
        <w:jc w:val="left"/>
        <w:rPr>
          <w:b/>
          <w:sz w:val="24"/>
        </w:rPr>
      </w:pPr>
      <w:r>
        <w:rPr>
          <w:rFonts w:ascii="Times New Roman" w:eastAsia="Times New Roman"/>
          <w:b/>
          <w:sz w:val="24"/>
        </w:rPr>
        <w:t>7</w:t>
      </w:r>
      <w:r>
        <w:rPr>
          <w:b/>
          <w:sz w:val="24"/>
        </w:rPr>
        <w:t>、土地利用符合性分析</w:t>
      </w:r>
    </w:p>
    <w:p>
      <w:pPr>
        <w:spacing w:after="0"/>
        <w:jc w:val="left"/>
        <w:rPr>
          <w:sz w:val="24"/>
        </w:rPr>
        <w:sectPr>
          <w:footerReference w:type="default" r:id="rId16"/>
          <w:pgSz w:w="11910" w:h="16840"/>
          <w:pgMar w:top="1420" w:right="980" w:bottom="1240" w:left="1040" w:header="0" w:footer="1050" w:gutter="0"/>
          <w:pgNumType w:start="12"/>
          <w:cols w:num="1" w:space="720"/>
        </w:sectPr>
      </w:pPr>
    </w:p>
    <w:p>
      <w:pPr>
        <w:pStyle w:val="BodyText"/>
        <w:spacing w:before="55"/>
        <w:ind w:left="3006"/>
      </w:pPr>
      <w:r>
        <w:pict>
          <v:shape id="_x0000_s1033" o:spid="_x0000_s1032" style="width:468.2pt;height:692.05pt;margin-top:77.85pt;margin-left:63.55pt;mso-height-relative:page;mso-position-horizontal-relative:page;mso-position-vertical-relative:page;mso-width-relative:page;position:absolute;z-index:-251651072" coordorigin="1271,1557" coordsize="9364,13841" path="m1271,1445l10635,1445m1271,15281l10635,15281m1276,1440l1276,15276m3459,1440l3459,15276m10630,1440l10630,15276e" filled="f" stroked="t" strokecolor="black">
            <v:path arrowok="t"/>
          </v:shape>
        </w:pict>
      </w:r>
      <w:r>
        <w:t>本项目位于德州市宁津县张大庄镇王庄村。本项目不属于国家</w:t>
      </w:r>
    </w:p>
    <w:p>
      <w:pPr>
        <w:pStyle w:val="BodyText"/>
        <w:spacing w:before="158" w:line="364" w:lineRule="auto"/>
        <w:ind w:left="2526" w:right="397"/>
        <w:jc w:val="both"/>
      </w:pPr>
      <w:r>
        <w:rPr>
          <w:spacing w:val="-3"/>
        </w:rPr>
        <w:t>《禁止用地项目目录》</w:t>
      </w:r>
      <w:r>
        <w:rPr>
          <w:rFonts w:ascii="Times New Roman" w:eastAsia="Times New Roman"/>
        </w:rPr>
        <w:t xml:space="preserve">(2012 </w:t>
      </w:r>
      <w:r>
        <w:t>年本</w:t>
      </w:r>
      <w:r>
        <w:rPr>
          <w:spacing w:val="-29"/>
        </w:rPr>
        <w:t>）</w:t>
      </w:r>
      <w:r>
        <w:rPr>
          <w:spacing w:val="-11"/>
        </w:rPr>
        <w:t>和《限制用地项目目录》</w:t>
      </w:r>
      <w:r>
        <w:rPr>
          <w:spacing w:val="-3"/>
        </w:rPr>
        <w:t>（</w:t>
      </w:r>
      <w:r>
        <w:rPr>
          <w:rFonts w:ascii="Times New Roman" w:eastAsia="Times New Roman"/>
          <w:spacing w:val="-3"/>
        </w:rPr>
        <w:t xml:space="preserve">2012 </w:t>
      </w:r>
      <w:r>
        <w:t>年本）</w:t>
      </w:r>
      <w:r>
        <w:rPr>
          <w:spacing w:val="-1"/>
        </w:rPr>
        <w:t>中规定的项目，也不属于《山东省禁止限制供地项目目录》</w:t>
      </w:r>
      <w:r>
        <w:rPr>
          <w:spacing w:val="-4"/>
        </w:rPr>
        <w:t>和《山东省建设用地集约利用控制标准》中山东省禁止、限制供地</w:t>
      </w:r>
      <w:r>
        <w:t>项目用地。</w:t>
      </w:r>
    </w:p>
    <w:p>
      <w:pPr>
        <w:pStyle w:val="Heading2"/>
        <w:spacing w:line="305" w:lineRule="exact"/>
        <w:ind w:left="3006"/>
      </w:pPr>
      <w:r>
        <w:rPr>
          <w:rFonts w:ascii="Times New Roman" w:eastAsia="Times New Roman"/>
        </w:rPr>
        <w:t>8</w:t>
      </w:r>
      <w:r>
        <w:t>、项目选址合理性分析</w:t>
      </w:r>
    </w:p>
    <w:p>
      <w:pPr>
        <w:pStyle w:val="BodyText"/>
        <w:spacing w:before="160" w:line="362" w:lineRule="auto"/>
        <w:ind w:left="2526" w:right="402" w:firstLine="480"/>
      </w:pPr>
      <w:r>
        <w:t>本项目位于德州市宁津县张大庄镇王庄村，具体选址合理性分析如下。</w:t>
      </w:r>
    </w:p>
    <w:p>
      <w:pPr>
        <w:pStyle w:val="Heading2"/>
        <w:spacing w:before="5"/>
        <w:ind w:left="4525"/>
      </w:pPr>
      <w:r>
        <w:t xml:space="preserve">表 </w:t>
      </w:r>
      <w:r>
        <w:rPr>
          <w:rFonts w:ascii="Times New Roman" w:eastAsia="Times New Roman"/>
        </w:rPr>
        <w:t xml:space="preserve">1-5  </w:t>
      </w:r>
      <w:r>
        <w:t>项目选址合理性分析</w:t>
      </w:r>
    </w:p>
    <w:p>
      <w:pPr>
        <w:pStyle w:val="BodyText"/>
        <w:spacing w:before="3" w:after="1"/>
        <w:rPr>
          <w:b/>
          <w:sz w:val="12"/>
        </w:rPr>
      </w:pPr>
    </w:p>
    <w:tbl>
      <w:tblPr>
        <w:tblStyle w:val="TableNormal"/>
        <w:tblW w:w="0" w:type="auto"/>
        <w:tblInd w:w="2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63"/>
        <w:gridCol w:w="5056"/>
      </w:tblGrid>
      <w:tr>
        <w:tblPrEx>
          <w:tblW w:w="0" w:type="auto"/>
          <w:tblInd w:w="2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54"/>
        </w:trPr>
        <w:tc>
          <w:tcPr>
            <w:tcW w:w="1863" w:type="dxa"/>
          </w:tcPr>
          <w:p>
            <w:pPr>
              <w:pStyle w:val="TableParagraph"/>
              <w:spacing w:before="90"/>
              <w:ind w:left="174" w:right="162"/>
              <w:jc w:val="center"/>
              <w:rPr>
                <w:b/>
                <w:sz w:val="21"/>
              </w:rPr>
            </w:pPr>
            <w:r>
              <w:rPr>
                <w:b/>
                <w:sz w:val="21"/>
              </w:rPr>
              <w:t>项目分析</w:t>
            </w:r>
          </w:p>
        </w:tc>
        <w:tc>
          <w:tcPr>
            <w:tcW w:w="5056" w:type="dxa"/>
          </w:tcPr>
          <w:p>
            <w:pPr>
              <w:pStyle w:val="TableParagraph"/>
              <w:tabs>
                <w:tab w:val="left" w:pos="533"/>
              </w:tabs>
              <w:spacing w:before="90"/>
              <w:ind w:left="8"/>
              <w:jc w:val="center"/>
              <w:rPr>
                <w:b/>
                <w:sz w:val="21"/>
              </w:rPr>
            </w:pPr>
            <w:r>
              <w:rPr>
                <w:b/>
                <w:sz w:val="21"/>
              </w:rPr>
              <w:t>结</w:t>
            </w:r>
            <w:r>
              <w:rPr>
                <w:b/>
                <w:sz w:val="21"/>
              </w:rPr>
              <w:tab/>
            </w:r>
            <w:r>
              <w:rPr>
                <w:b/>
                <w:sz w:val="21"/>
              </w:rPr>
              <w:t>论</w:t>
            </w:r>
          </w:p>
        </w:tc>
      </w:tr>
      <w:tr>
        <w:tblPrEx>
          <w:tblW w:w="0" w:type="auto"/>
          <w:tblInd w:w="2550" w:type="dxa"/>
          <w:tblLayout w:type="fixed"/>
          <w:tblCellMar>
            <w:top w:w="0" w:type="dxa"/>
            <w:left w:w="0" w:type="dxa"/>
            <w:bottom w:w="0" w:type="dxa"/>
            <w:right w:w="0" w:type="dxa"/>
          </w:tblCellMar>
        </w:tblPrEx>
        <w:trPr>
          <w:trHeight w:val="423"/>
        </w:trPr>
        <w:tc>
          <w:tcPr>
            <w:tcW w:w="1863" w:type="dxa"/>
          </w:tcPr>
          <w:p>
            <w:pPr>
              <w:pStyle w:val="TableParagraph"/>
              <w:spacing w:before="75"/>
              <w:ind w:left="174" w:right="169"/>
              <w:jc w:val="center"/>
              <w:rPr>
                <w:sz w:val="21"/>
              </w:rPr>
            </w:pPr>
            <w:r>
              <w:rPr>
                <w:sz w:val="21"/>
              </w:rPr>
              <w:t>土地利用符合性</w:t>
            </w:r>
          </w:p>
        </w:tc>
        <w:tc>
          <w:tcPr>
            <w:tcW w:w="5056" w:type="dxa"/>
          </w:tcPr>
          <w:p>
            <w:pPr>
              <w:pStyle w:val="TableParagraph"/>
              <w:spacing w:before="75"/>
              <w:ind w:left="10"/>
              <w:jc w:val="center"/>
              <w:rPr>
                <w:sz w:val="21"/>
              </w:rPr>
            </w:pPr>
            <w:r>
              <w:rPr>
                <w:sz w:val="21"/>
              </w:rPr>
              <w:t>用地性质为工业用地，符合土地利用总体规划。</w:t>
            </w:r>
          </w:p>
        </w:tc>
      </w:tr>
      <w:tr>
        <w:tblPrEx>
          <w:tblW w:w="0" w:type="auto"/>
          <w:tblInd w:w="2550" w:type="dxa"/>
          <w:tblLayout w:type="fixed"/>
          <w:tblCellMar>
            <w:top w:w="0" w:type="dxa"/>
            <w:left w:w="0" w:type="dxa"/>
            <w:bottom w:w="0" w:type="dxa"/>
            <w:right w:w="0" w:type="dxa"/>
          </w:tblCellMar>
        </w:tblPrEx>
        <w:trPr>
          <w:trHeight w:val="423"/>
        </w:trPr>
        <w:tc>
          <w:tcPr>
            <w:tcW w:w="1863" w:type="dxa"/>
          </w:tcPr>
          <w:p>
            <w:pPr>
              <w:pStyle w:val="TableParagraph"/>
              <w:spacing w:before="76"/>
              <w:ind w:left="174" w:right="167"/>
              <w:jc w:val="center"/>
              <w:rPr>
                <w:sz w:val="21"/>
              </w:rPr>
            </w:pPr>
            <w:r>
              <w:rPr>
                <w:sz w:val="21"/>
              </w:rPr>
              <w:t>供水、供电</w:t>
            </w:r>
          </w:p>
        </w:tc>
        <w:tc>
          <w:tcPr>
            <w:tcW w:w="5056" w:type="dxa"/>
          </w:tcPr>
          <w:p>
            <w:pPr>
              <w:pStyle w:val="TableParagraph"/>
              <w:spacing w:before="76"/>
              <w:ind w:left="5"/>
              <w:jc w:val="center"/>
              <w:rPr>
                <w:sz w:val="21"/>
              </w:rPr>
            </w:pPr>
            <w:r>
              <w:rPr>
                <w:sz w:val="21"/>
              </w:rPr>
              <w:t>供水管网、供电设施齐全。</w:t>
            </w:r>
          </w:p>
        </w:tc>
      </w:tr>
      <w:tr>
        <w:tblPrEx>
          <w:tblW w:w="0" w:type="auto"/>
          <w:tblInd w:w="2550" w:type="dxa"/>
          <w:tblLayout w:type="fixed"/>
          <w:tblCellMar>
            <w:top w:w="0" w:type="dxa"/>
            <w:left w:w="0" w:type="dxa"/>
            <w:bottom w:w="0" w:type="dxa"/>
            <w:right w:w="0" w:type="dxa"/>
          </w:tblCellMar>
        </w:tblPrEx>
        <w:trPr>
          <w:trHeight w:val="423"/>
        </w:trPr>
        <w:tc>
          <w:tcPr>
            <w:tcW w:w="1863" w:type="dxa"/>
          </w:tcPr>
          <w:p>
            <w:pPr>
              <w:pStyle w:val="TableParagraph"/>
              <w:spacing w:before="76"/>
              <w:ind w:left="174" w:right="167"/>
              <w:jc w:val="center"/>
              <w:rPr>
                <w:sz w:val="21"/>
              </w:rPr>
            </w:pPr>
            <w:r>
              <w:rPr>
                <w:sz w:val="21"/>
              </w:rPr>
              <w:t>交通运输</w:t>
            </w:r>
          </w:p>
        </w:tc>
        <w:tc>
          <w:tcPr>
            <w:tcW w:w="5056" w:type="dxa"/>
          </w:tcPr>
          <w:p>
            <w:pPr>
              <w:pStyle w:val="TableParagraph"/>
              <w:spacing w:before="76"/>
              <w:ind w:left="8"/>
              <w:jc w:val="center"/>
              <w:rPr>
                <w:sz w:val="21"/>
              </w:rPr>
            </w:pPr>
            <w:r>
              <w:rPr>
                <w:sz w:val="21"/>
              </w:rPr>
              <w:t>交通运输条件便利，地理位置比较优越。</w:t>
            </w:r>
          </w:p>
        </w:tc>
      </w:tr>
      <w:tr>
        <w:tblPrEx>
          <w:tblW w:w="0" w:type="auto"/>
          <w:tblInd w:w="2550" w:type="dxa"/>
          <w:tblLayout w:type="fixed"/>
          <w:tblCellMar>
            <w:top w:w="0" w:type="dxa"/>
            <w:left w:w="0" w:type="dxa"/>
            <w:bottom w:w="0" w:type="dxa"/>
            <w:right w:w="0" w:type="dxa"/>
          </w:tblCellMar>
        </w:tblPrEx>
        <w:trPr>
          <w:trHeight w:val="623"/>
        </w:trPr>
        <w:tc>
          <w:tcPr>
            <w:tcW w:w="1863" w:type="dxa"/>
          </w:tcPr>
          <w:p>
            <w:pPr>
              <w:pStyle w:val="TableParagraph"/>
              <w:spacing w:before="19"/>
              <w:ind w:left="174" w:right="169"/>
              <w:jc w:val="center"/>
              <w:rPr>
                <w:sz w:val="21"/>
              </w:rPr>
            </w:pPr>
            <w:r>
              <w:rPr>
                <w:sz w:val="21"/>
              </w:rPr>
              <w:t>外界环境对项目</w:t>
            </w:r>
          </w:p>
          <w:p>
            <w:pPr>
              <w:pStyle w:val="TableParagraph"/>
              <w:spacing w:before="43"/>
              <w:ind w:left="174" w:right="169"/>
              <w:jc w:val="center"/>
              <w:rPr>
                <w:sz w:val="21"/>
              </w:rPr>
            </w:pPr>
            <w:r>
              <w:rPr>
                <w:sz w:val="21"/>
              </w:rPr>
              <w:t>影响</w:t>
            </w:r>
          </w:p>
        </w:tc>
        <w:tc>
          <w:tcPr>
            <w:tcW w:w="5056" w:type="dxa"/>
          </w:tcPr>
          <w:p>
            <w:pPr>
              <w:pStyle w:val="TableParagraph"/>
              <w:spacing w:before="19"/>
              <w:ind w:left="8"/>
              <w:jc w:val="center"/>
              <w:rPr>
                <w:sz w:val="21"/>
              </w:rPr>
            </w:pPr>
            <w:r>
              <w:rPr>
                <w:sz w:val="21"/>
              </w:rPr>
              <w:t>项目周围没有大的污染源，且项目对外界环境要求不</w:t>
            </w:r>
          </w:p>
          <w:p>
            <w:pPr>
              <w:pStyle w:val="TableParagraph"/>
              <w:spacing w:before="43"/>
              <w:ind w:left="10"/>
              <w:jc w:val="center"/>
              <w:rPr>
                <w:sz w:val="21"/>
              </w:rPr>
            </w:pPr>
            <w:r>
              <w:rPr>
                <w:sz w:val="21"/>
              </w:rPr>
              <w:t>高。因此，周围环境对项目影响不大。</w:t>
            </w:r>
          </w:p>
        </w:tc>
      </w:tr>
      <w:tr>
        <w:tblPrEx>
          <w:tblW w:w="0" w:type="auto"/>
          <w:tblInd w:w="2550" w:type="dxa"/>
          <w:tblLayout w:type="fixed"/>
          <w:tblCellMar>
            <w:top w:w="0" w:type="dxa"/>
            <w:left w:w="0" w:type="dxa"/>
            <w:bottom w:w="0" w:type="dxa"/>
            <w:right w:w="0" w:type="dxa"/>
          </w:tblCellMar>
        </w:tblPrEx>
        <w:trPr>
          <w:trHeight w:val="1560"/>
        </w:trPr>
        <w:tc>
          <w:tcPr>
            <w:tcW w:w="1863" w:type="dxa"/>
          </w:tcPr>
          <w:p>
            <w:pPr>
              <w:pStyle w:val="TableParagraph"/>
              <w:rPr>
                <w:b/>
                <w:sz w:val="20"/>
              </w:rPr>
            </w:pPr>
          </w:p>
          <w:p>
            <w:pPr>
              <w:pStyle w:val="TableParagraph"/>
              <w:spacing w:before="2"/>
              <w:rPr>
                <w:b/>
                <w:sz w:val="18"/>
              </w:rPr>
            </w:pPr>
          </w:p>
          <w:p>
            <w:pPr>
              <w:pStyle w:val="TableParagraph"/>
              <w:spacing w:line="278" w:lineRule="auto"/>
              <w:ind w:left="720" w:right="187" w:hanging="526"/>
              <w:rPr>
                <w:sz w:val="21"/>
              </w:rPr>
            </w:pPr>
            <w:r>
              <w:rPr>
                <w:sz w:val="21"/>
              </w:rPr>
              <w:t>项目对外界环境影响</w:t>
            </w:r>
          </w:p>
        </w:tc>
        <w:tc>
          <w:tcPr>
            <w:tcW w:w="5056" w:type="dxa"/>
          </w:tcPr>
          <w:p>
            <w:pPr>
              <w:pStyle w:val="TableParagraph"/>
              <w:spacing w:before="21" w:line="278" w:lineRule="auto"/>
              <w:ind w:left="107" w:right="-15" w:firstLine="4"/>
              <w:rPr>
                <w:sz w:val="21"/>
              </w:rPr>
            </w:pPr>
            <w:r>
              <w:rPr>
                <w:sz w:val="21"/>
              </w:rPr>
              <w:t>项目营运期间污染物产生量均不大，废气、噪声采取相应措施后可达标排放；项目生产过程不用水，生活</w:t>
            </w:r>
            <w:r>
              <w:rPr>
                <w:spacing w:val="-5"/>
                <w:sz w:val="21"/>
              </w:rPr>
              <w:t>污水经化粪池预处理后由环卫部门定期清运，不外排； 固废全部得到妥善处置。因此，项目建设对周围环境</w:t>
            </w:r>
          </w:p>
          <w:p>
            <w:pPr>
              <w:pStyle w:val="TableParagraph"/>
              <w:spacing w:line="269" w:lineRule="exact"/>
              <w:ind w:left="2003"/>
              <w:rPr>
                <w:sz w:val="21"/>
              </w:rPr>
            </w:pPr>
            <w:r>
              <w:rPr>
                <w:sz w:val="21"/>
              </w:rPr>
              <w:t>影响不大。</w:t>
            </w:r>
          </w:p>
        </w:tc>
      </w:tr>
      <w:tr>
        <w:tblPrEx>
          <w:tblW w:w="0" w:type="auto"/>
          <w:tblInd w:w="2550" w:type="dxa"/>
          <w:tblLayout w:type="fixed"/>
          <w:tblCellMar>
            <w:top w:w="0" w:type="dxa"/>
            <w:left w:w="0" w:type="dxa"/>
            <w:bottom w:w="0" w:type="dxa"/>
            <w:right w:w="0" w:type="dxa"/>
          </w:tblCellMar>
        </w:tblPrEx>
        <w:trPr>
          <w:trHeight w:val="630"/>
        </w:trPr>
        <w:tc>
          <w:tcPr>
            <w:tcW w:w="1863" w:type="dxa"/>
          </w:tcPr>
          <w:p>
            <w:pPr>
              <w:pStyle w:val="TableParagraph"/>
              <w:spacing w:before="179"/>
              <w:ind w:left="174" w:right="167"/>
              <w:jc w:val="center"/>
              <w:rPr>
                <w:sz w:val="21"/>
              </w:rPr>
            </w:pPr>
            <w:r>
              <w:rPr>
                <w:sz w:val="21"/>
              </w:rPr>
              <w:t>环境敏感点</w:t>
            </w:r>
          </w:p>
        </w:tc>
        <w:tc>
          <w:tcPr>
            <w:tcW w:w="5056" w:type="dxa"/>
          </w:tcPr>
          <w:p>
            <w:pPr>
              <w:pStyle w:val="TableParagraph"/>
              <w:spacing w:before="23"/>
              <w:ind w:left="112"/>
              <w:rPr>
                <w:sz w:val="21"/>
              </w:rPr>
            </w:pPr>
            <w:r>
              <w:rPr>
                <w:w w:val="95"/>
                <w:sz w:val="21"/>
              </w:rPr>
              <w:t>项目污染物经采取相应污染防治措施后，噪声、废气</w:t>
            </w:r>
          </w:p>
          <w:p>
            <w:pPr>
              <w:pStyle w:val="TableParagraph"/>
              <w:spacing w:before="43"/>
              <w:ind w:left="112"/>
              <w:rPr>
                <w:sz w:val="21"/>
              </w:rPr>
            </w:pPr>
            <w:r>
              <w:rPr>
                <w:w w:val="95"/>
                <w:sz w:val="21"/>
              </w:rPr>
              <w:t>厂界可达标排放，因此对项目周围敏感点影响不大。</w:t>
            </w:r>
          </w:p>
        </w:tc>
      </w:tr>
    </w:tbl>
    <w:p>
      <w:pPr>
        <w:pStyle w:val="BodyText"/>
        <w:spacing w:before="80"/>
        <w:ind w:left="653" w:right="447"/>
        <w:jc w:val="center"/>
      </w:pPr>
      <w:bookmarkStart w:id="1" w:name="由以上分析可知，项目选址较为合理。"/>
      <w:bookmarkEnd w:id="1"/>
      <w:r>
        <w:t>由以上分析可知，项目选址较为合理。</w:t>
      </w:r>
    </w:p>
    <w:p>
      <w:pPr>
        <w:spacing w:after="0"/>
        <w:jc w:val="center"/>
        <w:sectPr>
          <w:footerReference w:type="default" r:id="rId17"/>
          <w:pgSz w:w="11910" w:h="16840"/>
          <w:pgMar w:top="1380" w:right="980" w:bottom="1320" w:left="1040" w:header="0" w:footer="1050" w:gutter="0"/>
          <w:pgNumType w:start="13"/>
          <w:cols w:num="1" w:space="720"/>
        </w:sectPr>
      </w:pPr>
    </w:p>
    <w:p>
      <w:pPr>
        <w:pStyle w:val="Heading1"/>
      </w:pPr>
      <w:r>
        <w:pict>
          <v:shapetype id="_x0000_t202" coordsize="21600,21600" o:spt="202" path="m,l,21600r21600,l21600,xe">
            <v:stroke joinstyle="miter"/>
            <v:path gradientshapeok="t" o:connecttype="rect"/>
          </v:shapetype>
          <v:shape id="_x0000_s1034" o:spid="_x0000_s1033" type="#_x0000_t202" style="width:462.85pt;height:652.75pt;margin-top:103.2pt;margin-left:66.35pt;mso-height-relative:page;mso-position-horizontal-relative:page;mso-position-vertical-relative:page;mso-width-relative:page;position:absolute;z-index:25166643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90"/>
                    <w:gridCol w:w="1171"/>
                    <w:gridCol w:w="1547"/>
                    <w:gridCol w:w="3547"/>
                    <w:gridCol w:w="1893"/>
                    <w:gridCol w:w="19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360"/>
                    </w:trPr>
                    <w:tc>
                      <w:tcPr>
                        <w:tcW w:w="704"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22"/>
                          </w:rPr>
                        </w:pPr>
                      </w:p>
                      <w:p>
                        <w:pPr>
                          <w:pStyle w:val="TableParagraph"/>
                          <w:spacing w:line="364" w:lineRule="auto"/>
                          <w:ind w:left="112" w:right="99"/>
                          <w:rPr>
                            <w:b/>
                            <w:sz w:val="24"/>
                          </w:rPr>
                        </w:pPr>
                        <w:r>
                          <w:rPr>
                            <w:b/>
                            <w:sz w:val="24"/>
                          </w:rPr>
                          <w:t>建设内容</w:t>
                        </w:r>
                      </w:p>
                    </w:tc>
                    <w:tc>
                      <w:tcPr>
                        <w:tcW w:w="8538" w:type="dxa"/>
                        <w:gridSpan w:val="6"/>
                        <w:tcBorders>
                          <w:bottom w:val="nil"/>
                        </w:tcBorders>
                      </w:tcPr>
                      <w:p>
                        <w:pPr>
                          <w:pStyle w:val="TableParagraph"/>
                          <w:spacing w:before="80"/>
                          <w:ind w:left="586"/>
                          <w:rPr>
                            <w:b/>
                            <w:sz w:val="24"/>
                          </w:rPr>
                        </w:pPr>
                        <w:r>
                          <w:rPr>
                            <w:rFonts w:ascii="Times New Roman" w:eastAsia="Times New Roman"/>
                            <w:b/>
                            <w:sz w:val="24"/>
                          </w:rPr>
                          <w:t>1</w:t>
                        </w:r>
                        <w:r>
                          <w:rPr>
                            <w:b/>
                            <w:sz w:val="24"/>
                          </w:rPr>
                          <w:t>、项目概况</w:t>
                        </w:r>
                      </w:p>
                      <w:p>
                        <w:pPr>
                          <w:pStyle w:val="TableParagraph"/>
                          <w:spacing w:before="160" w:line="364" w:lineRule="auto"/>
                          <w:ind w:left="106" w:right="95" w:firstLine="480"/>
                          <w:jc w:val="both"/>
                          <w:rPr>
                            <w:sz w:val="24"/>
                          </w:rPr>
                        </w:pPr>
                        <w:r>
                          <w:rPr>
                            <w:spacing w:val="-4"/>
                            <w:sz w:val="24"/>
                          </w:rPr>
                          <w:t>宁津县奥翔生物质颗粒加工厂位于德州市宁津县张大庄镇王庄村，注册成立</w:t>
                        </w:r>
                        <w:r>
                          <w:rPr>
                            <w:spacing w:val="-27"/>
                            <w:sz w:val="24"/>
                          </w:rPr>
                          <w:t xml:space="preserve">于 </w:t>
                        </w:r>
                        <w:r>
                          <w:rPr>
                            <w:rFonts w:ascii="Times New Roman" w:eastAsia="Times New Roman"/>
                            <w:sz w:val="24"/>
                          </w:rPr>
                          <w:t xml:space="preserve">2020 </w:t>
                        </w:r>
                        <w:r>
                          <w:rPr>
                            <w:spacing w:val="-27"/>
                            <w:sz w:val="24"/>
                          </w:rPr>
                          <w:t xml:space="preserve">年 </w:t>
                        </w:r>
                        <w:r>
                          <w:rPr>
                            <w:rFonts w:ascii="Times New Roman" w:eastAsia="Times New Roman"/>
                            <w:sz w:val="24"/>
                          </w:rPr>
                          <w:t xml:space="preserve">06 </w:t>
                        </w:r>
                        <w:r>
                          <w:rPr>
                            <w:spacing w:val="-27"/>
                            <w:sz w:val="24"/>
                          </w:rPr>
                          <w:t xml:space="preserve">月 </w:t>
                        </w:r>
                        <w:r>
                          <w:rPr>
                            <w:rFonts w:ascii="Times New Roman" w:eastAsia="Times New Roman"/>
                            <w:sz w:val="24"/>
                          </w:rPr>
                          <w:t xml:space="preserve">04 </w:t>
                        </w:r>
                        <w:r>
                          <w:rPr>
                            <w:sz w:val="24"/>
                          </w:rPr>
                          <w:t>日，经营范围包括木质颗粒加工销售。（依法须经批准的项目，经相关部门批准后方可开展经营活动）。</w:t>
                        </w:r>
                      </w:p>
                      <w:p>
                        <w:pPr>
                          <w:pStyle w:val="TableParagraph"/>
                          <w:spacing w:before="2" w:line="364" w:lineRule="auto"/>
                          <w:ind w:left="106" w:right="92" w:firstLine="480"/>
                          <w:jc w:val="both"/>
                          <w:rPr>
                            <w:sz w:val="24"/>
                          </w:rPr>
                        </w:pPr>
                        <w:r>
                          <w:rPr>
                            <w:spacing w:val="-11"/>
                            <w:sz w:val="24"/>
                          </w:rPr>
                          <w:t>根据《中华人民共和国环境保护法》、《中华人民共和国环境影响评价法》</w:t>
                        </w:r>
                        <w:r>
                          <w:rPr>
                            <w:spacing w:val="-10"/>
                            <w:sz w:val="24"/>
                          </w:rPr>
                          <w:t xml:space="preserve">国务院令第 </w:t>
                        </w:r>
                        <w:r>
                          <w:rPr>
                            <w:rFonts w:ascii="Times New Roman" w:eastAsia="Times New Roman" w:hAnsi="Times New Roman"/>
                            <w:sz w:val="24"/>
                          </w:rPr>
                          <w:t xml:space="preserve">682 </w:t>
                        </w:r>
                        <w:r>
                          <w:rPr>
                            <w:spacing w:val="-10"/>
                            <w:sz w:val="24"/>
                          </w:rPr>
                          <w:t>号《建设项目环境保护管理条例》、《建设项目环境影响评价分</w:t>
                        </w:r>
                        <w:r>
                          <w:rPr>
                            <w:sz w:val="24"/>
                          </w:rPr>
                          <w:t>类管理名录》（</w:t>
                        </w:r>
                        <w:r>
                          <w:rPr>
                            <w:rFonts w:ascii="Times New Roman" w:eastAsia="Times New Roman" w:hAnsi="Times New Roman"/>
                            <w:sz w:val="24"/>
                          </w:rPr>
                          <w:t xml:space="preserve">2021 </w:t>
                        </w:r>
                        <w:r>
                          <w:rPr>
                            <w:spacing w:val="2"/>
                            <w:sz w:val="24"/>
                          </w:rPr>
                          <w:t>年版</w:t>
                        </w:r>
                        <w:r>
                          <w:rPr>
                            <w:sz w:val="24"/>
                          </w:rPr>
                          <w:t>）等中的有关规定，该项目需进行环境影响评价，本项目为</w:t>
                        </w:r>
                        <w:r>
                          <w:rPr>
                            <w:rFonts w:ascii="Times New Roman" w:eastAsia="Times New Roman" w:hAnsi="Times New Roman"/>
                            <w:sz w:val="24"/>
                          </w:rPr>
                          <w:t>“</w:t>
                        </w:r>
                        <w:r>
                          <w:rPr>
                            <w:spacing w:val="-15"/>
                            <w:sz w:val="24"/>
                          </w:rPr>
                          <w:t xml:space="preserve">二十二、石油、煤炭及其他燃料加工业 </w:t>
                        </w:r>
                        <w:r>
                          <w:rPr>
                            <w:rFonts w:ascii="Times New Roman" w:eastAsia="Times New Roman" w:hAnsi="Times New Roman"/>
                            <w:sz w:val="24"/>
                          </w:rPr>
                          <w:t>25”</w:t>
                        </w:r>
                        <w:r>
                          <w:rPr>
                            <w:sz w:val="24"/>
                          </w:rPr>
                          <w:t>中的</w:t>
                        </w:r>
                        <w:r>
                          <w:rPr>
                            <w:rFonts w:ascii="Times New Roman" w:eastAsia="Times New Roman" w:hAnsi="Times New Roman"/>
                            <w:sz w:val="24"/>
                          </w:rPr>
                          <w:t xml:space="preserve">“43 </w:t>
                        </w:r>
                        <w:r>
                          <w:rPr>
                            <w:sz w:val="24"/>
                          </w:rPr>
                          <w:t xml:space="preserve">生物质燃料加工 </w:t>
                        </w:r>
                        <w:r>
                          <w:rPr>
                            <w:rFonts w:ascii="Times New Roman" w:eastAsia="Times New Roman" w:hAnsi="Times New Roman"/>
                            <w:spacing w:val="-4"/>
                            <w:sz w:val="24"/>
                          </w:rPr>
                          <w:t xml:space="preserve">254” </w:t>
                        </w:r>
                        <w:r>
                          <w:rPr>
                            <w:sz w:val="24"/>
                          </w:rPr>
                          <w:t>中的</w:t>
                        </w:r>
                        <w:r>
                          <w:rPr>
                            <w:rFonts w:ascii="Times New Roman" w:eastAsia="Times New Roman" w:hAnsi="Times New Roman"/>
                            <w:sz w:val="24"/>
                          </w:rPr>
                          <w:t>“</w:t>
                        </w:r>
                        <w:r>
                          <w:rPr>
                            <w:sz w:val="24"/>
                          </w:rPr>
                          <w:t>生物质致密成型燃料加工</w:t>
                        </w:r>
                        <w:r>
                          <w:rPr>
                            <w:rFonts w:ascii="Times New Roman" w:eastAsia="Times New Roman" w:hAnsi="Times New Roman"/>
                            <w:sz w:val="24"/>
                          </w:rPr>
                          <w:t>”</w:t>
                        </w:r>
                        <w:r>
                          <w:rPr>
                            <w:spacing w:val="-8"/>
                            <w:sz w:val="24"/>
                          </w:rPr>
                          <w:t>类，应当编制环境影响报告表。受宁津县奥翔生</w:t>
                        </w:r>
                        <w:r>
                          <w:rPr>
                            <w:spacing w:val="-7"/>
                            <w:sz w:val="24"/>
                          </w:rPr>
                          <w:t>物质颗粒加工厂委托，我单位承担了该项目的环境影响评价工作，在对现场进行</w:t>
                        </w:r>
                        <w:r>
                          <w:rPr>
                            <w:spacing w:val="-8"/>
                            <w:sz w:val="24"/>
                          </w:rPr>
                          <w:t>勘查的基础上，编制了该环境影响报告表，为主管部门下一步的审查和决策、设</w:t>
                        </w:r>
                        <w:r>
                          <w:rPr>
                            <w:sz w:val="24"/>
                          </w:rPr>
                          <w:t>计部门设计和项目的环境管理提供依据。</w:t>
                        </w:r>
                      </w:p>
                      <w:p>
                        <w:pPr>
                          <w:pStyle w:val="TableParagraph"/>
                          <w:spacing w:before="5"/>
                          <w:ind w:left="586"/>
                          <w:rPr>
                            <w:b/>
                            <w:sz w:val="24"/>
                          </w:rPr>
                        </w:pPr>
                        <w:r>
                          <w:rPr>
                            <w:rFonts w:ascii="Times New Roman" w:eastAsia="Times New Roman"/>
                            <w:b/>
                            <w:sz w:val="24"/>
                          </w:rPr>
                          <w:t>2</w:t>
                        </w:r>
                        <w:r>
                          <w:rPr>
                            <w:b/>
                            <w:sz w:val="24"/>
                          </w:rPr>
                          <w:t>、建设内容及规模</w:t>
                        </w:r>
                      </w:p>
                      <w:p>
                        <w:pPr>
                          <w:pStyle w:val="TableParagraph"/>
                          <w:spacing w:before="160" w:line="364" w:lineRule="auto"/>
                          <w:ind w:left="586" w:right="3430"/>
                          <w:rPr>
                            <w:sz w:val="24"/>
                          </w:rPr>
                        </w:pPr>
                        <w:r>
                          <w:rPr>
                            <w:sz w:val="24"/>
                          </w:rPr>
                          <w:t xml:space="preserve">项目名称：年产生物质颗粒 </w:t>
                        </w:r>
                        <w:r>
                          <w:rPr>
                            <w:rFonts w:ascii="Times New Roman" w:eastAsia="Times New Roman"/>
                            <w:sz w:val="24"/>
                          </w:rPr>
                          <w:t xml:space="preserve">1000 </w:t>
                        </w:r>
                        <w:r>
                          <w:rPr>
                            <w:sz w:val="24"/>
                          </w:rPr>
                          <w:t>吨项目； 建设性质：新建；</w:t>
                        </w:r>
                      </w:p>
                      <w:p>
                        <w:pPr>
                          <w:pStyle w:val="TableParagraph"/>
                          <w:spacing w:before="2" w:line="364" w:lineRule="auto"/>
                          <w:ind w:left="586" w:right="490"/>
                          <w:rPr>
                            <w:sz w:val="24"/>
                          </w:rPr>
                        </w:pPr>
                        <w:r>
                          <w:rPr>
                            <w:sz w:val="24"/>
                          </w:rPr>
                          <w:t xml:space="preserve">建设地点：德州市宁津县张大庄镇王庄村，项目具体位置详见附图 </w:t>
                        </w:r>
                        <w:r>
                          <w:rPr>
                            <w:rFonts w:ascii="Times New Roman" w:eastAsia="Times New Roman"/>
                            <w:sz w:val="24"/>
                          </w:rPr>
                          <w:t>1</w:t>
                        </w:r>
                        <w:r>
                          <w:rPr>
                            <w:sz w:val="24"/>
                          </w:rPr>
                          <w:t xml:space="preserve">； 建设规模：年产生物质颗粒 </w:t>
                        </w:r>
                        <w:r>
                          <w:rPr>
                            <w:rFonts w:ascii="Times New Roman" w:eastAsia="Times New Roman"/>
                            <w:sz w:val="24"/>
                          </w:rPr>
                          <w:t xml:space="preserve">1000 </w:t>
                        </w:r>
                        <w:r>
                          <w:rPr>
                            <w:sz w:val="24"/>
                          </w:rPr>
                          <w:t>吨。</w:t>
                        </w:r>
                      </w:p>
                      <w:p>
                        <w:pPr>
                          <w:pStyle w:val="TableParagraph"/>
                          <w:spacing w:before="1"/>
                          <w:ind w:left="586"/>
                          <w:rPr>
                            <w:b/>
                            <w:sz w:val="24"/>
                          </w:rPr>
                        </w:pPr>
                        <w:r>
                          <w:rPr>
                            <w:rFonts w:ascii="Times New Roman" w:eastAsia="Times New Roman"/>
                            <w:b/>
                            <w:sz w:val="24"/>
                          </w:rPr>
                          <w:t>3</w:t>
                        </w:r>
                        <w:r>
                          <w:rPr>
                            <w:b/>
                            <w:sz w:val="24"/>
                          </w:rPr>
                          <w:t>、项目组成</w:t>
                        </w:r>
                      </w:p>
                      <w:p>
                        <w:pPr>
                          <w:pStyle w:val="TableParagraph"/>
                          <w:spacing w:before="160"/>
                          <w:ind w:left="586"/>
                          <w:rPr>
                            <w:sz w:val="24"/>
                          </w:rPr>
                        </w:pPr>
                        <w:r>
                          <w:rPr>
                            <w:sz w:val="24"/>
                          </w:rPr>
                          <w:t>本项目工程组成情况见下表。</w:t>
                        </w:r>
                      </w:p>
                      <w:p>
                        <w:pPr>
                          <w:pStyle w:val="TableParagraph"/>
                          <w:spacing w:before="161"/>
                          <w:ind w:left="2535" w:right="2517"/>
                          <w:jc w:val="center"/>
                          <w:rPr>
                            <w:b/>
                            <w:sz w:val="24"/>
                          </w:rPr>
                        </w:pPr>
                        <w:r>
                          <w:rPr>
                            <w:b/>
                            <w:sz w:val="24"/>
                          </w:rPr>
                          <w:t xml:space="preserve">表 </w:t>
                        </w:r>
                        <w:r>
                          <w:rPr>
                            <w:rFonts w:ascii="Times New Roman" w:eastAsia="Times New Roman"/>
                            <w:b/>
                            <w:sz w:val="24"/>
                          </w:rPr>
                          <w:t xml:space="preserve">2-1  </w:t>
                        </w:r>
                        <w:r>
                          <w:rPr>
                            <w:b/>
                            <w:sz w:val="24"/>
                          </w:rPr>
                          <w:t>本项目工程组成一览表</w:t>
                        </w:r>
                      </w:p>
                    </w:tc>
                  </w:tr>
                  <w:tr>
                    <w:tblPrEx>
                      <w:tblW w:w="0" w:type="auto"/>
                      <w:tblInd w:w="5" w:type="dxa"/>
                      <w:tblLayout w:type="fixed"/>
                      <w:tblCellMar>
                        <w:top w:w="0" w:type="dxa"/>
                        <w:left w:w="0" w:type="dxa"/>
                        <w:bottom w:w="0" w:type="dxa"/>
                        <w:right w:w="0" w:type="dxa"/>
                      </w:tblCellMar>
                    </w:tblPrEx>
                    <w:trPr>
                      <w:trHeight w:val="441"/>
                    </w:trPr>
                    <w:tc>
                      <w:tcPr>
                        <w:tcW w:w="704" w:type="dxa"/>
                        <w:vMerge/>
                        <w:tcBorders>
                          <w:top w:val="nil"/>
                        </w:tcBorders>
                      </w:tcPr>
                      <w:p>
                        <w:pPr>
                          <w:rPr>
                            <w:sz w:val="2"/>
                            <w:szCs w:val="2"/>
                          </w:rPr>
                        </w:pPr>
                      </w:p>
                    </w:tc>
                    <w:tc>
                      <w:tcPr>
                        <w:tcW w:w="190" w:type="dxa"/>
                        <w:vMerge w:val="restart"/>
                        <w:tcBorders>
                          <w:top w:val="nil"/>
                        </w:tcBorders>
                      </w:tcPr>
                      <w:p>
                        <w:pPr>
                          <w:pStyle w:val="TableParagraph"/>
                          <w:rPr>
                            <w:rFonts w:ascii="Times New Roman"/>
                            <w:sz w:val="22"/>
                          </w:rPr>
                        </w:pPr>
                      </w:p>
                    </w:tc>
                    <w:tc>
                      <w:tcPr>
                        <w:tcW w:w="1171" w:type="dxa"/>
                      </w:tcPr>
                      <w:p>
                        <w:pPr>
                          <w:pStyle w:val="TableParagraph"/>
                          <w:spacing w:before="85"/>
                          <w:ind w:left="143" w:right="134"/>
                          <w:jc w:val="center"/>
                          <w:rPr>
                            <w:b/>
                            <w:sz w:val="21"/>
                          </w:rPr>
                        </w:pPr>
                        <w:r>
                          <w:rPr>
                            <w:b/>
                            <w:sz w:val="21"/>
                          </w:rPr>
                          <w:t>类别</w:t>
                        </w:r>
                      </w:p>
                    </w:tc>
                    <w:tc>
                      <w:tcPr>
                        <w:tcW w:w="1547" w:type="dxa"/>
                      </w:tcPr>
                      <w:p>
                        <w:pPr>
                          <w:pStyle w:val="TableParagraph"/>
                          <w:spacing w:before="85"/>
                          <w:ind w:left="121" w:right="113"/>
                          <w:jc w:val="center"/>
                          <w:rPr>
                            <w:b/>
                            <w:sz w:val="21"/>
                          </w:rPr>
                        </w:pPr>
                        <w:r>
                          <w:rPr>
                            <w:b/>
                            <w:sz w:val="21"/>
                          </w:rPr>
                          <w:t>项 目</w:t>
                        </w:r>
                      </w:p>
                    </w:tc>
                    <w:tc>
                      <w:tcPr>
                        <w:tcW w:w="3547" w:type="dxa"/>
                      </w:tcPr>
                      <w:p>
                        <w:pPr>
                          <w:pStyle w:val="TableParagraph"/>
                          <w:spacing w:before="85"/>
                          <w:ind w:left="72" w:right="60"/>
                          <w:jc w:val="center"/>
                          <w:rPr>
                            <w:b/>
                            <w:sz w:val="21"/>
                          </w:rPr>
                        </w:pPr>
                        <w:r>
                          <w:rPr>
                            <w:b/>
                            <w:sz w:val="21"/>
                          </w:rPr>
                          <w:t>建设内容</w:t>
                        </w:r>
                      </w:p>
                    </w:tc>
                    <w:tc>
                      <w:tcPr>
                        <w:tcW w:w="1893" w:type="dxa"/>
                      </w:tcPr>
                      <w:p>
                        <w:pPr>
                          <w:pStyle w:val="TableParagraph"/>
                          <w:spacing w:before="85"/>
                          <w:ind w:left="190" w:right="180"/>
                          <w:jc w:val="center"/>
                          <w:rPr>
                            <w:b/>
                            <w:sz w:val="21"/>
                          </w:rPr>
                        </w:pPr>
                        <w:r>
                          <w:rPr>
                            <w:b/>
                            <w:sz w:val="21"/>
                          </w:rPr>
                          <w:t>备注</w:t>
                        </w:r>
                      </w:p>
                    </w:tc>
                    <w:tc>
                      <w:tcPr>
                        <w:tcW w:w="190" w:type="dxa"/>
                        <w:vMerge w:val="restart"/>
                        <w:tcBorders>
                          <w:top w:val="nil"/>
                        </w:tcBorders>
                      </w:tcPr>
                      <w:p>
                        <w:pPr>
                          <w:pStyle w:val="TableParagraph"/>
                          <w:rPr>
                            <w:rFonts w:ascii="Times New Roman"/>
                            <w:sz w:val="22"/>
                          </w:rPr>
                        </w:pPr>
                      </w:p>
                    </w:tc>
                  </w:tr>
                  <w:tr>
                    <w:tblPrEx>
                      <w:tblW w:w="0" w:type="auto"/>
                      <w:tblInd w:w="5"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tcPr>
                      <w:p>
                        <w:pPr>
                          <w:pStyle w:val="TableParagraph"/>
                          <w:spacing w:before="135"/>
                          <w:ind w:left="143" w:right="138"/>
                          <w:jc w:val="center"/>
                          <w:rPr>
                            <w:sz w:val="21"/>
                          </w:rPr>
                        </w:pPr>
                        <w:r>
                          <w:rPr>
                            <w:sz w:val="21"/>
                          </w:rPr>
                          <w:t>主体工程</w:t>
                        </w:r>
                      </w:p>
                    </w:tc>
                    <w:tc>
                      <w:tcPr>
                        <w:tcW w:w="1547" w:type="dxa"/>
                      </w:tcPr>
                      <w:p>
                        <w:pPr>
                          <w:pStyle w:val="TableParagraph"/>
                          <w:spacing w:before="135"/>
                          <w:ind w:left="118" w:right="115"/>
                          <w:jc w:val="center"/>
                          <w:rPr>
                            <w:sz w:val="21"/>
                          </w:rPr>
                        </w:pPr>
                        <w:r>
                          <w:rPr>
                            <w:sz w:val="21"/>
                          </w:rPr>
                          <w:t>生产车间</w:t>
                        </w:r>
                      </w:p>
                    </w:tc>
                    <w:tc>
                      <w:tcPr>
                        <w:tcW w:w="3547" w:type="dxa"/>
                      </w:tcPr>
                      <w:p>
                        <w:pPr>
                          <w:pStyle w:val="TableParagraph"/>
                          <w:ind w:left="70" w:right="65"/>
                          <w:jc w:val="center"/>
                          <w:rPr>
                            <w:sz w:val="21"/>
                          </w:rPr>
                        </w:pPr>
                        <w:r>
                          <w:rPr>
                            <w:rFonts w:ascii="Times New Roman" w:eastAsia="Times New Roman"/>
                            <w:sz w:val="21"/>
                          </w:rPr>
                          <w:t>1</w:t>
                        </w:r>
                        <w:r>
                          <w:rPr>
                            <w:sz w:val="21"/>
                          </w:rPr>
                          <w:t>座，单层，建筑面积</w:t>
                        </w:r>
                        <w:r>
                          <w:rPr>
                            <w:rFonts w:ascii="Times New Roman" w:eastAsia="Times New Roman"/>
                            <w:sz w:val="21"/>
                          </w:rPr>
                          <w:t>1080m</w:t>
                        </w:r>
                        <w:r>
                          <w:rPr>
                            <w:rFonts w:ascii="Times New Roman" w:eastAsia="Times New Roman"/>
                            <w:position w:val="7"/>
                            <w:sz w:val="13"/>
                          </w:rPr>
                          <w:t>2</w:t>
                        </w:r>
                        <w:r>
                          <w:rPr>
                            <w:sz w:val="21"/>
                          </w:rPr>
                          <w:t>，分别</w:t>
                        </w:r>
                      </w:p>
                      <w:p>
                        <w:pPr>
                          <w:pStyle w:val="TableParagraph"/>
                          <w:spacing w:before="3" w:line="253" w:lineRule="exact"/>
                          <w:ind w:left="72" w:right="65"/>
                          <w:jc w:val="center"/>
                          <w:rPr>
                            <w:sz w:val="21"/>
                          </w:rPr>
                        </w:pPr>
                        <w:r>
                          <w:rPr>
                            <w:sz w:val="21"/>
                          </w:rPr>
                          <w:t>设置原料区、生产区、成品区</w:t>
                        </w:r>
                      </w:p>
                    </w:tc>
                    <w:tc>
                      <w:tcPr>
                        <w:tcW w:w="1893" w:type="dxa"/>
                      </w:tcPr>
                      <w:p>
                        <w:pPr>
                          <w:pStyle w:val="TableParagraph"/>
                          <w:spacing w:before="135"/>
                          <w:ind w:left="187" w:right="182"/>
                          <w:jc w:val="center"/>
                          <w:rPr>
                            <w:sz w:val="21"/>
                          </w:rPr>
                        </w:pPr>
                        <w:r>
                          <w:rPr>
                            <w:sz w:val="21"/>
                          </w:rPr>
                          <w:t>租赁现有</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tcPr>
                      <w:p>
                        <w:pPr>
                          <w:pStyle w:val="TableParagraph"/>
                          <w:spacing w:before="84"/>
                          <w:ind w:left="143" w:right="138"/>
                          <w:jc w:val="center"/>
                          <w:rPr>
                            <w:sz w:val="21"/>
                          </w:rPr>
                        </w:pPr>
                        <w:r>
                          <w:rPr>
                            <w:sz w:val="21"/>
                          </w:rPr>
                          <w:t>辅助工程</w:t>
                        </w:r>
                      </w:p>
                    </w:tc>
                    <w:tc>
                      <w:tcPr>
                        <w:tcW w:w="1547" w:type="dxa"/>
                      </w:tcPr>
                      <w:p>
                        <w:pPr>
                          <w:pStyle w:val="TableParagraph"/>
                          <w:spacing w:before="84"/>
                          <w:ind w:left="121" w:right="115"/>
                          <w:jc w:val="center"/>
                          <w:rPr>
                            <w:sz w:val="21"/>
                          </w:rPr>
                        </w:pPr>
                        <w:r>
                          <w:rPr>
                            <w:sz w:val="21"/>
                          </w:rPr>
                          <w:t>办公室</w:t>
                        </w:r>
                      </w:p>
                    </w:tc>
                    <w:tc>
                      <w:tcPr>
                        <w:tcW w:w="3547" w:type="dxa"/>
                      </w:tcPr>
                      <w:p>
                        <w:pPr>
                          <w:pStyle w:val="TableParagraph"/>
                          <w:spacing w:before="84"/>
                          <w:ind w:left="72" w:right="65"/>
                          <w:jc w:val="center"/>
                          <w:rPr>
                            <w:sz w:val="21"/>
                          </w:rPr>
                        </w:pPr>
                        <w:r>
                          <w:rPr>
                            <w:rFonts w:ascii="Times New Roman" w:eastAsia="Times New Roman"/>
                            <w:sz w:val="21"/>
                          </w:rPr>
                          <w:t>1</w:t>
                        </w:r>
                        <w:r>
                          <w:rPr>
                            <w:sz w:val="21"/>
                          </w:rPr>
                          <w:t>间，建筑面积</w:t>
                        </w:r>
                        <w:r>
                          <w:rPr>
                            <w:rFonts w:ascii="Times New Roman" w:eastAsia="Times New Roman"/>
                            <w:sz w:val="21"/>
                          </w:rPr>
                          <w:t>20m</w:t>
                        </w:r>
                        <w:r>
                          <w:rPr>
                            <w:rFonts w:ascii="Times New Roman" w:eastAsia="Times New Roman"/>
                            <w:position w:val="7"/>
                            <w:sz w:val="13"/>
                          </w:rPr>
                          <w:t>2</w:t>
                        </w:r>
                        <w:r>
                          <w:rPr>
                            <w:sz w:val="21"/>
                          </w:rPr>
                          <w:t>，用于人员办公</w:t>
                        </w:r>
                      </w:p>
                    </w:tc>
                    <w:tc>
                      <w:tcPr>
                        <w:tcW w:w="1893" w:type="dxa"/>
                      </w:tcPr>
                      <w:p>
                        <w:pPr>
                          <w:pStyle w:val="TableParagraph"/>
                          <w:spacing w:before="84"/>
                          <w:ind w:left="187" w:right="182"/>
                          <w:jc w:val="center"/>
                          <w:rPr>
                            <w:sz w:val="21"/>
                          </w:rPr>
                        </w:pPr>
                        <w:r>
                          <w:rPr>
                            <w:sz w:val="21"/>
                          </w:rPr>
                          <w:t>租赁现有</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4"/>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val="restart"/>
                      </w:tcPr>
                      <w:p>
                        <w:pPr>
                          <w:pStyle w:val="TableParagraph"/>
                          <w:rPr>
                            <w:sz w:val="20"/>
                          </w:rPr>
                        </w:pPr>
                      </w:p>
                      <w:p>
                        <w:pPr>
                          <w:pStyle w:val="TableParagraph"/>
                          <w:rPr>
                            <w:sz w:val="20"/>
                          </w:rPr>
                        </w:pPr>
                      </w:p>
                      <w:p>
                        <w:pPr>
                          <w:pStyle w:val="TableParagraph"/>
                          <w:rPr>
                            <w:sz w:val="20"/>
                          </w:rPr>
                        </w:pPr>
                      </w:p>
                      <w:p>
                        <w:pPr>
                          <w:pStyle w:val="TableParagraph"/>
                          <w:spacing w:before="5"/>
                          <w:rPr>
                            <w:sz w:val="15"/>
                          </w:rPr>
                        </w:pPr>
                      </w:p>
                      <w:p>
                        <w:pPr>
                          <w:pStyle w:val="TableParagraph"/>
                          <w:ind w:left="164"/>
                          <w:rPr>
                            <w:sz w:val="21"/>
                          </w:rPr>
                        </w:pPr>
                        <w:r>
                          <w:rPr>
                            <w:sz w:val="21"/>
                          </w:rPr>
                          <w:t>公用工程</w:t>
                        </w:r>
                      </w:p>
                    </w:tc>
                    <w:tc>
                      <w:tcPr>
                        <w:tcW w:w="1547" w:type="dxa"/>
                      </w:tcPr>
                      <w:p>
                        <w:pPr>
                          <w:pStyle w:val="TableParagraph"/>
                          <w:spacing w:before="136"/>
                          <w:ind w:left="118" w:right="115"/>
                          <w:jc w:val="center"/>
                          <w:rPr>
                            <w:sz w:val="21"/>
                          </w:rPr>
                        </w:pPr>
                        <w:r>
                          <w:rPr>
                            <w:sz w:val="21"/>
                          </w:rPr>
                          <w:t>供水工程</w:t>
                        </w:r>
                      </w:p>
                    </w:tc>
                    <w:tc>
                      <w:tcPr>
                        <w:tcW w:w="3547" w:type="dxa"/>
                      </w:tcPr>
                      <w:p>
                        <w:pPr>
                          <w:pStyle w:val="TableParagraph"/>
                          <w:spacing w:before="127"/>
                          <w:ind w:left="72" w:right="62"/>
                          <w:jc w:val="center"/>
                          <w:rPr>
                            <w:rFonts w:ascii="Times New Roman" w:eastAsia="Times New Roman"/>
                            <w:sz w:val="24"/>
                          </w:rPr>
                        </w:pPr>
                        <w:r>
                          <w:rPr>
                            <w:sz w:val="21"/>
                          </w:rPr>
                          <w:t xml:space="preserve">本项目用水量为 </w:t>
                        </w:r>
                        <w:r>
                          <w:rPr>
                            <w:rFonts w:ascii="Times New Roman" w:eastAsia="Times New Roman"/>
                            <w:sz w:val="21"/>
                          </w:rPr>
                          <w:t>45</w:t>
                        </w:r>
                        <w:r>
                          <w:rPr>
                            <w:rFonts w:ascii="Times New Roman" w:eastAsia="Times New Roman"/>
                            <w:sz w:val="24"/>
                          </w:rPr>
                          <w:t>m</w:t>
                        </w:r>
                        <w:r>
                          <w:rPr>
                            <w:rFonts w:ascii="Times New Roman" w:eastAsia="Times New Roman"/>
                            <w:position w:val="8"/>
                            <w:sz w:val="15"/>
                          </w:rPr>
                          <w:t>3</w:t>
                        </w:r>
                        <w:r>
                          <w:rPr>
                            <w:rFonts w:ascii="Times New Roman" w:eastAsia="Times New Roman"/>
                            <w:sz w:val="24"/>
                          </w:rPr>
                          <w:t>/a</w:t>
                        </w:r>
                      </w:p>
                    </w:tc>
                    <w:tc>
                      <w:tcPr>
                        <w:tcW w:w="1893" w:type="dxa"/>
                      </w:tcPr>
                      <w:p>
                        <w:pPr>
                          <w:pStyle w:val="TableParagraph"/>
                          <w:spacing w:line="268" w:lineRule="exact"/>
                          <w:ind w:left="190" w:right="182"/>
                          <w:jc w:val="center"/>
                          <w:rPr>
                            <w:sz w:val="21"/>
                          </w:rPr>
                        </w:pPr>
                        <w:r>
                          <w:rPr>
                            <w:sz w:val="21"/>
                          </w:rPr>
                          <w:t>由宁津县市政自</w:t>
                        </w:r>
                      </w:p>
                      <w:p>
                        <w:pPr>
                          <w:pStyle w:val="TableParagraph"/>
                          <w:spacing w:before="4" w:line="251" w:lineRule="exact"/>
                          <w:ind w:left="190" w:right="182"/>
                          <w:jc w:val="center"/>
                          <w:rPr>
                            <w:sz w:val="21"/>
                          </w:rPr>
                        </w:pPr>
                        <w:r>
                          <w:rPr>
                            <w:sz w:val="21"/>
                          </w:rPr>
                          <w:t>来水管网供给</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6"/>
                          <w:ind w:left="118" w:right="115"/>
                          <w:jc w:val="center"/>
                          <w:rPr>
                            <w:sz w:val="21"/>
                          </w:rPr>
                        </w:pPr>
                        <w:r>
                          <w:rPr>
                            <w:sz w:val="21"/>
                          </w:rPr>
                          <w:t>排水工程</w:t>
                        </w:r>
                      </w:p>
                    </w:tc>
                    <w:tc>
                      <w:tcPr>
                        <w:tcW w:w="3547" w:type="dxa"/>
                      </w:tcPr>
                      <w:p>
                        <w:pPr>
                          <w:pStyle w:val="TableParagraph"/>
                          <w:spacing w:before="1" w:line="270" w:lineRule="atLeast"/>
                          <w:ind w:left="1667" w:right="44" w:hanging="1560"/>
                          <w:rPr>
                            <w:sz w:val="21"/>
                          </w:rPr>
                        </w:pPr>
                        <w:r>
                          <w:rPr>
                            <w:sz w:val="21"/>
                          </w:rPr>
                          <w:t>雨污分流，生活污水环卫部门定期清运</w:t>
                        </w:r>
                      </w:p>
                    </w:tc>
                    <w:tc>
                      <w:tcPr>
                        <w:tcW w:w="1893" w:type="dxa"/>
                      </w:tcPr>
                      <w:p>
                        <w:pPr>
                          <w:pStyle w:val="TableParagraph"/>
                          <w:spacing w:before="136"/>
                          <w:ind w:left="190" w:right="182"/>
                          <w:jc w:val="center"/>
                          <w:rPr>
                            <w:sz w:val="21"/>
                          </w:rPr>
                        </w:pPr>
                        <w:r>
                          <w:rPr>
                            <w:sz w:val="21"/>
                          </w:rPr>
                          <w:t>不外排</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6"/>
                          <w:ind w:left="118" w:right="115"/>
                          <w:jc w:val="center"/>
                          <w:rPr>
                            <w:sz w:val="21"/>
                          </w:rPr>
                        </w:pPr>
                        <w:r>
                          <w:rPr>
                            <w:sz w:val="21"/>
                          </w:rPr>
                          <w:t>供电工程</w:t>
                        </w:r>
                      </w:p>
                    </w:tc>
                    <w:tc>
                      <w:tcPr>
                        <w:tcW w:w="3547" w:type="dxa"/>
                      </w:tcPr>
                      <w:p>
                        <w:pPr>
                          <w:pStyle w:val="TableParagraph"/>
                          <w:spacing w:before="136"/>
                          <w:ind w:left="72" w:right="61"/>
                          <w:jc w:val="center"/>
                          <w:rPr>
                            <w:rFonts w:ascii="Times New Roman" w:eastAsia="Times New Roman" w:hAnsi="Times New Roman"/>
                            <w:sz w:val="21"/>
                          </w:rPr>
                        </w:pPr>
                        <w:r>
                          <w:rPr>
                            <w:sz w:val="21"/>
                          </w:rPr>
                          <w:t xml:space="preserve">本项目用电量为 </w:t>
                        </w:r>
                        <w:r>
                          <w:rPr>
                            <w:rFonts w:ascii="Times New Roman" w:eastAsia="Times New Roman" w:hAnsi="Times New Roman"/>
                            <w:sz w:val="21"/>
                          </w:rPr>
                          <w:t xml:space="preserve">15 </w:t>
                        </w:r>
                        <w:r>
                          <w:rPr>
                            <w:sz w:val="21"/>
                          </w:rPr>
                          <w:t xml:space="preserve">万 </w:t>
                        </w:r>
                        <w:r>
                          <w:rPr>
                            <w:rFonts w:ascii="Times New Roman" w:eastAsia="Times New Roman" w:hAnsi="Times New Roman"/>
                            <w:sz w:val="21"/>
                          </w:rPr>
                          <w:t>kW·h/a</w:t>
                        </w:r>
                      </w:p>
                    </w:tc>
                    <w:tc>
                      <w:tcPr>
                        <w:tcW w:w="1893" w:type="dxa"/>
                      </w:tcPr>
                      <w:p>
                        <w:pPr>
                          <w:pStyle w:val="TableParagraph"/>
                          <w:spacing w:before="1"/>
                          <w:ind w:left="190" w:right="182"/>
                          <w:jc w:val="center"/>
                          <w:rPr>
                            <w:sz w:val="21"/>
                          </w:rPr>
                        </w:pPr>
                        <w:r>
                          <w:rPr>
                            <w:sz w:val="21"/>
                          </w:rPr>
                          <w:t>由宁津县市政电</w:t>
                        </w:r>
                      </w:p>
                      <w:p>
                        <w:pPr>
                          <w:pStyle w:val="TableParagraph"/>
                          <w:spacing w:before="2" w:line="252" w:lineRule="exact"/>
                          <w:ind w:left="187" w:right="182"/>
                          <w:jc w:val="center"/>
                          <w:rPr>
                            <w:sz w:val="21"/>
                          </w:rPr>
                        </w:pPr>
                        <w:r>
                          <w:rPr>
                            <w:sz w:val="21"/>
                          </w:rPr>
                          <w:t>网接入</w:t>
                        </w:r>
                      </w:p>
                    </w:tc>
                    <w:tc>
                      <w:tcPr>
                        <w:tcW w:w="190" w:type="dxa"/>
                        <w:vMerge/>
                        <w:tcBorders>
                          <w:top w:val="nil"/>
                        </w:tcBorders>
                      </w:tcPr>
                      <w:p>
                        <w:pPr>
                          <w:rPr>
                            <w:sz w:val="2"/>
                            <w:szCs w:val="2"/>
                          </w:rPr>
                        </w:pPr>
                      </w:p>
                    </w:tc>
                  </w:tr>
                  <w:tr>
                    <w:tblPrEx>
                      <w:tblW w:w="0" w:type="auto"/>
                      <w:tblInd w:w="5" w:type="dxa"/>
                      <w:tblLayout w:type="fixed"/>
                      <w:tblCellMar>
                        <w:top w:w="0" w:type="dxa"/>
                        <w:left w:w="0" w:type="dxa"/>
                        <w:bottom w:w="0" w:type="dxa"/>
                        <w:right w:w="0" w:type="dxa"/>
                      </w:tblCellMar>
                    </w:tblPrEx>
                    <w:trPr>
                      <w:trHeight w:val="542"/>
                    </w:trPr>
                    <w:tc>
                      <w:tcPr>
                        <w:tcW w:w="704" w:type="dxa"/>
                        <w:vMerge/>
                        <w:tcBorders>
                          <w:top w:val="nil"/>
                        </w:tcBorders>
                      </w:tcPr>
                      <w:p>
                        <w:pPr>
                          <w:rPr>
                            <w:sz w:val="2"/>
                            <w:szCs w:val="2"/>
                          </w:rPr>
                        </w:pPr>
                      </w:p>
                    </w:tc>
                    <w:tc>
                      <w:tcPr>
                        <w:tcW w:w="190" w:type="dxa"/>
                        <w:vMerge/>
                        <w:tcBorders>
                          <w:top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5"/>
                          <w:ind w:left="121" w:right="115"/>
                          <w:jc w:val="center"/>
                          <w:rPr>
                            <w:sz w:val="21"/>
                          </w:rPr>
                        </w:pPr>
                        <w:r>
                          <w:rPr>
                            <w:sz w:val="21"/>
                          </w:rPr>
                          <w:t>制冷供暖工程</w:t>
                        </w:r>
                      </w:p>
                    </w:tc>
                    <w:tc>
                      <w:tcPr>
                        <w:tcW w:w="3547" w:type="dxa"/>
                      </w:tcPr>
                      <w:p>
                        <w:pPr>
                          <w:pStyle w:val="TableParagraph"/>
                          <w:spacing w:before="1"/>
                          <w:ind w:left="72" w:right="65"/>
                          <w:jc w:val="center"/>
                          <w:rPr>
                            <w:sz w:val="21"/>
                          </w:rPr>
                        </w:pPr>
                        <w:r>
                          <w:rPr>
                            <w:sz w:val="21"/>
                          </w:rPr>
                          <w:t>生产车间内无供暖、制冷装置办公区</w:t>
                        </w:r>
                      </w:p>
                      <w:p>
                        <w:pPr>
                          <w:pStyle w:val="TableParagraph"/>
                          <w:spacing w:before="2" w:line="250" w:lineRule="exact"/>
                          <w:ind w:left="70" w:right="65"/>
                          <w:jc w:val="center"/>
                          <w:rPr>
                            <w:sz w:val="21"/>
                          </w:rPr>
                        </w:pPr>
                        <w:r>
                          <w:rPr>
                            <w:sz w:val="21"/>
                          </w:rPr>
                          <w:t>域采用空调制冷供暖</w:t>
                        </w:r>
                      </w:p>
                    </w:tc>
                    <w:tc>
                      <w:tcPr>
                        <w:tcW w:w="1893" w:type="dxa"/>
                      </w:tcPr>
                      <w:p>
                        <w:pPr>
                          <w:pStyle w:val="TableParagraph"/>
                          <w:spacing w:before="149"/>
                          <w:ind w:left="190" w:right="182"/>
                          <w:jc w:val="center"/>
                          <w:rPr>
                            <w:rFonts w:ascii="Times New Roman"/>
                            <w:sz w:val="21"/>
                          </w:rPr>
                        </w:pPr>
                        <w:r>
                          <w:rPr>
                            <w:rFonts w:ascii="Times New Roman"/>
                            <w:sz w:val="21"/>
                          </w:rPr>
                          <w:t>--</w:t>
                        </w:r>
                      </w:p>
                    </w:tc>
                    <w:tc>
                      <w:tcPr>
                        <w:tcW w:w="190" w:type="dxa"/>
                        <w:vMerge/>
                        <w:tcBorders>
                          <w:top w:val="nil"/>
                        </w:tcBorders>
                      </w:tcPr>
                      <w:p>
                        <w:pPr>
                          <w:rPr>
                            <w:sz w:val="2"/>
                            <w:szCs w:val="2"/>
                          </w:rPr>
                        </w:pPr>
                      </w:p>
                    </w:tc>
                  </w:tr>
                </w:tbl>
                <w:p>
                  <w:pPr>
                    <w:pStyle w:val="BodyText"/>
                  </w:pPr>
                </w:p>
              </w:txbxContent>
            </v:textbox>
          </v:shape>
        </w:pict>
      </w:r>
      <w:r>
        <w:t>二、建设项目工程分析</w:t>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spacing w:before="4"/>
        <w:rPr>
          <w:b/>
          <w:sz w:val="33"/>
        </w:rPr>
      </w:pPr>
    </w:p>
    <w:p>
      <w:pPr>
        <w:pStyle w:val="BodyText"/>
        <w:spacing w:before="1"/>
        <w:ind w:right="260"/>
        <w:jc w:val="right"/>
      </w:pPr>
      <w:r>
        <w:t>、</w:t>
      </w:r>
    </w:p>
    <w:p>
      <w:pPr>
        <w:spacing w:after="0"/>
        <w:jc w:val="right"/>
        <w:sectPr>
          <w:footerReference w:type="default" r:id="rId18"/>
          <w:pgSz w:w="11910" w:h="16840"/>
          <w:pgMar w:top="1500" w:right="980" w:bottom="1100" w:left="1040" w:header="0" w:footer="909" w:gutter="0"/>
          <w:pgNumType w:start="14"/>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90"/>
        <w:gridCol w:w="1171"/>
        <w:gridCol w:w="1547"/>
        <w:gridCol w:w="5440"/>
        <w:gridCol w:w="190"/>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17"/>
        </w:trPr>
        <w:tc>
          <w:tcPr>
            <w:tcW w:w="704" w:type="dxa"/>
            <w:vMerge w:val="restart"/>
          </w:tcPr>
          <w:p>
            <w:pPr>
              <w:pStyle w:val="TableParagraph"/>
              <w:rPr>
                <w:rFonts w:ascii="Times New Roman"/>
                <w:sz w:val="22"/>
              </w:rPr>
            </w:pPr>
          </w:p>
        </w:tc>
        <w:tc>
          <w:tcPr>
            <w:tcW w:w="190" w:type="dxa"/>
            <w:vMerge w:val="restart"/>
            <w:tcBorders>
              <w:bottom w:val="nil"/>
            </w:tcBorders>
          </w:tcPr>
          <w:p>
            <w:pPr>
              <w:pStyle w:val="TableParagraph"/>
              <w:rPr>
                <w:rFonts w:ascii="Times New Roman"/>
                <w:sz w:val="22"/>
              </w:rPr>
            </w:pPr>
          </w:p>
        </w:tc>
        <w:tc>
          <w:tcPr>
            <w:tcW w:w="1171" w:type="dxa"/>
            <w:vMerge w:val="restart"/>
            <w:tcBorders>
              <w:top w:val="single" w:sz="8" w:space="0" w:color="000000"/>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164"/>
              <w:ind w:left="164"/>
              <w:rPr>
                <w:sz w:val="21"/>
              </w:rPr>
            </w:pPr>
            <w:r>
              <w:rPr>
                <w:sz w:val="21"/>
              </w:rPr>
              <w:t>环保工程</w:t>
            </w:r>
          </w:p>
        </w:tc>
        <w:tc>
          <w:tcPr>
            <w:tcW w:w="1547" w:type="dxa"/>
            <w:tcBorders>
              <w:top w:val="single" w:sz="8" w:space="0" w:color="000000"/>
            </w:tcBorders>
          </w:tcPr>
          <w:p>
            <w:pPr>
              <w:pStyle w:val="TableParagraph"/>
              <w:spacing w:before="3"/>
              <w:rPr>
                <w:sz w:val="21"/>
              </w:rPr>
            </w:pPr>
          </w:p>
          <w:p>
            <w:pPr>
              <w:pStyle w:val="TableParagraph"/>
              <w:ind w:left="118" w:right="115"/>
              <w:jc w:val="center"/>
              <w:rPr>
                <w:sz w:val="21"/>
              </w:rPr>
            </w:pPr>
            <w:r>
              <w:rPr>
                <w:sz w:val="21"/>
              </w:rPr>
              <w:t>废气治理</w:t>
            </w:r>
          </w:p>
        </w:tc>
        <w:tc>
          <w:tcPr>
            <w:tcW w:w="5440" w:type="dxa"/>
            <w:tcBorders>
              <w:top w:val="single" w:sz="8" w:space="0" w:color="000000"/>
            </w:tcBorders>
          </w:tcPr>
          <w:p>
            <w:pPr>
              <w:pStyle w:val="TableParagraph"/>
              <w:spacing w:before="1" w:line="242" w:lineRule="auto"/>
              <w:ind w:left="107" w:right="95" w:hanging="3"/>
              <w:jc w:val="center"/>
              <w:rPr>
                <w:sz w:val="21"/>
              </w:rPr>
            </w:pPr>
            <w:r>
              <w:rPr>
                <w:spacing w:val="-3"/>
                <w:w w:val="95"/>
                <w:sz w:val="21"/>
              </w:rPr>
              <w:t>项目上料、成型工序废气</w:t>
            </w:r>
            <w:r>
              <w:rPr>
                <w:w w:val="95"/>
                <w:sz w:val="21"/>
              </w:rPr>
              <w:t>（颗粒物</w:t>
            </w:r>
            <w:r>
              <w:rPr>
                <w:spacing w:val="-8"/>
                <w:w w:val="95"/>
                <w:sz w:val="21"/>
              </w:rPr>
              <w:t>）</w:t>
            </w:r>
            <w:r>
              <w:rPr>
                <w:w w:val="95"/>
                <w:sz w:val="21"/>
              </w:rPr>
              <w:t>集气罩收集后经布袋 除尘器处理后经排气筒</w:t>
            </w:r>
            <w:r>
              <w:rPr>
                <w:rFonts w:ascii="Times New Roman" w:eastAsia="Times New Roman"/>
                <w:w w:val="95"/>
                <w:sz w:val="21"/>
              </w:rPr>
              <w:t>DA001</w:t>
            </w:r>
            <w:r>
              <w:rPr>
                <w:spacing w:val="-4"/>
                <w:w w:val="95"/>
                <w:sz w:val="21"/>
              </w:rPr>
              <w:t>排放；未被收集的颗粒物通</w:t>
            </w:r>
          </w:p>
          <w:p>
            <w:pPr>
              <w:pStyle w:val="TableParagraph"/>
              <w:spacing w:line="252" w:lineRule="exact"/>
              <w:ind w:left="74" w:right="66"/>
              <w:jc w:val="center"/>
              <w:rPr>
                <w:sz w:val="21"/>
              </w:rPr>
            </w:pPr>
            <w:r>
              <w:rPr>
                <w:sz w:val="21"/>
              </w:rPr>
              <w:t>过加强车间通风等措施无组织排放</w:t>
            </w:r>
          </w:p>
        </w:tc>
        <w:tc>
          <w:tcPr>
            <w:tcW w:w="190" w:type="dxa"/>
            <w:vMerge w:val="restart"/>
            <w:tcBorders>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545"/>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137"/>
              <w:ind w:left="118" w:right="115"/>
              <w:jc w:val="center"/>
              <w:rPr>
                <w:sz w:val="21"/>
              </w:rPr>
            </w:pPr>
            <w:r>
              <w:rPr>
                <w:sz w:val="21"/>
              </w:rPr>
              <w:t>废水治理</w:t>
            </w:r>
          </w:p>
        </w:tc>
        <w:tc>
          <w:tcPr>
            <w:tcW w:w="5440" w:type="dxa"/>
          </w:tcPr>
          <w:p>
            <w:pPr>
              <w:pStyle w:val="TableParagraph"/>
              <w:ind w:left="74" w:right="66"/>
              <w:jc w:val="center"/>
              <w:rPr>
                <w:sz w:val="21"/>
              </w:rPr>
            </w:pPr>
            <w:r>
              <w:rPr>
                <w:sz w:val="21"/>
              </w:rPr>
              <w:t>厂区排水采用雨污分流、清污分流制。项目生活污水经厂</w:t>
            </w:r>
          </w:p>
          <w:p>
            <w:pPr>
              <w:pStyle w:val="TableParagraph"/>
              <w:spacing w:before="4" w:line="251" w:lineRule="exact"/>
              <w:ind w:left="74" w:right="64"/>
              <w:jc w:val="center"/>
              <w:rPr>
                <w:sz w:val="21"/>
              </w:rPr>
            </w:pPr>
            <w:r>
              <w:rPr>
                <w:sz w:val="21"/>
              </w:rPr>
              <w:t>区化粪池预处理后由环卫部门定期清运，不外排</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816"/>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4"/>
              <w:rPr>
                <w:sz w:val="21"/>
              </w:rPr>
            </w:pPr>
          </w:p>
          <w:p>
            <w:pPr>
              <w:pStyle w:val="TableParagraph"/>
              <w:ind w:left="121" w:right="115"/>
              <w:jc w:val="center"/>
              <w:rPr>
                <w:sz w:val="21"/>
              </w:rPr>
            </w:pPr>
            <w:r>
              <w:rPr>
                <w:sz w:val="21"/>
              </w:rPr>
              <w:t>固体废物治理</w:t>
            </w:r>
          </w:p>
        </w:tc>
        <w:tc>
          <w:tcPr>
            <w:tcW w:w="5440" w:type="dxa"/>
          </w:tcPr>
          <w:p>
            <w:pPr>
              <w:pStyle w:val="TableParagraph"/>
              <w:spacing w:line="269" w:lineRule="exact"/>
              <w:ind w:left="107"/>
              <w:rPr>
                <w:sz w:val="21"/>
              </w:rPr>
            </w:pPr>
            <w:r>
              <w:rPr>
                <w:sz w:val="21"/>
              </w:rPr>
              <w:t>生活垃圾集中收集后由环卫部门统一收集处理；废包装袋</w:t>
            </w:r>
          </w:p>
          <w:p>
            <w:pPr>
              <w:pStyle w:val="TableParagraph"/>
              <w:spacing w:before="3" w:line="270" w:lineRule="atLeast"/>
              <w:ind w:left="1144" w:right="97" w:hanging="1037"/>
              <w:rPr>
                <w:sz w:val="21"/>
              </w:rPr>
            </w:pPr>
            <w:r>
              <w:rPr>
                <w:spacing w:val="-2"/>
                <w:w w:val="95"/>
                <w:sz w:val="21"/>
              </w:rPr>
              <w:t xml:space="preserve">收集后暂存于一般固废暂存处，收集后外售综合利用；除 </w:t>
            </w:r>
            <w:r>
              <w:rPr>
                <w:spacing w:val="-2"/>
                <w:sz w:val="21"/>
              </w:rPr>
              <w:t>尘器收尘集中收集后回用于生产。</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90" w:type="dxa"/>
            <w:vMerge/>
            <w:tcBorders>
              <w:top w:val="nil"/>
              <w:bottom w:val="nil"/>
            </w:tcBorders>
          </w:tcPr>
          <w:p>
            <w:pPr>
              <w:rPr>
                <w:sz w:val="2"/>
                <w:szCs w:val="2"/>
              </w:rPr>
            </w:pPr>
          </w:p>
        </w:tc>
        <w:tc>
          <w:tcPr>
            <w:tcW w:w="1171" w:type="dxa"/>
            <w:vMerge/>
            <w:tcBorders>
              <w:top w:val="nil"/>
            </w:tcBorders>
          </w:tcPr>
          <w:p>
            <w:pPr>
              <w:rPr>
                <w:sz w:val="2"/>
                <w:szCs w:val="2"/>
              </w:rPr>
            </w:pPr>
          </w:p>
        </w:tc>
        <w:tc>
          <w:tcPr>
            <w:tcW w:w="1547" w:type="dxa"/>
          </w:tcPr>
          <w:p>
            <w:pPr>
              <w:pStyle w:val="TableParagraph"/>
              <w:spacing w:before="84"/>
              <w:ind w:left="118" w:right="115"/>
              <w:jc w:val="center"/>
              <w:rPr>
                <w:sz w:val="21"/>
              </w:rPr>
            </w:pPr>
            <w:r>
              <w:rPr>
                <w:sz w:val="21"/>
              </w:rPr>
              <w:t>噪声治理</w:t>
            </w:r>
          </w:p>
        </w:tc>
        <w:tc>
          <w:tcPr>
            <w:tcW w:w="5440" w:type="dxa"/>
          </w:tcPr>
          <w:p>
            <w:pPr>
              <w:pStyle w:val="TableParagraph"/>
              <w:spacing w:before="20"/>
              <w:ind w:left="107"/>
              <w:rPr>
                <w:sz w:val="21"/>
              </w:rPr>
            </w:pPr>
            <w:r>
              <w:rPr>
                <w:sz w:val="21"/>
              </w:rPr>
              <w:t>选用低噪声设备，加强设备管理；采取隔声、减振等措施</w:t>
            </w:r>
          </w:p>
        </w:tc>
        <w:tc>
          <w:tcPr>
            <w:tcW w:w="190" w:type="dxa"/>
            <w:vMerge/>
            <w:tcBorders>
              <w:top w:val="nil"/>
              <w:bottom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11084"/>
        </w:trPr>
        <w:tc>
          <w:tcPr>
            <w:tcW w:w="704" w:type="dxa"/>
            <w:vMerge/>
            <w:tcBorders>
              <w:top w:val="nil"/>
            </w:tcBorders>
          </w:tcPr>
          <w:p>
            <w:pPr>
              <w:rPr>
                <w:sz w:val="2"/>
                <w:szCs w:val="2"/>
              </w:rPr>
            </w:pPr>
          </w:p>
        </w:tc>
        <w:tc>
          <w:tcPr>
            <w:tcW w:w="8538" w:type="dxa"/>
            <w:gridSpan w:val="5"/>
            <w:tcBorders>
              <w:top w:val="nil"/>
            </w:tcBorders>
          </w:tcPr>
          <w:p>
            <w:pPr>
              <w:pStyle w:val="TableParagraph"/>
              <w:spacing w:before="80"/>
              <w:ind w:left="586"/>
              <w:rPr>
                <w:b/>
                <w:sz w:val="24"/>
              </w:rPr>
            </w:pPr>
            <w:r>
              <w:rPr>
                <w:rFonts w:ascii="Times New Roman" w:eastAsia="Times New Roman"/>
                <w:b/>
                <w:w w:val="95"/>
                <w:sz w:val="24"/>
              </w:rPr>
              <w:t>4</w:t>
            </w:r>
            <w:r>
              <w:rPr>
                <w:b/>
                <w:w w:val="95"/>
                <w:sz w:val="24"/>
              </w:rPr>
              <w:t>、总平面布置及合理性分析</w:t>
            </w:r>
          </w:p>
          <w:p>
            <w:pPr>
              <w:pStyle w:val="TableParagraph"/>
              <w:numPr>
                <w:ilvl w:val="0"/>
                <w:numId w:val="3"/>
              </w:numPr>
              <w:tabs>
                <w:tab w:val="left" w:pos="1188"/>
              </w:tabs>
              <w:spacing w:before="160" w:after="0" w:line="240" w:lineRule="auto"/>
              <w:ind w:left="1187" w:right="0" w:hanging="602"/>
              <w:jc w:val="left"/>
              <w:rPr>
                <w:sz w:val="24"/>
              </w:rPr>
            </w:pPr>
            <w:r>
              <w:rPr>
                <w:sz w:val="24"/>
              </w:rPr>
              <w:t>总平面布置</w:t>
            </w:r>
          </w:p>
          <w:p>
            <w:pPr>
              <w:pStyle w:val="TableParagraph"/>
              <w:spacing w:before="161"/>
              <w:ind w:left="586"/>
              <w:rPr>
                <w:sz w:val="24"/>
              </w:rPr>
            </w:pPr>
            <w:r>
              <w:rPr>
                <w:spacing w:val="-7"/>
                <w:sz w:val="24"/>
              </w:rPr>
              <w:t xml:space="preserve">本项目厂址位于德州市宁津县张大庄镇王庄村。本项目大门 </w:t>
            </w:r>
            <w:r>
              <w:rPr>
                <w:rFonts w:ascii="Times New Roman" w:eastAsia="Times New Roman"/>
                <w:sz w:val="24"/>
              </w:rPr>
              <w:t xml:space="preserve">2 </w:t>
            </w:r>
            <w:r>
              <w:rPr>
                <w:sz w:val="24"/>
              </w:rPr>
              <w:t>个均在车间南</w:t>
            </w:r>
          </w:p>
          <w:p>
            <w:pPr>
              <w:pStyle w:val="TableParagraph"/>
              <w:spacing w:before="160" w:line="364" w:lineRule="auto"/>
              <w:ind w:left="106" w:right="-29"/>
              <w:rPr>
                <w:sz w:val="24"/>
              </w:rPr>
            </w:pPr>
            <w:r>
              <w:rPr>
                <w:spacing w:val="-16"/>
                <w:sz w:val="24"/>
              </w:rPr>
              <w:t xml:space="preserve">部，办公室位于车间西南部。生产车间 </w:t>
            </w:r>
            <w:r>
              <w:rPr>
                <w:rFonts w:ascii="Times New Roman" w:eastAsia="Times New Roman"/>
                <w:sz w:val="24"/>
              </w:rPr>
              <w:t xml:space="preserve">1 </w:t>
            </w:r>
            <w:r>
              <w:rPr>
                <w:spacing w:val="-10"/>
                <w:sz w:val="24"/>
              </w:rPr>
              <w:t>座，生产车间内由西向东分别为原料区、</w:t>
            </w:r>
            <w:r>
              <w:rPr>
                <w:spacing w:val="-7"/>
                <w:sz w:val="24"/>
              </w:rPr>
              <w:t>生产区和成品区，整个车间采用分区布置，便于生产管理，有利于生产运输和项</w:t>
            </w:r>
            <w:r>
              <w:rPr>
                <w:spacing w:val="-8"/>
                <w:sz w:val="24"/>
              </w:rPr>
              <w:t>目管理，平面布置合理</w:t>
            </w:r>
            <w:r>
              <w:rPr>
                <w:sz w:val="24"/>
              </w:rPr>
              <w:t>（详见附图</w:t>
            </w:r>
            <w:r>
              <w:rPr>
                <w:spacing w:val="-15"/>
                <w:sz w:val="24"/>
              </w:rPr>
              <w:t>）</w:t>
            </w:r>
            <w:r>
              <w:rPr>
                <w:spacing w:val="-5"/>
                <w:sz w:val="24"/>
              </w:rPr>
              <w:t>。车间内规划符合工艺流向，便于工艺的流</w:t>
            </w:r>
            <w:r>
              <w:rPr>
                <w:spacing w:val="-10"/>
                <w:sz w:val="24"/>
              </w:rPr>
              <w:t>畅衔接。各区域功能明确，物流顺畅，便于操作和管理，提高了工作效率。主要噪声源布置于厂区车间内，以减小噪声对外界的影响，废气经处理后达标排放， 对环境影响较小。</w:t>
            </w:r>
          </w:p>
          <w:p>
            <w:pPr>
              <w:pStyle w:val="TableParagraph"/>
              <w:numPr>
                <w:ilvl w:val="0"/>
                <w:numId w:val="3"/>
              </w:numPr>
              <w:tabs>
                <w:tab w:val="left" w:pos="1188"/>
              </w:tabs>
              <w:spacing w:before="4" w:after="0" w:line="240" w:lineRule="auto"/>
              <w:ind w:left="1187" w:right="0" w:hanging="602"/>
              <w:jc w:val="left"/>
              <w:rPr>
                <w:sz w:val="24"/>
              </w:rPr>
            </w:pPr>
            <w:r>
              <w:rPr>
                <w:sz w:val="24"/>
              </w:rPr>
              <w:t>合理性分析</w:t>
            </w:r>
          </w:p>
          <w:p>
            <w:pPr>
              <w:pStyle w:val="TableParagraph"/>
              <w:spacing w:before="160" w:line="364" w:lineRule="auto"/>
              <w:ind w:left="106" w:right="95" w:firstLine="480"/>
              <w:jc w:val="both"/>
              <w:rPr>
                <w:sz w:val="24"/>
              </w:rPr>
            </w:pPr>
            <w:r>
              <w:rPr>
                <w:spacing w:val="-5"/>
                <w:sz w:val="24"/>
              </w:rPr>
              <w:t>项目以产品的加工生产流程为原则布置，顺延了物料走向，交通方便，便于</w:t>
            </w:r>
            <w:r>
              <w:rPr>
                <w:spacing w:val="-9"/>
                <w:sz w:val="24"/>
              </w:rPr>
              <w:t>物料的运输；该项目评价范围内不涉及自然保护区、风景名胜区等需要特殊保护</w:t>
            </w:r>
            <w:r>
              <w:rPr>
                <w:spacing w:val="-8"/>
                <w:sz w:val="24"/>
              </w:rPr>
              <w:t>的敏感目标，因此生产过程对其环境影响较小；该项目对外界环境要求不高，且</w:t>
            </w:r>
            <w:r>
              <w:rPr>
                <w:spacing w:val="-4"/>
                <w:sz w:val="24"/>
              </w:rPr>
              <w:t>周围企业采取相应的环保措施后能够满足相应废气排放标准和噪声排放标准，对</w:t>
            </w:r>
            <w:r>
              <w:rPr>
                <w:spacing w:val="-7"/>
                <w:sz w:val="24"/>
              </w:rPr>
              <w:t>该项目环境影响程度较小。因此，该项目与厂区周围环境相协调；厂区平面布置</w:t>
            </w:r>
            <w:r>
              <w:rPr>
                <w:spacing w:val="-6"/>
                <w:sz w:val="24"/>
              </w:rPr>
              <w:t>可以满足企业生产和管理要求，符合国家和地方有关环保、防火、安全、卫生等</w:t>
            </w:r>
            <w:r>
              <w:rPr>
                <w:spacing w:val="-9"/>
                <w:sz w:val="24"/>
              </w:rPr>
              <w:t>方面的要求；厂区内通道宽阔，能满足产品的运输和消防要求。综上，项目区平</w:t>
            </w:r>
            <w:r>
              <w:rPr>
                <w:sz w:val="24"/>
              </w:rPr>
              <w:t>面布置较为合理。</w:t>
            </w:r>
          </w:p>
          <w:p>
            <w:pPr>
              <w:pStyle w:val="TableParagraph"/>
              <w:spacing w:before="5"/>
              <w:ind w:left="586"/>
              <w:rPr>
                <w:b/>
                <w:sz w:val="24"/>
              </w:rPr>
            </w:pPr>
            <w:r>
              <w:rPr>
                <w:rFonts w:ascii="Times New Roman" w:eastAsia="Times New Roman"/>
                <w:b/>
                <w:w w:val="95"/>
                <w:sz w:val="24"/>
              </w:rPr>
              <w:t>5</w:t>
            </w:r>
            <w:r>
              <w:rPr>
                <w:b/>
                <w:w w:val="95"/>
                <w:sz w:val="24"/>
              </w:rPr>
              <w:t>、产品方案</w:t>
            </w:r>
          </w:p>
          <w:p>
            <w:pPr>
              <w:pStyle w:val="TableParagraph"/>
              <w:spacing w:before="161"/>
              <w:ind w:left="586"/>
              <w:rPr>
                <w:sz w:val="24"/>
              </w:rPr>
            </w:pPr>
            <w:r>
              <w:rPr>
                <w:sz w:val="24"/>
              </w:rPr>
              <w:t xml:space="preserve">本项目建成投产后，年产生物质颗粒 </w:t>
            </w:r>
            <w:r>
              <w:rPr>
                <w:rFonts w:ascii="Times New Roman" w:eastAsia="Times New Roman"/>
                <w:sz w:val="24"/>
              </w:rPr>
              <w:t xml:space="preserve">1000 </w:t>
            </w:r>
            <w:r>
              <w:rPr>
                <w:sz w:val="24"/>
              </w:rPr>
              <w:t xml:space="preserve">吨，详见表 </w:t>
            </w:r>
            <w:r>
              <w:rPr>
                <w:rFonts w:ascii="Times New Roman" w:eastAsia="Times New Roman"/>
                <w:sz w:val="24"/>
              </w:rPr>
              <w:t>2-2</w:t>
            </w:r>
            <w:r>
              <w:rPr>
                <w:sz w:val="24"/>
              </w:rPr>
              <w:t>。</w:t>
            </w:r>
          </w:p>
          <w:p>
            <w:pPr>
              <w:pStyle w:val="TableParagraph"/>
              <w:spacing w:before="160"/>
              <w:ind w:left="2533" w:right="2517"/>
              <w:jc w:val="center"/>
              <w:rPr>
                <w:b/>
                <w:sz w:val="24"/>
              </w:rPr>
            </w:pPr>
            <w:r>
              <w:rPr>
                <w:b/>
                <w:sz w:val="24"/>
              </w:rPr>
              <w:t xml:space="preserve">表 </w:t>
            </w:r>
            <w:r>
              <w:rPr>
                <w:rFonts w:ascii="Times New Roman" w:eastAsia="Times New Roman"/>
                <w:b/>
                <w:sz w:val="24"/>
              </w:rPr>
              <w:t xml:space="preserve">2-2  </w:t>
            </w:r>
            <w:r>
              <w:rPr>
                <w:b/>
                <w:sz w:val="24"/>
              </w:rPr>
              <w:t>项目产品规模一览表</w:t>
            </w:r>
          </w:p>
          <w:p>
            <w:pPr>
              <w:pStyle w:val="TableParagraph"/>
              <w:rPr>
                <w:sz w:val="26"/>
              </w:rPr>
            </w:pPr>
          </w:p>
          <w:p>
            <w:pPr>
              <w:pStyle w:val="TableParagraph"/>
              <w:rPr>
                <w:sz w:val="26"/>
              </w:rPr>
            </w:pPr>
          </w:p>
          <w:p>
            <w:pPr>
              <w:pStyle w:val="TableParagraph"/>
              <w:spacing w:before="2"/>
              <w:rPr>
                <w:sz w:val="22"/>
              </w:rPr>
            </w:pPr>
          </w:p>
          <w:p>
            <w:pPr>
              <w:pStyle w:val="TableParagraph"/>
              <w:ind w:left="586"/>
              <w:rPr>
                <w:b/>
                <w:sz w:val="24"/>
              </w:rPr>
            </w:pPr>
            <w:r>
              <w:rPr>
                <w:rFonts w:ascii="Times New Roman" w:eastAsia="Times New Roman"/>
                <w:b/>
                <w:sz w:val="24"/>
              </w:rPr>
              <w:t>6</w:t>
            </w:r>
            <w:r>
              <w:rPr>
                <w:b/>
                <w:sz w:val="24"/>
              </w:rPr>
              <w:t>、主要生产设备</w:t>
            </w:r>
          </w:p>
        </w:tc>
      </w:tr>
    </w:tbl>
    <w:p>
      <w:pPr>
        <w:rPr>
          <w:sz w:val="2"/>
          <w:szCs w:val="2"/>
        </w:rPr>
      </w:pPr>
      <w:r>
        <w:pict>
          <v:shape id="_x0000_s1035" o:spid="_x0000_s1034" type="#_x0000_t202" style="width:413.65pt;height:39.5pt;margin-top:697.45pt;margin-left:108.55pt;mso-height-relative:page;mso-position-horizontal-relative:page;mso-position-vertical-relative:page;mso-width-relative:page;position:absolute;z-index:251667456"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36"/>
                    <w:gridCol w:w="3337"/>
                    <w:gridCol w:w="1585"/>
                    <w:gridCol w:w="2300"/>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0"/>
                    </w:trPr>
                    <w:tc>
                      <w:tcPr>
                        <w:tcW w:w="1036" w:type="dxa"/>
                      </w:tcPr>
                      <w:p>
                        <w:pPr>
                          <w:pStyle w:val="TableParagraph"/>
                          <w:spacing w:before="54"/>
                          <w:ind w:left="286" w:right="277"/>
                          <w:jc w:val="center"/>
                          <w:rPr>
                            <w:b/>
                            <w:sz w:val="21"/>
                          </w:rPr>
                        </w:pPr>
                        <w:r>
                          <w:rPr>
                            <w:b/>
                            <w:sz w:val="21"/>
                          </w:rPr>
                          <w:t>序号</w:t>
                        </w:r>
                      </w:p>
                    </w:tc>
                    <w:tc>
                      <w:tcPr>
                        <w:tcW w:w="3337" w:type="dxa"/>
                      </w:tcPr>
                      <w:p>
                        <w:pPr>
                          <w:pStyle w:val="TableParagraph"/>
                          <w:spacing w:before="54"/>
                          <w:ind w:left="1123" w:right="1114"/>
                          <w:jc w:val="center"/>
                          <w:rPr>
                            <w:b/>
                            <w:sz w:val="21"/>
                          </w:rPr>
                        </w:pPr>
                        <w:r>
                          <w:rPr>
                            <w:b/>
                            <w:sz w:val="21"/>
                          </w:rPr>
                          <w:t>产品名称</w:t>
                        </w:r>
                      </w:p>
                    </w:tc>
                    <w:tc>
                      <w:tcPr>
                        <w:tcW w:w="1585" w:type="dxa"/>
                      </w:tcPr>
                      <w:p>
                        <w:pPr>
                          <w:pStyle w:val="TableParagraph"/>
                          <w:spacing w:before="54"/>
                          <w:ind w:left="560" w:right="553"/>
                          <w:jc w:val="center"/>
                          <w:rPr>
                            <w:b/>
                            <w:sz w:val="21"/>
                          </w:rPr>
                        </w:pPr>
                        <w:r>
                          <w:rPr>
                            <w:b/>
                            <w:sz w:val="21"/>
                          </w:rPr>
                          <w:t>单位</w:t>
                        </w:r>
                      </w:p>
                    </w:tc>
                    <w:tc>
                      <w:tcPr>
                        <w:tcW w:w="2300" w:type="dxa"/>
                      </w:tcPr>
                      <w:p>
                        <w:pPr>
                          <w:pStyle w:val="TableParagraph"/>
                          <w:spacing w:before="54"/>
                          <w:ind w:left="919" w:right="909"/>
                          <w:jc w:val="center"/>
                          <w:rPr>
                            <w:b/>
                            <w:sz w:val="21"/>
                          </w:rPr>
                        </w:pPr>
                        <w:r>
                          <w:rPr>
                            <w:b/>
                            <w:sz w:val="21"/>
                          </w:rPr>
                          <w:t>数量</w:t>
                        </w:r>
                      </w:p>
                    </w:tc>
                  </w:tr>
                  <w:tr>
                    <w:tblPrEx>
                      <w:tblW w:w="0" w:type="auto"/>
                      <w:tblInd w:w="5" w:type="dxa"/>
                      <w:tblLayout w:type="fixed"/>
                      <w:tblCellMar>
                        <w:top w:w="0" w:type="dxa"/>
                        <w:left w:w="0" w:type="dxa"/>
                        <w:bottom w:w="0" w:type="dxa"/>
                        <w:right w:w="0" w:type="dxa"/>
                      </w:tblCellMar>
                    </w:tblPrEx>
                    <w:trPr>
                      <w:trHeight w:val="380"/>
                    </w:trPr>
                    <w:tc>
                      <w:tcPr>
                        <w:tcW w:w="1036" w:type="dxa"/>
                      </w:tcPr>
                      <w:p>
                        <w:pPr>
                          <w:pStyle w:val="TableParagraph"/>
                          <w:spacing w:before="67"/>
                          <w:ind w:left="6"/>
                          <w:jc w:val="center"/>
                          <w:rPr>
                            <w:rFonts w:ascii="Times New Roman"/>
                            <w:sz w:val="21"/>
                          </w:rPr>
                        </w:pPr>
                        <w:r>
                          <w:rPr>
                            <w:rFonts w:ascii="Times New Roman"/>
                            <w:w w:val="99"/>
                            <w:sz w:val="21"/>
                          </w:rPr>
                          <w:t>1</w:t>
                        </w:r>
                      </w:p>
                    </w:tc>
                    <w:tc>
                      <w:tcPr>
                        <w:tcW w:w="3337" w:type="dxa"/>
                      </w:tcPr>
                      <w:p>
                        <w:pPr>
                          <w:pStyle w:val="TableParagraph"/>
                          <w:spacing w:before="53"/>
                          <w:ind w:left="1123" w:right="1114"/>
                          <w:jc w:val="center"/>
                          <w:rPr>
                            <w:sz w:val="21"/>
                          </w:rPr>
                        </w:pPr>
                        <w:r>
                          <w:rPr>
                            <w:sz w:val="21"/>
                          </w:rPr>
                          <w:t>生物质颗粒</w:t>
                        </w:r>
                      </w:p>
                    </w:tc>
                    <w:tc>
                      <w:tcPr>
                        <w:tcW w:w="1585" w:type="dxa"/>
                      </w:tcPr>
                      <w:p>
                        <w:pPr>
                          <w:pStyle w:val="TableParagraph"/>
                          <w:spacing w:before="67"/>
                          <w:ind w:left="560" w:right="552"/>
                          <w:jc w:val="center"/>
                          <w:rPr>
                            <w:rFonts w:ascii="Times New Roman"/>
                            <w:sz w:val="21"/>
                          </w:rPr>
                        </w:pPr>
                        <w:r>
                          <w:rPr>
                            <w:rFonts w:ascii="Times New Roman"/>
                            <w:sz w:val="21"/>
                          </w:rPr>
                          <w:t>t/a</w:t>
                        </w:r>
                      </w:p>
                    </w:tc>
                    <w:tc>
                      <w:tcPr>
                        <w:tcW w:w="2300" w:type="dxa"/>
                      </w:tcPr>
                      <w:p>
                        <w:pPr>
                          <w:pStyle w:val="TableParagraph"/>
                          <w:spacing w:before="67"/>
                          <w:ind w:left="919" w:right="908"/>
                          <w:jc w:val="center"/>
                          <w:rPr>
                            <w:rFonts w:ascii="Times New Roman"/>
                            <w:sz w:val="21"/>
                          </w:rPr>
                        </w:pPr>
                        <w:r>
                          <w:rPr>
                            <w:rFonts w:ascii="Times New Roman"/>
                            <w:sz w:val="21"/>
                          </w:rPr>
                          <w:t>1000</w:t>
                        </w:r>
                      </w:p>
                    </w:tc>
                  </w:tr>
                </w:tbl>
                <w:p>
                  <w:pPr>
                    <w:pStyle w:val="BodyText"/>
                  </w:pPr>
                </w:p>
              </w:txbxContent>
            </v:textbox>
          </v:shape>
        </w:pict>
      </w:r>
    </w:p>
    <w:p>
      <w:pPr>
        <w:spacing w:after="0"/>
        <w:rPr>
          <w:sz w:val="2"/>
          <w:szCs w:val="2"/>
        </w:rPr>
        <w:sectPr>
          <w:footerReference w:type="default" r:id="rId19"/>
          <w:pgSz w:w="11910" w:h="16840"/>
          <w:pgMar w:top="1420" w:right="980" w:bottom="1100" w:left="1040" w:header="0" w:footer="909" w:gutter="0"/>
          <w:pgNumType w:start="15"/>
          <w:cols w:num="1" w:space="720"/>
        </w:sectPr>
      </w:pPr>
    </w:p>
    <w:p>
      <w:pPr>
        <w:pStyle w:val="BodyText"/>
        <w:spacing w:before="92"/>
        <w:ind w:left="1583"/>
      </w:pPr>
      <w:r>
        <w:pict>
          <v:shape id="_x0000_s1036" o:spid="_x0000_s1035" style="width:462.6pt;height:687.95pt;margin-top:81.95pt;margin-left:66.35pt;mso-height-relative:page;mso-position-horizontal-relative:page;mso-position-vertical-relative:page;mso-width-relative:page;position:absolute;z-index:-251648000" coordorigin="1327,1639" coordsize="9252,13759" path="m1327,1445l10579,1445m1327,15199l10579,15199m1332,1440l1332,15194m2036,1440l2036,15194m10574,1440l10574,15194e" filled="f" stroked="t" strokecolor="black">
            <v:path arrowok="t"/>
          </v:shape>
        </w:pict>
      </w:r>
      <w:r>
        <w:t xml:space="preserve">本项目生产过程中所用主要生产设备见表 </w:t>
      </w:r>
      <w:r>
        <w:rPr>
          <w:rFonts w:ascii="Times New Roman" w:eastAsia="Times New Roman"/>
        </w:rPr>
        <w:t>2-3</w:t>
      </w:r>
      <w:r>
        <w:t>。</w:t>
      </w:r>
    </w:p>
    <w:p>
      <w:pPr>
        <w:pStyle w:val="Heading2"/>
        <w:tabs>
          <w:tab w:val="left" w:pos="1512"/>
        </w:tabs>
        <w:spacing w:before="160"/>
        <w:ind w:left="653"/>
        <w:jc w:val="center"/>
      </w:pPr>
      <w:r>
        <w:t>表</w:t>
      </w:r>
      <w:r>
        <w:rPr>
          <w:spacing w:val="-62"/>
        </w:rPr>
        <w:t xml:space="preserve"> </w:t>
      </w:r>
      <w:r>
        <w:rPr>
          <w:rFonts w:ascii="Times New Roman" w:eastAsia="Times New Roman"/>
        </w:rPr>
        <w:t>2-3</w:t>
      </w:r>
      <w:r>
        <w:rPr>
          <w:rFonts w:ascii="Times New Roman" w:eastAsia="Times New Roman"/>
        </w:rPr>
        <w:tab/>
      </w:r>
      <w:r>
        <w:t>项目主要工程设备一览表</w:t>
      </w:r>
    </w:p>
    <w:p>
      <w:pPr>
        <w:pStyle w:val="BodyText"/>
        <w:spacing w:before="4"/>
        <w:rPr>
          <w:b/>
          <w:sz w:val="6"/>
        </w:rPr>
      </w:pPr>
    </w:p>
    <w:tbl>
      <w:tblPr>
        <w:tblStyle w:val="TableNormal"/>
        <w:tblW w:w="0" w:type="auto"/>
        <w:tblInd w:w="1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81"/>
        <w:gridCol w:w="3097"/>
        <w:gridCol w:w="856"/>
        <w:gridCol w:w="792"/>
        <w:gridCol w:w="2732"/>
      </w:tblGrid>
      <w:tr>
        <w:tblPrEx>
          <w:tblW w:w="0" w:type="auto"/>
          <w:tblInd w:w="11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2"/>
        </w:trPr>
        <w:tc>
          <w:tcPr>
            <w:tcW w:w="681" w:type="dxa"/>
          </w:tcPr>
          <w:p>
            <w:pPr>
              <w:pStyle w:val="TableParagraph"/>
              <w:spacing w:before="85"/>
              <w:ind w:left="108" w:right="98"/>
              <w:jc w:val="center"/>
              <w:rPr>
                <w:b/>
                <w:sz w:val="21"/>
              </w:rPr>
            </w:pPr>
            <w:r>
              <w:rPr>
                <w:b/>
                <w:sz w:val="21"/>
              </w:rPr>
              <w:t>序号</w:t>
            </w:r>
          </w:p>
        </w:tc>
        <w:tc>
          <w:tcPr>
            <w:tcW w:w="3097" w:type="dxa"/>
          </w:tcPr>
          <w:p>
            <w:pPr>
              <w:pStyle w:val="TableParagraph"/>
              <w:spacing w:before="85"/>
              <w:ind w:left="1001" w:right="992"/>
              <w:jc w:val="center"/>
              <w:rPr>
                <w:b/>
                <w:sz w:val="21"/>
              </w:rPr>
            </w:pPr>
            <w:r>
              <w:rPr>
                <w:b/>
                <w:sz w:val="21"/>
              </w:rPr>
              <w:t>设备名称</w:t>
            </w:r>
          </w:p>
        </w:tc>
        <w:tc>
          <w:tcPr>
            <w:tcW w:w="856" w:type="dxa"/>
          </w:tcPr>
          <w:p>
            <w:pPr>
              <w:pStyle w:val="TableParagraph"/>
              <w:spacing w:before="85"/>
              <w:ind w:left="195" w:right="188"/>
              <w:jc w:val="center"/>
              <w:rPr>
                <w:b/>
                <w:sz w:val="21"/>
              </w:rPr>
            </w:pPr>
            <w:r>
              <w:rPr>
                <w:b/>
                <w:sz w:val="21"/>
              </w:rPr>
              <w:t>单位</w:t>
            </w:r>
          </w:p>
        </w:tc>
        <w:tc>
          <w:tcPr>
            <w:tcW w:w="792" w:type="dxa"/>
          </w:tcPr>
          <w:p>
            <w:pPr>
              <w:pStyle w:val="TableParagraph"/>
              <w:spacing w:before="85"/>
              <w:ind w:left="165" w:right="155"/>
              <w:jc w:val="center"/>
              <w:rPr>
                <w:b/>
                <w:sz w:val="21"/>
              </w:rPr>
            </w:pPr>
            <w:r>
              <w:rPr>
                <w:b/>
                <w:sz w:val="21"/>
              </w:rPr>
              <w:t>数量</w:t>
            </w:r>
          </w:p>
        </w:tc>
        <w:tc>
          <w:tcPr>
            <w:tcW w:w="2732" w:type="dxa"/>
          </w:tcPr>
          <w:p>
            <w:pPr>
              <w:pStyle w:val="TableParagraph"/>
              <w:spacing w:before="85"/>
              <w:ind w:left="282" w:right="273"/>
              <w:jc w:val="center"/>
              <w:rPr>
                <w:b/>
                <w:sz w:val="21"/>
              </w:rPr>
            </w:pPr>
            <w:r>
              <w:rPr>
                <w:b/>
                <w:sz w:val="21"/>
              </w:rPr>
              <w:t>备注</w:t>
            </w:r>
          </w:p>
        </w:tc>
      </w:tr>
      <w:tr>
        <w:tblPrEx>
          <w:tblW w:w="0" w:type="auto"/>
          <w:tblInd w:w="1191" w:type="dxa"/>
          <w:tblLayout w:type="fixed"/>
          <w:tblCellMar>
            <w:top w:w="0" w:type="dxa"/>
            <w:left w:w="0" w:type="dxa"/>
            <w:bottom w:w="0" w:type="dxa"/>
            <w:right w:w="0" w:type="dxa"/>
          </w:tblCellMar>
        </w:tblPrEx>
        <w:trPr>
          <w:trHeight w:val="442"/>
        </w:trPr>
        <w:tc>
          <w:tcPr>
            <w:tcW w:w="8158" w:type="dxa"/>
            <w:gridSpan w:val="5"/>
          </w:tcPr>
          <w:p>
            <w:pPr>
              <w:pStyle w:val="TableParagraph"/>
              <w:spacing w:before="84"/>
              <w:ind w:left="3637" w:right="3631"/>
              <w:jc w:val="center"/>
              <w:rPr>
                <w:sz w:val="21"/>
              </w:rPr>
            </w:pPr>
            <w:r>
              <w:rPr>
                <w:sz w:val="21"/>
              </w:rPr>
              <w:t>生产设备</w:t>
            </w:r>
          </w:p>
        </w:tc>
      </w:tr>
      <w:tr>
        <w:tblPrEx>
          <w:tblW w:w="0" w:type="auto"/>
          <w:tblInd w:w="1191" w:type="dxa"/>
          <w:tblLayout w:type="fixed"/>
          <w:tblCellMar>
            <w:top w:w="0" w:type="dxa"/>
            <w:left w:w="0" w:type="dxa"/>
            <w:bottom w:w="0" w:type="dxa"/>
            <w:right w:w="0" w:type="dxa"/>
          </w:tblCellMar>
        </w:tblPrEx>
        <w:trPr>
          <w:trHeight w:val="442"/>
        </w:trPr>
        <w:tc>
          <w:tcPr>
            <w:tcW w:w="681" w:type="dxa"/>
          </w:tcPr>
          <w:p>
            <w:pPr>
              <w:pStyle w:val="TableParagraph"/>
              <w:spacing w:before="100"/>
              <w:ind w:left="6"/>
              <w:jc w:val="center"/>
              <w:rPr>
                <w:rFonts w:ascii="Times New Roman"/>
                <w:sz w:val="21"/>
              </w:rPr>
            </w:pPr>
            <w:r>
              <w:rPr>
                <w:rFonts w:ascii="Times New Roman"/>
                <w:w w:val="99"/>
                <w:sz w:val="21"/>
              </w:rPr>
              <w:t>1</w:t>
            </w:r>
          </w:p>
        </w:tc>
        <w:tc>
          <w:tcPr>
            <w:tcW w:w="3097" w:type="dxa"/>
          </w:tcPr>
          <w:p>
            <w:pPr>
              <w:pStyle w:val="TableParagraph"/>
              <w:spacing w:before="57"/>
              <w:ind w:left="1001" w:right="994"/>
              <w:jc w:val="center"/>
              <w:rPr>
                <w:sz w:val="21"/>
              </w:rPr>
            </w:pPr>
            <w:r>
              <w:rPr>
                <w:sz w:val="21"/>
              </w:rPr>
              <w:t>颗粒机</w:t>
            </w:r>
          </w:p>
        </w:tc>
        <w:tc>
          <w:tcPr>
            <w:tcW w:w="856" w:type="dxa"/>
          </w:tcPr>
          <w:p>
            <w:pPr>
              <w:pStyle w:val="TableParagraph"/>
              <w:spacing w:before="84"/>
              <w:ind w:left="7"/>
              <w:jc w:val="center"/>
              <w:rPr>
                <w:sz w:val="21"/>
              </w:rPr>
            </w:pPr>
            <w:r>
              <w:rPr>
                <w:w w:val="99"/>
                <w:sz w:val="21"/>
              </w:rPr>
              <w:t>台</w:t>
            </w:r>
          </w:p>
        </w:tc>
        <w:tc>
          <w:tcPr>
            <w:tcW w:w="792" w:type="dxa"/>
          </w:tcPr>
          <w:p>
            <w:pPr>
              <w:pStyle w:val="TableParagraph"/>
              <w:spacing w:before="76"/>
              <w:ind w:left="6"/>
              <w:jc w:val="center"/>
              <w:rPr>
                <w:rFonts w:ascii="Times New Roman"/>
                <w:sz w:val="21"/>
              </w:rPr>
            </w:pPr>
            <w:r>
              <w:rPr>
                <w:rFonts w:ascii="Times New Roman"/>
                <w:w w:val="99"/>
                <w:sz w:val="21"/>
              </w:rPr>
              <w:t>2</w:t>
            </w:r>
          </w:p>
        </w:tc>
        <w:tc>
          <w:tcPr>
            <w:tcW w:w="2732" w:type="dxa"/>
          </w:tcPr>
          <w:p>
            <w:pPr>
              <w:pStyle w:val="TableParagraph"/>
              <w:spacing w:before="84"/>
              <w:ind w:left="281" w:right="274"/>
              <w:jc w:val="center"/>
              <w:rPr>
                <w:sz w:val="21"/>
              </w:rPr>
            </w:pPr>
            <w:r>
              <w:rPr>
                <w:sz w:val="21"/>
              </w:rPr>
              <w:t>外购</w:t>
            </w:r>
          </w:p>
        </w:tc>
      </w:tr>
      <w:tr>
        <w:tblPrEx>
          <w:tblW w:w="0" w:type="auto"/>
          <w:tblInd w:w="1191" w:type="dxa"/>
          <w:tblLayout w:type="fixed"/>
          <w:tblCellMar>
            <w:top w:w="0" w:type="dxa"/>
            <w:left w:w="0" w:type="dxa"/>
            <w:bottom w:w="0" w:type="dxa"/>
            <w:right w:w="0" w:type="dxa"/>
          </w:tblCellMar>
        </w:tblPrEx>
        <w:trPr>
          <w:trHeight w:val="441"/>
        </w:trPr>
        <w:tc>
          <w:tcPr>
            <w:tcW w:w="681" w:type="dxa"/>
          </w:tcPr>
          <w:p>
            <w:pPr>
              <w:pStyle w:val="TableParagraph"/>
              <w:spacing w:before="99"/>
              <w:ind w:left="6"/>
              <w:jc w:val="center"/>
              <w:rPr>
                <w:rFonts w:ascii="Times New Roman"/>
                <w:sz w:val="21"/>
              </w:rPr>
            </w:pPr>
            <w:r>
              <w:rPr>
                <w:rFonts w:ascii="Times New Roman"/>
                <w:w w:val="99"/>
                <w:sz w:val="21"/>
              </w:rPr>
              <w:t>2</w:t>
            </w:r>
          </w:p>
        </w:tc>
        <w:tc>
          <w:tcPr>
            <w:tcW w:w="3097" w:type="dxa"/>
          </w:tcPr>
          <w:p>
            <w:pPr>
              <w:pStyle w:val="TableParagraph"/>
              <w:spacing w:before="59"/>
              <w:ind w:left="1001" w:right="994"/>
              <w:jc w:val="center"/>
              <w:rPr>
                <w:sz w:val="21"/>
              </w:rPr>
            </w:pPr>
            <w:r>
              <w:rPr>
                <w:sz w:val="21"/>
              </w:rPr>
              <w:t>传送带</w:t>
            </w:r>
          </w:p>
        </w:tc>
        <w:tc>
          <w:tcPr>
            <w:tcW w:w="856" w:type="dxa"/>
          </w:tcPr>
          <w:p>
            <w:pPr>
              <w:pStyle w:val="TableParagraph"/>
              <w:spacing w:before="85"/>
              <w:ind w:left="7"/>
              <w:jc w:val="center"/>
              <w:rPr>
                <w:sz w:val="21"/>
              </w:rPr>
            </w:pPr>
            <w:r>
              <w:rPr>
                <w:w w:val="99"/>
                <w:sz w:val="21"/>
              </w:rPr>
              <w:t>条</w:t>
            </w:r>
          </w:p>
        </w:tc>
        <w:tc>
          <w:tcPr>
            <w:tcW w:w="792" w:type="dxa"/>
          </w:tcPr>
          <w:p>
            <w:pPr>
              <w:pStyle w:val="TableParagraph"/>
              <w:spacing w:before="75"/>
              <w:ind w:left="6"/>
              <w:jc w:val="center"/>
              <w:rPr>
                <w:rFonts w:ascii="Times New Roman"/>
                <w:sz w:val="21"/>
              </w:rPr>
            </w:pPr>
            <w:r>
              <w:rPr>
                <w:rFonts w:ascii="Times New Roman"/>
                <w:w w:val="99"/>
                <w:sz w:val="21"/>
              </w:rPr>
              <w:t>1</w:t>
            </w:r>
          </w:p>
        </w:tc>
        <w:tc>
          <w:tcPr>
            <w:tcW w:w="2732" w:type="dxa"/>
          </w:tcPr>
          <w:p>
            <w:pPr>
              <w:pStyle w:val="TableParagraph"/>
              <w:spacing w:before="85"/>
              <w:ind w:left="281" w:right="274"/>
              <w:jc w:val="center"/>
              <w:rPr>
                <w:sz w:val="21"/>
              </w:rPr>
            </w:pPr>
            <w:r>
              <w:rPr>
                <w:sz w:val="21"/>
              </w:rPr>
              <w:t>外购</w:t>
            </w:r>
          </w:p>
        </w:tc>
      </w:tr>
      <w:tr>
        <w:tblPrEx>
          <w:tblW w:w="0" w:type="auto"/>
          <w:tblInd w:w="1191" w:type="dxa"/>
          <w:tblLayout w:type="fixed"/>
          <w:tblCellMar>
            <w:top w:w="0" w:type="dxa"/>
            <w:left w:w="0" w:type="dxa"/>
            <w:bottom w:w="0" w:type="dxa"/>
            <w:right w:w="0" w:type="dxa"/>
          </w:tblCellMar>
        </w:tblPrEx>
        <w:trPr>
          <w:trHeight w:val="442"/>
        </w:trPr>
        <w:tc>
          <w:tcPr>
            <w:tcW w:w="681" w:type="dxa"/>
          </w:tcPr>
          <w:p>
            <w:pPr>
              <w:pStyle w:val="TableParagraph"/>
              <w:spacing w:before="101"/>
              <w:ind w:left="6"/>
              <w:jc w:val="center"/>
              <w:rPr>
                <w:rFonts w:ascii="Times New Roman"/>
                <w:sz w:val="21"/>
              </w:rPr>
            </w:pPr>
            <w:r>
              <w:rPr>
                <w:rFonts w:ascii="Times New Roman"/>
                <w:w w:val="99"/>
                <w:sz w:val="21"/>
              </w:rPr>
              <w:t>3</w:t>
            </w:r>
          </w:p>
        </w:tc>
        <w:tc>
          <w:tcPr>
            <w:tcW w:w="3097" w:type="dxa"/>
          </w:tcPr>
          <w:p>
            <w:pPr>
              <w:pStyle w:val="TableParagraph"/>
              <w:spacing w:before="58"/>
              <w:ind w:left="1001" w:right="994"/>
              <w:jc w:val="center"/>
              <w:rPr>
                <w:sz w:val="21"/>
              </w:rPr>
            </w:pPr>
            <w:r>
              <w:rPr>
                <w:sz w:val="21"/>
              </w:rPr>
              <w:t>料仓</w:t>
            </w:r>
          </w:p>
        </w:tc>
        <w:tc>
          <w:tcPr>
            <w:tcW w:w="856" w:type="dxa"/>
          </w:tcPr>
          <w:p>
            <w:pPr>
              <w:pStyle w:val="TableParagraph"/>
              <w:spacing w:before="85"/>
              <w:ind w:left="7"/>
              <w:jc w:val="center"/>
              <w:rPr>
                <w:sz w:val="21"/>
              </w:rPr>
            </w:pPr>
            <w:r>
              <w:rPr>
                <w:w w:val="99"/>
                <w:sz w:val="21"/>
              </w:rPr>
              <w:t>个</w:t>
            </w:r>
          </w:p>
        </w:tc>
        <w:tc>
          <w:tcPr>
            <w:tcW w:w="792" w:type="dxa"/>
          </w:tcPr>
          <w:p>
            <w:pPr>
              <w:pStyle w:val="TableParagraph"/>
              <w:spacing w:before="77"/>
              <w:ind w:left="6"/>
              <w:jc w:val="center"/>
              <w:rPr>
                <w:rFonts w:ascii="Times New Roman"/>
                <w:sz w:val="21"/>
              </w:rPr>
            </w:pPr>
            <w:r>
              <w:rPr>
                <w:rFonts w:ascii="Times New Roman"/>
                <w:w w:val="99"/>
                <w:sz w:val="21"/>
              </w:rPr>
              <w:t>1</w:t>
            </w:r>
          </w:p>
        </w:tc>
        <w:tc>
          <w:tcPr>
            <w:tcW w:w="2732" w:type="dxa"/>
          </w:tcPr>
          <w:p>
            <w:pPr>
              <w:pStyle w:val="TableParagraph"/>
              <w:spacing w:before="85"/>
              <w:ind w:left="281" w:right="274"/>
              <w:jc w:val="center"/>
              <w:rPr>
                <w:sz w:val="21"/>
              </w:rPr>
            </w:pPr>
            <w:r>
              <w:rPr>
                <w:sz w:val="21"/>
              </w:rPr>
              <w:t>外购</w:t>
            </w:r>
          </w:p>
        </w:tc>
      </w:tr>
      <w:tr>
        <w:tblPrEx>
          <w:tblW w:w="0" w:type="auto"/>
          <w:tblInd w:w="1191" w:type="dxa"/>
          <w:tblLayout w:type="fixed"/>
          <w:tblCellMar>
            <w:top w:w="0" w:type="dxa"/>
            <w:left w:w="0" w:type="dxa"/>
            <w:bottom w:w="0" w:type="dxa"/>
            <w:right w:w="0" w:type="dxa"/>
          </w:tblCellMar>
        </w:tblPrEx>
        <w:trPr>
          <w:trHeight w:val="442"/>
        </w:trPr>
        <w:tc>
          <w:tcPr>
            <w:tcW w:w="681" w:type="dxa"/>
          </w:tcPr>
          <w:p>
            <w:pPr>
              <w:pStyle w:val="TableParagraph"/>
              <w:spacing w:before="100"/>
              <w:ind w:left="6"/>
              <w:jc w:val="center"/>
              <w:rPr>
                <w:rFonts w:ascii="Times New Roman"/>
                <w:sz w:val="21"/>
              </w:rPr>
            </w:pPr>
            <w:r>
              <w:rPr>
                <w:rFonts w:ascii="Times New Roman"/>
                <w:w w:val="99"/>
                <w:sz w:val="21"/>
              </w:rPr>
              <w:t>4</w:t>
            </w:r>
          </w:p>
        </w:tc>
        <w:tc>
          <w:tcPr>
            <w:tcW w:w="3097" w:type="dxa"/>
          </w:tcPr>
          <w:p>
            <w:pPr>
              <w:pStyle w:val="TableParagraph"/>
              <w:spacing w:before="57"/>
              <w:ind w:left="1001" w:right="996"/>
              <w:jc w:val="center"/>
              <w:rPr>
                <w:sz w:val="21"/>
              </w:rPr>
            </w:pPr>
            <w:r>
              <w:rPr>
                <w:sz w:val="21"/>
              </w:rPr>
              <w:t>自动灌装机</w:t>
            </w:r>
          </w:p>
        </w:tc>
        <w:tc>
          <w:tcPr>
            <w:tcW w:w="856" w:type="dxa"/>
          </w:tcPr>
          <w:p>
            <w:pPr>
              <w:pStyle w:val="TableParagraph"/>
              <w:spacing w:before="84"/>
              <w:ind w:left="7"/>
              <w:jc w:val="center"/>
              <w:rPr>
                <w:sz w:val="21"/>
              </w:rPr>
            </w:pPr>
            <w:r>
              <w:rPr>
                <w:w w:val="99"/>
                <w:sz w:val="21"/>
              </w:rPr>
              <w:t>台</w:t>
            </w:r>
          </w:p>
        </w:tc>
        <w:tc>
          <w:tcPr>
            <w:tcW w:w="792" w:type="dxa"/>
          </w:tcPr>
          <w:p>
            <w:pPr>
              <w:pStyle w:val="TableParagraph"/>
              <w:spacing w:before="76"/>
              <w:ind w:left="6"/>
              <w:jc w:val="center"/>
              <w:rPr>
                <w:rFonts w:ascii="Times New Roman"/>
                <w:sz w:val="21"/>
              </w:rPr>
            </w:pPr>
            <w:r>
              <w:rPr>
                <w:rFonts w:ascii="Times New Roman"/>
                <w:w w:val="99"/>
                <w:sz w:val="21"/>
              </w:rPr>
              <w:t>1</w:t>
            </w:r>
          </w:p>
        </w:tc>
        <w:tc>
          <w:tcPr>
            <w:tcW w:w="2732" w:type="dxa"/>
          </w:tcPr>
          <w:p>
            <w:pPr>
              <w:pStyle w:val="TableParagraph"/>
              <w:spacing w:before="84"/>
              <w:ind w:left="281" w:right="274"/>
              <w:jc w:val="center"/>
              <w:rPr>
                <w:sz w:val="21"/>
              </w:rPr>
            </w:pPr>
            <w:r>
              <w:rPr>
                <w:sz w:val="21"/>
              </w:rPr>
              <w:t>外购</w:t>
            </w:r>
          </w:p>
        </w:tc>
      </w:tr>
      <w:tr>
        <w:tblPrEx>
          <w:tblW w:w="0" w:type="auto"/>
          <w:tblInd w:w="1191" w:type="dxa"/>
          <w:tblLayout w:type="fixed"/>
          <w:tblCellMar>
            <w:top w:w="0" w:type="dxa"/>
            <w:left w:w="0" w:type="dxa"/>
            <w:bottom w:w="0" w:type="dxa"/>
            <w:right w:w="0" w:type="dxa"/>
          </w:tblCellMar>
        </w:tblPrEx>
        <w:trPr>
          <w:trHeight w:val="442"/>
        </w:trPr>
        <w:tc>
          <w:tcPr>
            <w:tcW w:w="681" w:type="dxa"/>
          </w:tcPr>
          <w:p>
            <w:pPr>
              <w:pStyle w:val="TableParagraph"/>
              <w:spacing w:before="99"/>
              <w:ind w:left="6"/>
              <w:jc w:val="center"/>
              <w:rPr>
                <w:rFonts w:ascii="Times New Roman"/>
                <w:sz w:val="21"/>
              </w:rPr>
            </w:pPr>
            <w:r>
              <w:rPr>
                <w:rFonts w:ascii="Times New Roman"/>
                <w:w w:val="99"/>
                <w:sz w:val="21"/>
              </w:rPr>
              <w:t>5</w:t>
            </w:r>
          </w:p>
        </w:tc>
        <w:tc>
          <w:tcPr>
            <w:tcW w:w="3097" w:type="dxa"/>
          </w:tcPr>
          <w:p>
            <w:pPr>
              <w:pStyle w:val="TableParagraph"/>
              <w:spacing w:before="85"/>
              <w:ind w:left="1001" w:right="994"/>
              <w:jc w:val="center"/>
              <w:rPr>
                <w:sz w:val="21"/>
              </w:rPr>
            </w:pPr>
            <w:r>
              <w:rPr>
                <w:sz w:val="21"/>
              </w:rPr>
              <w:t>风机</w:t>
            </w:r>
          </w:p>
        </w:tc>
        <w:tc>
          <w:tcPr>
            <w:tcW w:w="856" w:type="dxa"/>
          </w:tcPr>
          <w:p>
            <w:pPr>
              <w:pStyle w:val="TableParagraph"/>
              <w:spacing w:before="85"/>
              <w:ind w:left="7"/>
              <w:jc w:val="center"/>
              <w:rPr>
                <w:sz w:val="21"/>
              </w:rPr>
            </w:pPr>
            <w:r>
              <w:rPr>
                <w:w w:val="99"/>
                <w:sz w:val="21"/>
              </w:rPr>
              <w:t>台</w:t>
            </w:r>
          </w:p>
        </w:tc>
        <w:tc>
          <w:tcPr>
            <w:tcW w:w="792" w:type="dxa"/>
          </w:tcPr>
          <w:p>
            <w:pPr>
              <w:pStyle w:val="TableParagraph"/>
              <w:spacing w:before="75"/>
              <w:ind w:left="6"/>
              <w:jc w:val="center"/>
              <w:rPr>
                <w:rFonts w:ascii="Times New Roman"/>
                <w:sz w:val="21"/>
              </w:rPr>
            </w:pPr>
            <w:r>
              <w:rPr>
                <w:rFonts w:ascii="Times New Roman"/>
                <w:w w:val="99"/>
                <w:sz w:val="21"/>
              </w:rPr>
              <w:t>1</w:t>
            </w:r>
          </w:p>
        </w:tc>
        <w:tc>
          <w:tcPr>
            <w:tcW w:w="2732" w:type="dxa"/>
          </w:tcPr>
          <w:p>
            <w:pPr>
              <w:pStyle w:val="TableParagraph"/>
              <w:spacing w:before="59"/>
              <w:ind w:left="281" w:right="274"/>
              <w:jc w:val="center"/>
              <w:rPr>
                <w:sz w:val="21"/>
              </w:rPr>
            </w:pPr>
            <w:r>
              <w:rPr>
                <w:sz w:val="21"/>
              </w:rPr>
              <w:t>外购</w:t>
            </w:r>
          </w:p>
        </w:tc>
      </w:tr>
      <w:tr>
        <w:tblPrEx>
          <w:tblW w:w="0" w:type="auto"/>
          <w:tblInd w:w="1191" w:type="dxa"/>
          <w:tblLayout w:type="fixed"/>
          <w:tblCellMar>
            <w:top w:w="0" w:type="dxa"/>
            <w:left w:w="0" w:type="dxa"/>
            <w:bottom w:w="0" w:type="dxa"/>
            <w:right w:w="0" w:type="dxa"/>
          </w:tblCellMar>
        </w:tblPrEx>
        <w:trPr>
          <w:trHeight w:val="442"/>
        </w:trPr>
        <w:tc>
          <w:tcPr>
            <w:tcW w:w="8158" w:type="dxa"/>
            <w:gridSpan w:val="5"/>
          </w:tcPr>
          <w:p>
            <w:pPr>
              <w:pStyle w:val="TableParagraph"/>
              <w:spacing w:before="85"/>
              <w:ind w:left="3637" w:right="3631"/>
              <w:jc w:val="center"/>
              <w:rPr>
                <w:sz w:val="21"/>
              </w:rPr>
            </w:pPr>
            <w:r>
              <w:rPr>
                <w:sz w:val="21"/>
              </w:rPr>
              <w:t>环保设备</w:t>
            </w:r>
          </w:p>
        </w:tc>
      </w:tr>
      <w:tr>
        <w:tblPrEx>
          <w:tblW w:w="0" w:type="auto"/>
          <w:tblInd w:w="1191" w:type="dxa"/>
          <w:tblLayout w:type="fixed"/>
          <w:tblCellMar>
            <w:top w:w="0" w:type="dxa"/>
            <w:left w:w="0" w:type="dxa"/>
            <w:bottom w:w="0" w:type="dxa"/>
            <w:right w:w="0" w:type="dxa"/>
          </w:tblCellMar>
        </w:tblPrEx>
        <w:trPr>
          <w:trHeight w:val="441"/>
        </w:trPr>
        <w:tc>
          <w:tcPr>
            <w:tcW w:w="681" w:type="dxa"/>
          </w:tcPr>
          <w:p>
            <w:pPr>
              <w:pStyle w:val="TableParagraph"/>
              <w:spacing w:before="100"/>
              <w:ind w:left="6"/>
              <w:jc w:val="center"/>
              <w:rPr>
                <w:rFonts w:ascii="Times New Roman"/>
                <w:sz w:val="21"/>
              </w:rPr>
            </w:pPr>
            <w:r>
              <w:rPr>
                <w:rFonts w:ascii="Times New Roman"/>
                <w:w w:val="99"/>
                <w:sz w:val="21"/>
              </w:rPr>
              <w:t>6</w:t>
            </w:r>
          </w:p>
        </w:tc>
        <w:tc>
          <w:tcPr>
            <w:tcW w:w="3097" w:type="dxa"/>
          </w:tcPr>
          <w:p>
            <w:pPr>
              <w:pStyle w:val="TableParagraph"/>
              <w:spacing w:before="84"/>
              <w:ind w:left="1001" w:right="996"/>
              <w:jc w:val="center"/>
              <w:rPr>
                <w:sz w:val="21"/>
              </w:rPr>
            </w:pPr>
            <w:r>
              <w:rPr>
                <w:sz w:val="21"/>
              </w:rPr>
              <w:t>布袋除尘器</w:t>
            </w:r>
          </w:p>
        </w:tc>
        <w:tc>
          <w:tcPr>
            <w:tcW w:w="856" w:type="dxa"/>
          </w:tcPr>
          <w:p>
            <w:pPr>
              <w:pStyle w:val="TableParagraph"/>
              <w:spacing w:before="84"/>
              <w:ind w:left="7"/>
              <w:jc w:val="center"/>
              <w:rPr>
                <w:sz w:val="21"/>
              </w:rPr>
            </w:pPr>
            <w:r>
              <w:rPr>
                <w:w w:val="99"/>
                <w:sz w:val="21"/>
              </w:rPr>
              <w:t>套</w:t>
            </w:r>
          </w:p>
        </w:tc>
        <w:tc>
          <w:tcPr>
            <w:tcW w:w="792" w:type="dxa"/>
          </w:tcPr>
          <w:p>
            <w:pPr>
              <w:pStyle w:val="TableParagraph"/>
              <w:spacing w:before="100"/>
              <w:ind w:left="6"/>
              <w:jc w:val="center"/>
              <w:rPr>
                <w:rFonts w:ascii="Times New Roman"/>
                <w:sz w:val="21"/>
              </w:rPr>
            </w:pPr>
            <w:r>
              <w:rPr>
                <w:rFonts w:ascii="Times New Roman"/>
                <w:w w:val="99"/>
                <w:sz w:val="21"/>
              </w:rPr>
              <w:t>1</w:t>
            </w:r>
          </w:p>
        </w:tc>
        <w:tc>
          <w:tcPr>
            <w:tcW w:w="2732" w:type="dxa"/>
          </w:tcPr>
          <w:p>
            <w:pPr>
              <w:pStyle w:val="TableParagraph"/>
              <w:spacing w:before="84"/>
              <w:ind w:left="282" w:right="274"/>
              <w:jc w:val="center"/>
              <w:rPr>
                <w:rFonts w:ascii="Times New Roman" w:eastAsia="Times New Roman"/>
                <w:sz w:val="21"/>
              </w:rPr>
            </w:pPr>
            <w:r>
              <w:rPr>
                <w:rFonts w:ascii="Times New Roman" w:eastAsia="Times New Roman"/>
                <w:sz w:val="21"/>
              </w:rPr>
              <w:t xml:space="preserve">1 </w:t>
            </w:r>
            <w:r>
              <w:rPr>
                <w:sz w:val="21"/>
              </w:rPr>
              <w:t xml:space="preserve">套风量均为 </w:t>
            </w:r>
            <w:r>
              <w:rPr>
                <w:rFonts w:ascii="Times New Roman" w:eastAsia="Times New Roman"/>
                <w:sz w:val="21"/>
              </w:rPr>
              <w:t>5000m</w:t>
            </w:r>
            <w:r>
              <w:rPr>
                <w:rFonts w:ascii="Times New Roman" w:eastAsia="Times New Roman"/>
                <w:position w:val="7"/>
                <w:sz w:val="13"/>
              </w:rPr>
              <w:t>3</w:t>
            </w:r>
            <w:r>
              <w:rPr>
                <w:rFonts w:ascii="Times New Roman" w:eastAsia="Times New Roman"/>
                <w:sz w:val="21"/>
              </w:rPr>
              <w:t>/h</w:t>
            </w:r>
          </w:p>
        </w:tc>
      </w:tr>
    </w:tbl>
    <w:p>
      <w:pPr>
        <w:spacing w:before="82"/>
        <w:ind w:left="1583" w:right="0" w:firstLine="0"/>
        <w:jc w:val="left"/>
        <w:rPr>
          <w:b/>
          <w:sz w:val="24"/>
        </w:rPr>
      </w:pPr>
      <w:r>
        <w:rPr>
          <w:rFonts w:ascii="Times New Roman" w:eastAsia="Times New Roman"/>
          <w:b/>
          <w:sz w:val="24"/>
        </w:rPr>
        <w:t>7</w:t>
      </w:r>
      <w:r>
        <w:rPr>
          <w:b/>
          <w:sz w:val="24"/>
        </w:rPr>
        <w:t>、原辅材料及能源消耗情况</w:t>
      </w:r>
    </w:p>
    <w:p>
      <w:pPr>
        <w:pStyle w:val="BodyText"/>
        <w:spacing w:before="161"/>
        <w:ind w:left="1583"/>
      </w:pPr>
      <w:r>
        <w:t xml:space="preserve">项目主要原辅材料消耗情况见表 </w:t>
      </w:r>
      <w:r>
        <w:rPr>
          <w:rFonts w:ascii="Times New Roman" w:eastAsia="Times New Roman"/>
        </w:rPr>
        <w:t>2-4</w:t>
      </w:r>
      <w:r>
        <w:t>。</w:t>
      </w:r>
    </w:p>
    <w:p>
      <w:pPr>
        <w:pStyle w:val="Heading2"/>
        <w:tabs>
          <w:tab w:val="left" w:pos="1514"/>
        </w:tabs>
        <w:spacing w:before="160"/>
        <w:ind w:left="655"/>
        <w:jc w:val="center"/>
      </w:pPr>
      <w:r>
        <w:t>表</w:t>
      </w:r>
      <w:r>
        <w:rPr>
          <w:spacing w:val="-62"/>
        </w:rPr>
        <w:t xml:space="preserve"> </w:t>
      </w:r>
      <w:r>
        <w:rPr>
          <w:rFonts w:ascii="Times New Roman" w:eastAsia="Times New Roman"/>
        </w:rPr>
        <w:t>2-4</w:t>
      </w:r>
      <w:r>
        <w:rPr>
          <w:rFonts w:ascii="Times New Roman" w:eastAsia="Times New Roman"/>
        </w:rPr>
        <w:tab/>
      </w:r>
      <w:r>
        <w:t>项目主要原辅材料消耗一览表</w:t>
      </w:r>
    </w:p>
    <w:p>
      <w:pPr>
        <w:pStyle w:val="BodyText"/>
        <w:spacing w:before="2"/>
        <w:rPr>
          <w:b/>
          <w:sz w:val="6"/>
        </w:rPr>
      </w:pPr>
    </w:p>
    <w:tbl>
      <w:tblPr>
        <w:tblStyle w:val="TableNormal"/>
        <w:tblW w:w="0" w:type="auto"/>
        <w:tblInd w:w="1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681"/>
        <w:gridCol w:w="2073"/>
        <w:gridCol w:w="1335"/>
        <w:gridCol w:w="1002"/>
        <w:gridCol w:w="3107"/>
      </w:tblGrid>
      <w:tr>
        <w:tblPrEx>
          <w:tblW w:w="0" w:type="auto"/>
          <w:tblInd w:w="1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2"/>
        </w:trPr>
        <w:tc>
          <w:tcPr>
            <w:tcW w:w="681" w:type="dxa"/>
          </w:tcPr>
          <w:p>
            <w:pPr>
              <w:pStyle w:val="TableParagraph"/>
              <w:spacing w:before="70"/>
              <w:ind w:left="106" w:right="99"/>
              <w:jc w:val="center"/>
              <w:rPr>
                <w:b/>
                <w:sz w:val="21"/>
              </w:rPr>
            </w:pPr>
            <w:r>
              <w:rPr>
                <w:b/>
                <w:sz w:val="21"/>
              </w:rPr>
              <w:t>序号</w:t>
            </w:r>
          </w:p>
        </w:tc>
        <w:tc>
          <w:tcPr>
            <w:tcW w:w="2073" w:type="dxa"/>
          </w:tcPr>
          <w:p>
            <w:pPr>
              <w:pStyle w:val="TableParagraph"/>
              <w:spacing w:before="70"/>
              <w:ind w:left="804" w:right="796"/>
              <w:jc w:val="center"/>
              <w:rPr>
                <w:b/>
                <w:sz w:val="21"/>
              </w:rPr>
            </w:pPr>
            <w:r>
              <w:rPr>
                <w:b/>
                <w:sz w:val="21"/>
              </w:rPr>
              <w:t>名称</w:t>
            </w:r>
          </w:p>
        </w:tc>
        <w:tc>
          <w:tcPr>
            <w:tcW w:w="1335" w:type="dxa"/>
          </w:tcPr>
          <w:p>
            <w:pPr>
              <w:pStyle w:val="TableParagraph"/>
              <w:spacing w:before="70"/>
              <w:ind w:left="173" w:right="165"/>
              <w:jc w:val="center"/>
              <w:rPr>
                <w:b/>
                <w:sz w:val="21"/>
              </w:rPr>
            </w:pPr>
            <w:r>
              <w:rPr>
                <w:b/>
                <w:sz w:val="21"/>
              </w:rPr>
              <w:t>单位</w:t>
            </w:r>
          </w:p>
        </w:tc>
        <w:tc>
          <w:tcPr>
            <w:tcW w:w="1002" w:type="dxa"/>
          </w:tcPr>
          <w:p>
            <w:pPr>
              <w:pStyle w:val="TableParagraph"/>
              <w:spacing w:before="70"/>
              <w:ind w:left="269" w:right="261"/>
              <w:jc w:val="center"/>
              <w:rPr>
                <w:b/>
                <w:sz w:val="21"/>
              </w:rPr>
            </w:pPr>
            <w:r>
              <w:rPr>
                <w:b/>
                <w:sz w:val="21"/>
              </w:rPr>
              <w:t>数量</w:t>
            </w:r>
          </w:p>
        </w:tc>
        <w:tc>
          <w:tcPr>
            <w:tcW w:w="3107" w:type="dxa"/>
          </w:tcPr>
          <w:p>
            <w:pPr>
              <w:pStyle w:val="TableParagraph"/>
              <w:spacing w:before="70"/>
              <w:ind w:left="167" w:right="159"/>
              <w:jc w:val="center"/>
              <w:rPr>
                <w:b/>
                <w:sz w:val="21"/>
              </w:rPr>
            </w:pPr>
            <w:r>
              <w:rPr>
                <w:b/>
                <w:sz w:val="21"/>
              </w:rPr>
              <w:t>备注</w:t>
            </w:r>
          </w:p>
        </w:tc>
      </w:tr>
      <w:tr>
        <w:tblPrEx>
          <w:tblW w:w="0" w:type="auto"/>
          <w:tblInd w:w="1171" w:type="dxa"/>
          <w:tblLayout w:type="fixed"/>
          <w:tblCellMar>
            <w:top w:w="0" w:type="dxa"/>
            <w:left w:w="0" w:type="dxa"/>
            <w:bottom w:w="0" w:type="dxa"/>
            <w:right w:w="0" w:type="dxa"/>
          </w:tblCellMar>
        </w:tblPrEx>
        <w:trPr>
          <w:trHeight w:val="411"/>
        </w:trPr>
        <w:tc>
          <w:tcPr>
            <w:tcW w:w="681" w:type="dxa"/>
          </w:tcPr>
          <w:p>
            <w:pPr>
              <w:pStyle w:val="TableParagraph"/>
              <w:spacing w:before="85"/>
              <w:ind w:left="8"/>
              <w:jc w:val="center"/>
              <w:rPr>
                <w:rFonts w:ascii="Times New Roman"/>
                <w:sz w:val="21"/>
              </w:rPr>
            </w:pPr>
            <w:r>
              <w:rPr>
                <w:rFonts w:ascii="Times New Roman"/>
                <w:w w:val="99"/>
                <w:sz w:val="21"/>
              </w:rPr>
              <w:t>1</w:t>
            </w:r>
          </w:p>
        </w:tc>
        <w:tc>
          <w:tcPr>
            <w:tcW w:w="2073" w:type="dxa"/>
          </w:tcPr>
          <w:p>
            <w:pPr>
              <w:pStyle w:val="TableParagraph"/>
              <w:spacing w:before="71"/>
              <w:ind w:left="801" w:right="796"/>
              <w:jc w:val="center"/>
              <w:rPr>
                <w:sz w:val="21"/>
              </w:rPr>
            </w:pPr>
            <w:r>
              <w:rPr>
                <w:sz w:val="21"/>
              </w:rPr>
              <w:t>锯末</w:t>
            </w:r>
          </w:p>
        </w:tc>
        <w:tc>
          <w:tcPr>
            <w:tcW w:w="1335" w:type="dxa"/>
          </w:tcPr>
          <w:p>
            <w:pPr>
              <w:pStyle w:val="TableParagraph"/>
              <w:spacing w:before="85"/>
              <w:ind w:left="172" w:right="165"/>
              <w:jc w:val="center"/>
              <w:rPr>
                <w:rFonts w:ascii="Times New Roman"/>
                <w:sz w:val="21"/>
              </w:rPr>
            </w:pPr>
            <w:r>
              <w:rPr>
                <w:rFonts w:ascii="Times New Roman"/>
                <w:sz w:val="21"/>
              </w:rPr>
              <w:t>t/a</w:t>
            </w:r>
          </w:p>
        </w:tc>
        <w:tc>
          <w:tcPr>
            <w:tcW w:w="1002" w:type="dxa"/>
          </w:tcPr>
          <w:p>
            <w:pPr>
              <w:pStyle w:val="TableParagraph"/>
              <w:spacing w:before="85"/>
              <w:ind w:left="269" w:right="259"/>
              <w:jc w:val="center"/>
              <w:rPr>
                <w:rFonts w:ascii="Times New Roman"/>
                <w:sz w:val="21"/>
              </w:rPr>
            </w:pPr>
            <w:r>
              <w:rPr>
                <w:rFonts w:ascii="Times New Roman"/>
                <w:sz w:val="21"/>
              </w:rPr>
              <w:t>1000</w:t>
            </w:r>
          </w:p>
        </w:tc>
        <w:tc>
          <w:tcPr>
            <w:tcW w:w="3107" w:type="dxa"/>
          </w:tcPr>
          <w:p>
            <w:pPr>
              <w:pStyle w:val="TableParagraph"/>
              <w:spacing w:before="71"/>
              <w:ind w:left="165" w:right="159"/>
              <w:jc w:val="center"/>
              <w:rPr>
                <w:sz w:val="21"/>
              </w:rPr>
            </w:pPr>
            <w:r>
              <w:rPr>
                <w:sz w:val="21"/>
              </w:rPr>
              <w:t>外购；袋装</w:t>
            </w:r>
          </w:p>
        </w:tc>
      </w:tr>
      <w:tr>
        <w:tblPrEx>
          <w:tblW w:w="0" w:type="auto"/>
          <w:tblInd w:w="1171" w:type="dxa"/>
          <w:tblLayout w:type="fixed"/>
          <w:tblCellMar>
            <w:top w:w="0" w:type="dxa"/>
            <w:left w:w="0" w:type="dxa"/>
            <w:bottom w:w="0" w:type="dxa"/>
            <w:right w:w="0" w:type="dxa"/>
          </w:tblCellMar>
        </w:tblPrEx>
        <w:trPr>
          <w:trHeight w:val="522"/>
        </w:trPr>
        <w:tc>
          <w:tcPr>
            <w:tcW w:w="681" w:type="dxa"/>
          </w:tcPr>
          <w:p>
            <w:pPr>
              <w:pStyle w:val="TableParagraph"/>
              <w:spacing w:before="140"/>
              <w:ind w:left="8"/>
              <w:jc w:val="center"/>
              <w:rPr>
                <w:rFonts w:ascii="Times New Roman"/>
                <w:sz w:val="21"/>
              </w:rPr>
            </w:pPr>
            <w:r>
              <w:rPr>
                <w:rFonts w:ascii="Times New Roman"/>
                <w:w w:val="99"/>
                <w:sz w:val="21"/>
              </w:rPr>
              <w:t>2</w:t>
            </w:r>
          </w:p>
        </w:tc>
        <w:tc>
          <w:tcPr>
            <w:tcW w:w="2073" w:type="dxa"/>
          </w:tcPr>
          <w:p>
            <w:pPr>
              <w:pStyle w:val="TableParagraph"/>
              <w:spacing w:before="124"/>
              <w:ind w:left="8"/>
              <w:jc w:val="center"/>
              <w:rPr>
                <w:sz w:val="21"/>
              </w:rPr>
            </w:pPr>
            <w:r>
              <w:rPr>
                <w:w w:val="99"/>
                <w:sz w:val="21"/>
              </w:rPr>
              <w:t>电</w:t>
            </w:r>
          </w:p>
        </w:tc>
        <w:tc>
          <w:tcPr>
            <w:tcW w:w="1335" w:type="dxa"/>
          </w:tcPr>
          <w:p>
            <w:pPr>
              <w:pStyle w:val="TableParagraph"/>
              <w:spacing w:before="124"/>
              <w:ind w:left="174" w:right="165"/>
              <w:jc w:val="center"/>
              <w:rPr>
                <w:rFonts w:ascii="Times New Roman" w:eastAsia="Times New Roman" w:hAnsi="Times New Roman"/>
                <w:sz w:val="21"/>
              </w:rPr>
            </w:pPr>
            <w:r>
              <w:rPr>
                <w:sz w:val="21"/>
              </w:rPr>
              <w:t xml:space="preserve">万 </w:t>
            </w:r>
            <w:r>
              <w:rPr>
                <w:rFonts w:ascii="Times New Roman" w:eastAsia="Times New Roman" w:hAnsi="Times New Roman"/>
                <w:sz w:val="21"/>
              </w:rPr>
              <w:t>kW·h/a</w:t>
            </w:r>
          </w:p>
        </w:tc>
        <w:tc>
          <w:tcPr>
            <w:tcW w:w="1002" w:type="dxa"/>
          </w:tcPr>
          <w:p>
            <w:pPr>
              <w:pStyle w:val="TableParagraph"/>
              <w:spacing w:before="140"/>
              <w:ind w:left="269" w:right="259"/>
              <w:jc w:val="center"/>
              <w:rPr>
                <w:rFonts w:ascii="Times New Roman"/>
                <w:sz w:val="21"/>
              </w:rPr>
            </w:pPr>
            <w:r>
              <w:rPr>
                <w:rFonts w:ascii="Times New Roman"/>
                <w:sz w:val="21"/>
              </w:rPr>
              <w:t>15</w:t>
            </w:r>
          </w:p>
        </w:tc>
        <w:tc>
          <w:tcPr>
            <w:tcW w:w="3107" w:type="dxa"/>
          </w:tcPr>
          <w:p>
            <w:pPr>
              <w:pStyle w:val="TableParagraph"/>
              <w:spacing w:before="124"/>
              <w:ind w:left="165" w:right="159"/>
              <w:jc w:val="center"/>
              <w:rPr>
                <w:sz w:val="21"/>
              </w:rPr>
            </w:pPr>
            <w:r>
              <w:rPr>
                <w:sz w:val="21"/>
              </w:rPr>
              <w:t>由宁津县市政电网接入</w:t>
            </w:r>
          </w:p>
        </w:tc>
      </w:tr>
      <w:tr>
        <w:tblPrEx>
          <w:tblW w:w="0" w:type="auto"/>
          <w:tblInd w:w="1171" w:type="dxa"/>
          <w:tblLayout w:type="fixed"/>
          <w:tblCellMar>
            <w:top w:w="0" w:type="dxa"/>
            <w:left w:w="0" w:type="dxa"/>
            <w:bottom w:w="0" w:type="dxa"/>
            <w:right w:w="0" w:type="dxa"/>
          </w:tblCellMar>
        </w:tblPrEx>
        <w:trPr>
          <w:trHeight w:val="422"/>
        </w:trPr>
        <w:tc>
          <w:tcPr>
            <w:tcW w:w="681" w:type="dxa"/>
          </w:tcPr>
          <w:p>
            <w:pPr>
              <w:pStyle w:val="TableParagraph"/>
              <w:spacing w:before="91"/>
              <w:ind w:left="8"/>
              <w:jc w:val="center"/>
              <w:rPr>
                <w:rFonts w:ascii="Times New Roman"/>
                <w:sz w:val="21"/>
              </w:rPr>
            </w:pPr>
            <w:r>
              <w:rPr>
                <w:rFonts w:ascii="Times New Roman"/>
                <w:w w:val="99"/>
                <w:sz w:val="21"/>
              </w:rPr>
              <w:t>3</w:t>
            </w:r>
          </w:p>
        </w:tc>
        <w:tc>
          <w:tcPr>
            <w:tcW w:w="2073" w:type="dxa"/>
          </w:tcPr>
          <w:p>
            <w:pPr>
              <w:pStyle w:val="TableParagraph"/>
              <w:spacing w:before="74"/>
              <w:ind w:left="8"/>
              <w:jc w:val="center"/>
              <w:rPr>
                <w:sz w:val="21"/>
              </w:rPr>
            </w:pPr>
            <w:r>
              <w:rPr>
                <w:w w:val="99"/>
                <w:sz w:val="21"/>
              </w:rPr>
              <w:t>水</w:t>
            </w:r>
          </w:p>
        </w:tc>
        <w:tc>
          <w:tcPr>
            <w:tcW w:w="1335" w:type="dxa"/>
          </w:tcPr>
          <w:p>
            <w:pPr>
              <w:pStyle w:val="TableParagraph"/>
              <w:spacing w:before="91"/>
              <w:ind w:left="172" w:right="165"/>
              <w:jc w:val="center"/>
              <w:rPr>
                <w:rFonts w:ascii="Times New Roman"/>
                <w:sz w:val="21"/>
              </w:rPr>
            </w:pPr>
            <w:r>
              <w:rPr>
                <w:rFonts w:ascii="Times New Roman"/>
                <w:sz w:val="21"/>
              </w:rPr>
              <w:t>m</w:t>
            </w:r>
            <w:r>
              <w:rPr>
                <w:rFonts w:ascii="Times New Roman"/>
                <w:position w:val="7"/>
                <w:sz w:val="13"/>
              </w:rPr>
              <w:t>3</w:t>
            </w:r>
            <w:r>
              <w:rPr>
                <w:rFonts w:ascii="Times New Roman"/>
                <w:sz w:val="21"/>
              </w:rPr>
              <w:t>/a</w:t>
            </w:r>
          </w:p>
        </w:tc>
        <w:tc>
          <w:tcPr>
            <w:tcW w:w="1002" w:type="dxa"/>
          </w:tcPr>
          <w:p>
            <w:pPr>
              <w:pStyle w:val="TableParagraph"/>
              <w:spacing w:before="91"/>
              <w:ind w:left="269" w:right="259"/>
              <w:jc w:val="center"/>
              <w:rPr>
                <w:rFonts w:ascii="Times New Roman"/>
                <w:sz w:val="21"/>
              </w:rPr>
            </w:pPr>
            <w:r>
              <w:rPr>
                <w:rFonts w:ascii="Times New Roman"/>
                <w:sz w:val="21"/>
              </w:rPr>
              <w:t>90</w:t>
            </w:r>
          </w:p>
        </w:tc>
        <w:tc>
          <w:tcPr>
            <w:tcW w:w="3107" w:type="dxa"/>
          </w:tcPr>
          <w:p>
            <w:pPr>
              <w:pStyle w:val="TableParagraph"/>
              <w:spacing w:before="74"/>
              <w:ind w:left="167" w:right="159"/>
              <w:jc w:val="center"/>
              <w:rPr>
                <w:sz w:val="21"/>
              </w:rPr>
            </w:pPr>
            <w:r>
              <w:rPr>
                <w:sz w:val="21"/>
              </w:rPr>
              <w:t>由宁津县市政自来水管网供给</w:t>
            </w:r>
          </w:p>
        </w:tc>
      </w:tr>
    </w:tbl>
    <w:p>
      <w:pPr>
        <w:spacing w:before="2"/>
        <w:ind w:left="1583" w:right="0" w:firstLine="0"/>
        <w:jc w:val="left"/>
        <w:rPr>
          <w:b/>
          <w:sz w:val="24"/>
        </w:rPr>
      </w:pPr>
      <w:r>
        <w:rPr>
          <w:rFonts w:ascii="Times New Roman" w:eastAsia="Times New Roman"/>
          <w:b/>
          <w:sz w:val="24"/>
        </w:rPr>
        <w:t>8</w:t>
      </w:r>
      <w:r>
        <w:rPr>
          <w:b/>
          <w:sz w:val="24"/>
        </w:rPr>
        <w:t>、环保投资</w:t>
      </w:r>
    </w:p>
    <w:p>
      <w:pPr>
        <w:pStyle w:val="BodyText"/>
        <w:spacing w:before="6"/>
        <w:rPr>
          <w:b/>
          <w:sz w:val="18"/>
        </w:rPr>
      </w:pPr>
    </w:p>
    <w:p>
      <w:pPr>
        <w:spacing w:before="0"/>
        <w:ind w:left="653" w:right="3" w:firstLine="0"/>
        <w:jc w:val="center"/>
        <w:rPr>
          <w:b/>
          <w:sz w:val="24"/>
        </w:rPr>
      </w:pPr>
      <w:r>
        <w:rPr>
          <w:b/>
          <w:sz w:val="24"/>
        </w:rPr>
        <w:t xml:space="preserve">表 </w:t>
      </w:r>
      <w:r>
        <w:rPr>
          <w:rFonts w:ascii="Times New Roman" w:eastAsia="Times New Roman"/>
          <w:b/>
          <w:sz w:val="24"/>
        </w:rPr>
        <w:t xml:space="preserve">2-5 </w:t>
      </w:r>
      <w:r>
        <w:rPr>
          <w:b/>
          <w:sz w:val="24"/>
        </w:rPr>
        <w:t>项目环保投资一览表</w:t>
      </w:r>
    </w:p>
    <w:p>
      <w:pPr>
        <w:pStyle w:val="BodyText"/>
        <w:spacing w:before="5"/>
        <w:rPr>
          <w:b/>
          <w:sz w:val="6"/>
        </w:rPr>
      </w:pPr>
    </w:p>
    <w:tbl>
      <w:tblPr>
        <w:tblStyle w:val="TableNormal"/>
        <w:tblW w:w="0" w:type="auto"/>
        <w:tblInd w:w="1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075"/>
        <w:gridCol w:w="4068"/>
        <w:gridCol w:w="1975"/>
      </w:tblGrid>
      <w:tr>
        <w:tblPrEx>
          <w:tblW w:w="0" w:type="auto"/>
          <w:tblInd w:w="1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42"/>
        </w:trPr>
        <w:tc>
          <w:tcPr>
            <w:tcW w:w="2075" w:type="dxa"/>
          </w:tcPr>
          <w:p>
            <w:pPr>
              <w:pStyle w:val="TableParagraph"/>
              <w:spacing w:before="85"/>
              <w:ind w:left="384" w:right="373"/>
              <w:jc w:val="center"/>
              <w:rPr>
                <w:b/>
                <w:sz w:val="21"/>
              </w:rPr>
            </w:pPr>
            <w:r>
              <w:rPr>
                <w:b/>
                <w:sz w:val="21"/>
              </w:rPr>
              <w:t>治理项目</w:t>
            </w:r>
          </w:p>
        </w:tc>
        <w:tc>
          <w:tcPr>
            <w:tcW w:w="4068" w:type="dxa"/>
          </w:tcPr>
          <w:p>
            <w:pPr>
              <w:pStyle w:val="TableParagraph"/>
              <w:spacing w:before="85"/>
              <w:ind w:left="421" w:right="411"/>
              <w:jc w:val="center"/>
              <w:rPr>
                <w:b/>
                <w:sz w:val="21"/>
              </w:rPr>
            </w:pPr>
            <w:r>
              <w:rPr>
                <w:b/>
                <w:sz w:val="21"/>
              </w:rPr>
              <w:t>环保设施名称</w:t>
            </w:r>
          </w:p>
        </w:tc>
        <w:tc>
          <w:tcPr>
            <w:tcW w:w="1975" w:type="dxa"/>
          </w:tcPr>
          <w:p>
            <w:pPr>
              <w:pStyle w:val="TableParagraph"/>
              <w:spacing w:before="85"/>
              <w:ind w:left="126" w:right="111"/>
              <w:jc w:val="center"/>
              <w:rPr>
                <w:b/>
                <w:sz w:val="21"/>
              </w:rPr>
            </w:pPr>
            <w:r>
              <w:rPr>
                <w:b/>
                <w:sz w:val="21"/>
              </w:rPr>
              <w:t>环保投资（万元）</w:t>
            </w:r>
          </w:p>
        </w:tc>
      </w:tr>
      <w:tr>
        <w:tblPrEx>
          <w:tblW w:w="0" w:type="auto"/>
          <w:tblInd w:w="1211" w:type="dxa"/>
          <w:tblLayout w:type="fixed"/>
          <w:tblCellMar>
            <w:top w:w="0" w:type="dxa"/>
            <w:left w:w="0" w:type="dxa"/>
            <w:bottom w:w="0" w:type="dxa"/>
            <w:right w:w="0" w:type="dxa"/>
          </w:tblCellMar>
        </w:tblPrEx>
        <w:trPr>
          <w:trHeight w:val="442"/>
        </w:trPr>
        <w:tc>
          <w:tcPr>
            <w:tcW w:w="2075" w:type="dxa"/>
          </w:tcPr>
          <w:p>
            <w:pPr>
              <w:pStyle w:val="TableParagraph"/>
              <w:spacing w:before="84"/>
              <w:ind w:left="384" w:right="378"/>
              <w:jc w:val="center"/>
              <w:rPr>
                <w:sz w:val="21"/>
              </w:rPr>
            </w:pPr>
            <w:r>
              <w:rPr>
                <w:sz w:val="21"/>
              </w:rPr>
              <w:t>废气处理</w:t>
            </w:r>
          </w:p>
        </w:tc>
        <w:tc>
          <w:tcPr>
            <w:tcW w:w="4068" w:type="dxa"/>
          </w:tcPr>
          <w:p>
            <w:pPr>
              <w:pStyle w:val="TableParagraph"/>
              <w:spacing w:before="84"/>
              <w:ind w:left="421" w:right="414"/>
              <w:jc w:val="center"/>
              <w:rPr>
                <w:sz w:val="21"/>
              </w:rPr>
            </w:pPr>
            <w:r>
              <w:rPr>
                <w:sz w:val="21"/>
              </w:rPr>
              <w:t>集气罩</w:t>
            </w:r>
            <w:r>
              <w:rPr>
                <w:rFonts w:ascii="Times New Roman" w:eastAsia="Times New Roman"/>
                <w:sz w:val="21"/>
              </w:rPr>
              <w:t>+</w:t>
            </w:r>
            <w:r>
              <w:rPr>
                <w:sz w:val="21"/>
              </w:rPr>
              <w:t>布袋除尘器</w:t>
            </w:r>
            <w:r>
              <w:rPr>
                <w:rFonts w:ascii="Times New Roman" w:eastAsia="Times New Roman"/>
                <w:sz w:val="21"/>
              </w:rPr>
              <w:t xml:space="preserve">+15m </w:t>
            </w:r>
            <w:r>
              <w:rPr>
                <w:sz w:val="21"/>
              </w:rPr>
              <w:t>高排气筒</w:t>
            </w:r>
          </w:p>
        </w:tc>
        <w:tc>
          <w:tcPr>
            <w:tcW w:w="1975" w:type="dxa"/>
          </w:tcPr>
          <w:p>
            <w:pPr>
              <w:pStyle w:val="TableParagraph"/>
              <w:spacing w:before="98"/>
              <w:ind w:left="120" w:right="111"/>
              <w:jc w:val="center"/>
              <w:rPr>
                <w:rFonts w:ascii="Times New Roman"/>
                <w:sz w:val="21"/>
              </w:rPr>
            </w:pPr>
            <w:r>
              <w:rPr>
                <w:rFonts w:ascii="Times New Roman"/>
                <w:sz w:val="21"/>
              </w:rPr>
              <w:t>2.5</w:t>
            </w:r>
          </w:p>
        </w:tc>
      </w:tr>
      <w:tr>
        <w:tblPrEx>
          <w:tblW w:w="0" w:type="auto"/>
          <w:tblInd w:w="1211" w:type="dxa"/>
          <w:tblLayout w:type="fixed"/>
          <w:tblCellMar>
            <w:top w:w="0" w:type="dxa"/>
            <w:left w:w="0" w:type="dxa"/>
            <w:bottom w:w="0" w:type="dxa"/>
            <w:right w:w="0" w:type="dxa"/>
          </w:tblCellMar>
        </w:tblPrEx>
        <w:trPr>
          <w:trHeight w:val="442"/>
        </w:trPr>
        <w:tc>
          <w:tcPr>
            <w:tcW w:w="2075" w:type="dxa"/>
          </w:tcPr>
          <w:p>
            <w:pPr>
              <w:pStyle w:val="TableParagraph"/>
              <w:spacing w:before="83"/>
              <w:ind w:left="384" w:right="378"/>
              <w:jc w:val="center"/>
              <w:rPr>
                <w:sz w:val="21"/>
              </w:rPr>
            </w:pPr>
            <w:r>
              <w:rPr>
                <w:sz w:val="21"/>
              </w:rPr>
              <w:t>废水治理</w:t>
            </w:r>
          </w:p>
        </w:tc>
        <w:tc>
          <w:tcPr>
            <w:tcW w:w="4068" w:type="dxa"/>
          </w:tcPr>
          <w:p>
            <w:pPr>
              <w:pStyle w:val="TableParagraph"/>
              <w:spacing w:before="83"/>
              <w:ind w:left="421" w:right="411"/>
              <w:jc w:val="center"/>
              <w:rPr>
                <w:sz w:val="21"/>
              </w:rPr>
            </w:pPr>
            <w:r>
              <w:rPr>
                <w:sz w:val="21"/>
              </w:rPr>
              <w:t>化粪池</w:t>
            </w:r>
          </w:p>
        </w:tc>
        <w:tc>
          <w:tcPr>
            <w:tcW w:w="1975" w:type="dxa"/>
          </w:tcPr>
          <w:p>
            <w:pPr>
              <w:pStyle w:val="TableParagraph"/>
              <w:spacing w:before="99"/>
              <w:ind w:left="120" w:right="111"/>
              <w:jc w:val="center"/>
              <w:rPr>
                <w:rFonts w:ascii="Times New Roman"/>
                <w:sz w:val="21"/>
              </w:rPr>
            </w:pPr>
            <w:r>
              <w:rPr>
                <w:rFonts w:ascii="Times New Roman"/>
                <w:sz w:val="21"/>
              </w:rPr>
              <w:t>0.5</w:t>
            </w:r>
          </w:p>
        </w:tc>
      </w:tr>
      <w:tr>
        <w:tblPrEx>
          <w:tblW w:w="0" w:type="auto"/>
          <w:tblInd w:w="1211" w:type="dxa"/>
          <w:tblLayout w:type="fixed"/>
          <w:tblCellMar>
            <w:top w:w="0" w:type="dxa"/>
            <w:left w:w="0" w:type="dxa"/>
            <w:bottom w:w="0" w:type="dxa"/>
            <w:right w:w="0" w:type="dxa"/>
          </w:tblCellMar>
        </w:tblPrEx>
        <w:trPr>
          <w:trHeight w:val="442"/>
        </w:trPr>
        <w:tc>
          <w:tcPr>
            <w:tcW w:w="2075" w:type="dxa"/>
          </w:tcPr>
          <w:p>
            <w:pPr>
              <w:pStyle w:val="TableParagraph"/>
              <w:spacing w:before="85"/>
              <w:ind w:left="384" w:right="378"/>
              <w:jc w:val="center"/>
              <w:rPr>
                <w:sz w:val="21"/>
              </w:rPr>
            </w:pPr>
            <w:r>
              <w:rPr>
                <w:sz w:val="21"/>
              </w:rPr>
              <w:t>噪声治理</w:t>
            </w:r>
          </w:p>
        </w:tc>
        <w:tc>
          <w:tcPr>
            <w:tcW w:w="4068" w:type="dxa"/>
          </w:tcPr>
          <w:p>
            <w:pPr>
              <w:pStyle w:val="TableParagraph"/>
              <w:spacing w:before="85"/>
              <w:ind w:left="419" w:right="414"/>
              <w:jc w:val="center"/>
              <w:rPr>
                <w:sz w:val="21"/>
              </w:rPr>
            </w:pPr>
            <w:r>
              <w:rPr>
                <w:sz w:val="21"/>
              </w:rPr>
              <w:t>厂房隔声、减振垫、吸声材料等</w:t>
            </w:r>
          </w:p>
        </w:tc>
        <w:tc>
          <w:tcPr>
            <w:tcW w:w="1975" w:type="dxa"/>
          </w:tcPr>
          <w:p>
            <w:pPr>
              <w:pStyle w:val="TableParagraph"/>
              <w:spacing w:before="99"/>
              <w:ind w:left="9"/>
              <w:jc w:val="center"/>
              <w:rPr>
                <w:rFonts w:ascii="Times New Roman"/>
                <w:sz w:val="21"/>
              </w:rPr>
            </w:pPr>
            <w:r>
              <w:rPr>
                <w:rFonts w:ascii="Times New Roman"/>
                <w:w w:val="99"/>
                <w:sz w:val="21"/>
              </w:rPr>
              <w:t>1</w:t>
            </w:r>
          </w:p>
        </w:tc>
      </w:tr>
      <w:tr>
        <w:tblPrEx>
          <w:tblW w:w="0" w:type="auto"/>
          <w:tblInd w:w="1211" w:type="dxa"/>
          <w:tblLayout w:type="fixed"/>
          <w:tblCellMar>
            <w:top w:w="0" w:type="dxa"/>
            <w:left w:w="0" w:type="dxa"/>
            <w:bottom w:w="0" w:type="dxa"/>
            <w:right w:w="0" w:type="dxa"/>
          </w:tblCellMar>
        </w:tblPrEx>
        <w:trPr>
          <w:trHeight w:val="441"/>
        </w:trPr>
        <w:tc>
          <w:tcPr>
            <w:tcW w:w="2075" w:type="dxa"/>
          </w:tcPr>
          <w:p>
            <w:pPr>
              <w:pStyle w:val="TableParagraph"/>
              <w:spacing w:before="84"/>
              <w:ind w:left="384" w:right="380"/>
              <w:jc w:val="center"/>
              <w:rPr>
                <w:sz w:val="21"/>
              </w:rPr>
            </w:pPr>
            <w:r>
              <w:rPr>
                <w:sz w:val="21"/>
              </w:rPr>
              <w:t>固体废物治理</w:t>
            </w:r>
          </w:p>
        </w:tc>
        <w:tc>
          <w:tcPr>
            <w:tcW w:w="4068" w:type="dxa"/>
          </w:tcPr>
          <w:p>
            <w:pPr>
              <w:pStyle w:val="TableParagraph"/>
              <w:spacing w:before="84"/>
              <w:ind w:left="421" w:right="411"/>
              <w:jc w:val="center"/>
              <w:rPr>
                <w:sz w:val="21"/>
              </w:rPr>
            </w:pPr>
            <w:r>
              <w:rPr>
                <w:sz w:val="21"/>
              </w:rPr>
              <w:t>一般废物收集处置措施等</w:t>
            </w:r>
          </w:p>
        </w:tc>
        <w:tc>
          <w:tcPr>
            <w:tcW w:w="1975" w:type="dxa"/>
          </w:tcPr>
          <w:p>
            <w:pPr>
              <w:pStyle w:val="TableParagraph"/>
              <w:spacing w:before="98"/>
              <w:ind w:left="120" w:right="111"/>
              <w:jc w:val="center"/>
              <w:rPr>
                <w:rFonts w:ascii="Times New Roman"/>
                <w:sz w:val="21"/>
              </w:rPr>
            </w:pPr>
            <w:r>
              <w:rPr>
                <w:rFonts w:ascii="Times New Roman"/>
                <w:sz w:val="21"/>
              </w:rPr>
              <w:t>0.5</w:t>
            </w:r>
          </w:p>
        </w:tc>
      </w:tr>
      <w:tr>
        <w:tblPrEx>
          <w:tblW w:w="0" w:type="auto"/>
          <w:tblInd w:w="1211" w:type="dxa"/>
          <w:tblLayout w:type="fixed"/>
          <w:tblCellMar>
            <w:top w:w="0" w:type="dxa"/>
            <w:left w:w="0" w:type="dxa"/>
            <w:bottom w:w="0" w:type="dxa"/>
            <w:right w:w="0" w:type="dxa"/>
          </w:tblCellMar>
        </w:tblPrEx>
        <w:trPr>
          <w:trHeight w:val="442"/>
        </w:trPr>
        <w:tc>
          <w:tcPr>
            <w:tcW w:w="2075" w:type="dxa"/>
          </w:tcPr>
          <w:p>
            <w:pPr>
              <w:pStyle w:val="TableParagraph"/>
              <w:spacing w:before="83"/>
              <w:ind w:left="384" w:right="378"/>
              <w:jc w:val="center"/>
              <w:rPr>
                <w:sz w:val="21"/>
              </w:rPr>
            </w:pPr>
            <w:r>
              <w:rPr>
                <w:sz w:val="21"/>
              </w:rPr>
              <w:t>环境管理</w:t>
            </w:r>
          </w:p>
        </w:tc>
        <w:tc>
          <w:tcPr>
            <w:tcW w:w="4068" w:type="dxa"/>
          </w:tcPr>
          <w:p>
            <w:pPr>
              <w:pStyle w:val="TableParagraph"/>
              <w:spacing w:before="83"/>
              <w:ind w:left="421" w:right="414"/>
              <w:jc w:val="center"/>
              <w:rPr>
                <w:sz w:val="21"/>
              </w:rPr>
            </w:pPr>
            <w:r>
              <w:rPr>
                <w:sz w:val="21"/>
              </w:rPr>
              <w:t>日常监测设备、事故应急设备</w:t>
            </w:r>
          </w:p>
        </w:tc>
        <w:tc>
          <w:tcPr>
            <w:tcW w:w="1975" w:type="dxa"/>
          </w:tcPr>
          <w:p>
            <w:pPr>
              <w:pStyle w:val="TableParagraph"/>
              <w:spacing w:before="99"/>
              <w:ind w:left="120" w:right="111"/>
              <w:jc w:val="center"/>
              <w:rPr>
                <w:rFonts w:ascii="Times New Roman"/>
                <w:sz w:val="21"/>
              </w:rPr>
            </w:pPr>
            <w:r>
              <w:rPr>
                <w:rFonts w:ascii="Times New Roman"/>
                <w:sz w:val="21"/>
              </w:rPr>
              <w:t>0.5</w:t>
            </w:r>
          </w:p>
        </w:tc>
      </w:tr>
      <w:tr>
        <w:tblPrEx>
          <w:tblW w:w="0" w:type="auto"/>
          <w:tblInd w:w="1211" w:type="dxa"/>
          <w:tblLayout w:type="fixed"/>
          <w:tblCellMar>
            <w:top w:w="0" w:type="dxa"/>
            <w:left w:w="0" w:type="dxa"/>
            <w:bottom w:w="0" w:type="dxa"/>
            <w:right w:w="0" w:type="dxa"/>
          </w:tblCellMar>
        </w:tblPrEx>
        <w:trPr>
          <w:trHeight w:val="442"/>
        </w:trPr>
        <w:tc>
          <w:tcPr>
            <w:tcW w:w="6143" w:type="dxa"/>
            <w:gridSpan w:val="2"/>
          </w:tcPr>
          <w:p>
            <w:pPr>
              <w:pStyle w:val="TableParagraph"/>
              <w:spacing w:before="85"/>
              <w:ind w:left="2839" w:right="2833"/>
              <w:jc w:val="center"/>
              <w:rPr>
                <w:sz w:val="21"/>
              </w:rPr>
            </w:pPr>
            <w:r>
              <w:rPr>
                <w:sz w:val="21"/>
              </w:rPr>
              <w:t>合计</w:t>
            </w:r>
          </w:p>
        </w:tc>
        <w:tc>
          <w:tcPr>
            <w:tcW w:w="1975" w:type="dxa"/>
          </w:tcPr>
          <w:p>
            <w:pPr>
              <w:pStyle w:val="TableParagraph"/>
              <w:spacing w:before="99"/>
              <w:ind w:left="9"/>
              <w:jc w:val="center"/>
              <w:rPr>
                <w:rFonts w:ascii="Times New Roman"/>
                <w:sz w:val="21"/>
              </w:rPr>
            </w:pPr>
            <w:r>
              <w:rPr>
                <w:rFonts w:ascii="Times New Roman"/>
                <w:w w:val="99"/>
                <w:sz w:val="21"/>
              </w:rPr>
              <w:t>5</w:t>
            </w:r>
          </w:p>
        </w:tc>
      </w:tr>
    </w:tbl>
    <w:p>
      <w:pPr>
        <w:spacing w:before="1"/>
        <w:ind w:left="1583" w:right="0" w:firstLine="0"/>
        <w:jc w:val="left"/>
        <w:rPr>
          <w:b/>
          <w:sz w:val="24"/>
        </w:rPr>
      </w:pPr>
      <w:r>
        <w:rPr>
          <w:rFonts w:ascii="Times New Roman" w:eastAsia="Times New Roman"/>
          <w:b/>
          <w:sz w:val="24"/>
        </w:rPr>
        <w:t>9</w:t>
      </w:r>
      <w:r>
        <w:rPr>
          <w:b/>
          <w:sz w:val="24"/>
        </w:rPr>
        <w:t>、工作制度</w:t>
      </w:r>
    </w:p>
    <w:p>
      <w:pPr>
        <w:pStyle w:val="BodyText"/>
        <w:spacing w:before="158"/>
        <w:ind w:left="1583"/>
      </w:pPr>
      <w:r>
        <w:t xml:space="preserve">职工人数：劳动定员 </w:t>
      </w:r>
      <w:r>
        <w:rPr>
          <w:rFonts w:ascii="Times New Roman" w:eastAsia="Times New Roman"/>
        </w:rPr>
        <w:t xml:space="preserve">3 </w:t>
      </w:r>
      <w:r>
        <w:t>人。</w:t>
      </w:r>
    </w:p>
    <w:p>
      <w:pPr>
        <w:pStyle w:val="BodyText"/>
        <w:spacing w:before="161"/>
        <w:ind w:left="1583"/>
      </w:pPr>
      <w:r>
        <w:t xml:space="preserve">工作制度：项目采用一班工作制，一班 </w:t>
      </w:r>
      <w:r>
        <w:rPr>
          <w:rFonts w:ascii="Times New Roman" w:eastAsia="Times New Roman"/>
        </w:rPr>
        <w:t xml:space="preserve">8 </w:t>
      </w:r>
      <w:r>
        <w:t xml:space="preserve">小时，年工作 </w:t>
      </w:r>
      <w:r>
        <w:rPr>
          <w:rFonts w:ascii="Times New Roman" w:eastAsia="Times New Roman"/>
        </w:rPr>
        <w:t xml:space="preserve">300 </w:t>
      </w:r>
      <w:r>
        <w:t>天，不提供食宿。</w:t>
      </w:r>
    </w:p>
    <w:p>
      <w:pPr>
        <w:spacing w:after="0"/>
        <w:sectPr>
          <w:footerReference w:type="default" r:id="rId20"/>
          <w:pgSz w:w="11910" w:h="16840"/>
          <w:pgMar w:top="1420" w:right="980" w:bottom="1100" w:left="1040" w:header="0" w:footer="909" w:gutter="0"/>
          <w:pgNumType w:start="16"/>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8538"/>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9653"/>
        </w:trPr>
        <w:tc>
          <w:tcPr>
            <w:tcW w:w="704" w:type="dxa"/>
          </w:tcPr>
          <w:p>
            <w:pPr>
              <w:pStyle w:val="TableParagraph"/>
              <w:rPr>
                <w:rFonts w:ascii="Times New Roman"/>
                <w:sz w:val="22"/>
              </w:rPr>
            </w:pPr>
          </w:p>
        </w:tc>
        <w:tc>
          <w:tcPr>
            <w:tcW w:w="8538" w:type="dxa"/>
          </w:tcPr>
          <w:p>
            <w:pPr>
              <w:pStyle w:val="TableParagraph"/>
              <w:spacing w:before="3"/>
              <w:ind w:left="586"/>
              <w:rPr>
                <w:b/>
                <w:sz w:val="24"/>
              </w:rPr>
            </w:pPr>
            <w:r>
              <w:rPr>
                <w:rFonts w:ascii="Times New Roman" w:eastAsia="Times New Roman"/>
                <w:b/>
                <w:sz w:val="24"/>
              </w:rPr>
              <w:t>10</w:t>
            </w:r>
            <w:r>
              <w:rPr>
                <w:b/>
                <w:sz w:val="24"/>
              </w:rPr>
              <w:t>、公用工程</w:t>
            </w:r>
          </w:p>
          <w:p>
            <w:pPr>
              <w:pStyle w:val="TableParagraph"/>
              <w:spacing w:before="158"/>
              <w:ind w:left="586"/>
              <w:rPr>
                <w:b/>
                <w:sz w:val="24"/>
              </w:rPr>
            </w:pPr>
            <w:r>
              <w:rPr>
                <w:rFonts w:ascii="Times New Roman" w:eastAsia="Times New Roman"/>
                <w:b/>
                <w:sz w:val="24"/>
              </w:rPr>
              <w:t xml:space="preserve">10.1 </w:t>
            </w:r>
            <w:r>
              <w:rPr>
                <w:b/>
                <w:sz w:val="24"/>
              </w:rPr>
              <w:t>给排水</w:t>
            </w:r>
          </w:p>
          <w:p>
            <w:pPr>
              <w:pStyle w:val="TableParagraph"/>
              <w:numPr>
                <w:ilvl w:val="0"/>
                <w:numId w:val="4"/>
              </w:numPr>
              <w:tabs>
                <w:tab w:val="left" w:pos="1188"/>
              </w:tabs>
              <w:spacing w:before="158" w:after="0" w:line="240" w:lineRule="auto"/>
              <w:ind w:left="1187" w:right="0" w:hanging="602"/>
              <w:jc w:val="left"/>
              <w:rPr>
                <w:sz w:val="24"/>
              </w:rPr>
            </w:pPr>
            <w:r>
              <w:rPr>
                <w:sz w:val="24"/>
              </w:rPr>
              <w:t>给水</w:t>
            </w:r>
          </w:p>
          <w:p>
            <w:pPr>
              <w:pStyle w:val="TableParagraph"/>
              <w:spacing w:before="161" w:line="362" w:lineRule="auto"/>
              <w:ind w:left="106" w:right="18" w:firstLine="480"/>
              <w:rPr>
                <w:sz w:val="24"/>
              </w:rPr>
            </w:pPr>
            <w:r>
              <w:rPr>
                <w:sz w:val="24"/>
              </w:rPr>
              <w:t>本项目供水来源于市政自来水管网，水源能够满足项目用水要求。供水能力能够满足新建项目的用水需求。</w:t>
            </w:r>
          </w:p>
          <w:p>
            <w:pPr>
              <w:pStyle w:val="TableParagraph"/>
              <w:spacing w:before="5"/>
              <w:ind w:left="594"/>
              <w:rPr>
                <w:sz w:val="24"/>
              </w:rPr>
            </w:pPr>
            <w:r>
              <w:rPr>
                <w:sz w:val="24"/>
              </w:rPr>
              <w:t>本项目生产过程不用水，用水主要为生活用水。</w:t>
            </w:r>
          </w:p>
          <w:p>
            <w:pPr>
              <w:pStyle w:val="TableParagraph"/>
              <w:spacing w:before="160" w:line="364" w:lineRule="auto"/>
              <w:ind w:left="106" w:right="95" w:firstLine="484"/>
              <w:jc w:val="both"/>
              <w:rPr>
                <w:sz w:val="24"/>
              </w:rPr>
            </w:pPr>
            <w:r>
              <w:rPr>
                <w:spacing w:val="-9"/>
                <w:sz w:val="24"/>
              </w:rPr>
              <w:t xml:space="preserve">生活用水：项目新增劳动定员 </w:t>
            </w:r>
            <w:r>
              <w:rPr>
                <w:rFonts w:ascii="Times New Roman" w:eastAsia="Times New Roman"/>
                <w:sz w:val="24"/>
              </w:rPr>
              <w:t xml:space="preserve">3 </w:t>
            </w:r>
            <w:r>
              <w:rPr>
                <w:spacing w:val="-14"/>
                <w:sz w:val="24"/>
              </w:rPr>
              <w:t xml:space="preserve">人，年工作 </w:t>
            </w:r>
            <w:r>
              <w:rPr>
                <w:rFonts w:ascii="Times New Roman" w:eastAsia="Times New Roman"/>
                <w:sz w:val="24"/>
              </w:rPr>
              <w:t xml:space="preserve">300 </w:t>
            </w:r>
            <w:r>
              <w:rPr>
                <w:spacing w:val="-8"/>
                <w:sz w:val="24"/>
              </w:rPr>
              <w:t>天，根据《建筑给水排水设</w:t>
            </w:r>
            <w:r>
              <w:rPr>
                <w:sz w:val="24"/>
              </w:rPr>
              <w:t>计标准》</w:t>
            </w:r>
            <w:r>
              <w:rPr>
                <w:spacing w:val="-4"/>
                <w:sz w:val="24"/>
              </w:rPr>
              <w:t>（</w:t>
            </w:r>
            <w:r>
              <w:rPr>
                <w:rFonts w:ascii="Times New Roman" w:eastAsia="Times New Roman"/>
                <w:spacing w:val="-4"/>
                <w:sz w:val="24"/>
              </w:rPr>
              <w:t>GB50015-2019</w:t>
            </w:r>
            <w:r>
              <w:rPr>
                <w:spacing w:val="-4"/>
                <w:sz w:val="24"/>
              </w:rPr>
              <w:t>）（</w:t>
            </w:r>
            <w:r>
              <w:rPr>
                <w:rFonts w:ascii="Times New Roman" w:eastAsia="Times New Roman"/>
                <w:spacing w:val="-4"/>
                <w:sz w:val="24"/>
              </w:rPr>
              <w:t xml:space="preserve">2019 </w:t>
            </w:r>
            <w:r>
              <w:rPr>
                <w:spacing w:val="9"/>
                <w:sz w:val="24"/>
              </w:rPr>
              <w:t>年版</w:t>
            </w:r>
            <w:r>
              <w:rPr>
                <w:spacing w:val="-54"/>
                <w:sz w:val="24"/>
              </w:rPr>
              <w:t>）</w:t>
            </w:r>
            <w:r>
              <w:rPr>
                <w:spacing w:val="-20"/>
                <w:sz w:val="24"/>
              </w:rPr>
              <w:t xml:space="preserve">，生活用水定额为 </w:t>
            </w:r>
            <w:r>
              <w:rPr>
                <w:rFonts w:ascii="Times New Roman" w:eastAsia="Times New Roman"/>
                <w:sz w:val="24"/>
              </w:rPr>
              <w:t>50L/</w:t>
            </w:r>
            <w:r>
              <w:rPr>
                <w:spacing w:val="-12"/>
                <w:sz w:val="24"/>
              </w:rPr>
              <w:t>人，则生活用水</w:t>
            </w:r>
            <w:r>
              <w:rPr>
                <w:spacing w:val="-24"/>
                <w:sz w:val="24"/>
              </w:rPr>
              <w:t xml:space="preserve">总量为 </w:t>
            </w:r>
            <w:r>
              <w:rPr>
                <w:rFonts w:ascii="Times New Roman" w:eastAsia="Times New Roman"/>
                <w:sz w:val="24"/>
              </w:rPr>
              <w:t>45m</w:t>
            </w:r>
            <w:r>
              <w:rPr>
                <w:rFonts w:ascii="Times New Roman" w:eastAsia="Times New Roman"/>
                <w:position w:val="8"/>
                <w:sz w:val="15"/>
              </w:rPr>
              <w:t>3</w:t>
            </w:r>
            <w:r>
              <w:rPr>
                <w:rFonts w:ascii="Times New Roman" w:eastAsia="Times New Roman"/>
                <w:sz w:val="24"/>
              </w:rPr>
              <w:t>/a</w:t>
            </w:r>
            <w:r>
              <w:rPr>
                <w:sz w:val="24"/>
              </w:rPr>
              <w:t>。</w:t>
            </w:r>
          </w:p>
          <w:p>
            <w:pPr>
              <w:pStyle w:val="TableParagraph"/>
              <w:numPr>
                <w:ilvl w:val="0"/>
                <w:numId w:val="4"/>
              </w:numPr>
              <w:tabs>
                <w:tab w:val="left" w:pos="1188"/>
              </w:tabs>
              <w:spacing w:before="0" w:after="0" w:line="305" w:lineRule="exact"/>
              <w:ind w:left="1187" w:right="0" w:hanging="602"/>
              <w:jc w:val="left"/>
              <w:rPr>
                <w:sz w:val="24"/>
              </w:rPr>
            </w:pPr>
            <w:r>
              <w:rPr>
                <w:sz w:val="24"/>
              </w:rPr>
              <w:t>排水</w:t>
            </w:r>
          </w:p>
          <w:p>
            <w:pPr>
              <w:pStyle w:val="TableParagraph"/>
              <w:spacing w:before="161"/>
              <w:ind w:left="594"/>
              <w:rPr>
                <w:sz w:val="24"/>
              </w:rPr>
            </w:pPr>
            <w:r>
              <w:rPr>
                <w:sz w:val="24"/>
              </w:rPr>
              <w:t>项目厂区排水采用雨污分流、清污分流制。</w:t>
            </w:r>
          </w:p>
          <w:p>
            <w:pPr>
              <w:pStyle w:val="TableParagraph"/>
              <w:spacing w:before="158" w:line="364" w:lineRule="auto"/>
              <w:ind w:left="106" w:right="-44" w:firstLine="487"/>
              <w:rPr>
                <w:sz w:val="24"/>
              </w:rPr>
            </w:pPr>
            <w:r>
              <w:rPr>
                <w:spacing w:val="-4"/>
                <w:sz w:val="24"/>
              </w:rPr>
              <w:t xml:space="preserve">项目生活污水产生量按照生活用水量的 </w:t>
            </w:r>
            <w:r>
              <w:rPr>
                <w:rFonts w:ascii="Times New Roman" w:eastAsia="Times New Roman"/>
                <w:sz w:val="24"/>
              </w:rPr>
              <w:t>80%</w:t>
            </w:r>
            <w:r>
              <w:rPr>
                <w:spacing w:val="-11"/>
                <w:sz w:val="24"/>
              </w:rPr>
              <w:t>计，则本项目生活污水产生量为</w:t>
            </w:r>
            <w:r>
              <w:rPr>
                <w:rFonts w:ascii="Times New Roman" w:eastAsia="Times New Roman"/>
                <w:spacing w:val="-11"/>
                <w:sz w:val="24"/>
              </w:rPr>
              <w:t>0.12m</w:t>
            </w:r>
            <w:r>
              <w:rPr>
                <w:rFonts w:ascii="Times New Roman" w:eastAsia="Times New Roman"/>
                <w:spacing w:val="-11"/>
                <w:position w:val="8"/>
                <w:sz w:val="15"/>
              </w:rPr>
              <w:t>3</w:t>
            </w:r>
            <w:r>
              <w:rPr>
                <w:rFonts w:ascii="Times New Roman" w:eastAsia="Times New Roman"/>
                <w:spacing w:val="-11"/>
                <w:sz w:val="24"/>
              </w:rPr>
              <w:t>/d</w:t>
            </w:r>
            <w:r>
              <w:rPr>
                <w:spacing w:val="-12"/>
                <w:sz w:val="24"/>
              </w:rPr>
              <w:t>、</w:t>
            </w:r>
            <w:r>
              <w:rPr>
                <w:rFonts w:ascii="Times New Roman" w:eastAsia="Times New Roman"/>
                <w:sz w:val="24"/>
              </w:rPr>
              <w:t>36m</w:t>
            </w:r>
            <w:r>
              <w:rPr>
                <w:rFonts w:ascii="Times New Roman" w:eastAsia="Times New Roman"/>
                <w:position w:val="8"/>
                <w:sz w:val="15"/>
              </w:rPr>
              <w:t>3</w:t>
            </w:r>
            <w:r>
              <w:rPr>
                <w:rFonts w:ascii="Times New Roman" w:eastAsia="Times New Roman"/>
                <w:sz w:val="24"/>
              </w:rPr>
              <w:t>/a</w:t>
            </w:r>
            <w:r>
              <w:rPr>
                <w:spacing w:val="-5"/>
                <w:sz w:val="24"/>
              </w:rPr>
              <w:t>。项目厂区设化粪池</w:t>
            </w:r>
            <w:r>
              <w:rPr>
                <w:sz w:val="24"/>
              </w:rPr>
              <w:t>（采取防渗处理</w:t>
            </w:r>
            <w:r>
              <w:rPr>
                <w:spacing w:val="-14"/>
                <w:sz w:val="24"/>
              </w:rPr>
              <w:t>）</w:t>
            </w:r>
            <w:r>
              <w:rPr>
                <w:spacing w:val="-4"/>
                <w:sz w:val="24"/>
              </w:rPr>
              <w:t>，生活污水排入化粪池， 由环卫部门定期清运，不外排。</w:t>
            </w:r>
          </w:p>
          <w:p>
            <w:pPr>
              <w:pStyle w:val="TableParagraph"/>
              <w:spacing w:line="307" w:lineRule="exact"/>
              <w:ind w:left="594"/>
              <w:rPr>
                <w:rFonts w:ascii="Times New Roman" w:eastAsia="Times New Roman"/>
                <w:sz w:val="24"/>
              </w:rPr>
            </w:pPr>
            <w:r>
              <w:rPr>
                <w:sz w:val="24"/>
              </w:rPr>
              <w:t xml:space="preserve">项目水量平衡图见图 </w:t>
            </w:r>
            <w:r>
              <w:rPr>
                <w:rFonts w:ascii="Times New Roman" w:eastAsia="Times New Roman"/>
                <w:sz w:val="24"/>
              </w:rPr>
              <w:t>2-1</w:t>
            </w:r>
          </w:p>
          <w:p>
            <w:pPr>
              <w:pStyle w:val="TableParagraph"/>
              <w:spacing w:before="164"/>
              <w:ind w:left="1935" w:right="2517"/>
              <w:jc w:val="center"/>
              <w:rPr>
                <w:rFonts w:ascii="Times New Roman" w:eastAsia="Times New Roman"/>
                <w:sz w:val="21"/>
              </w:rPr>
            </w:pPr>
            <w:r>
              <w:rPr>
                <w:sz w:val="21"/>
              </w:rPr>
              <w:t xml:space="preserve">损耗 </w:t>
            </w:r>
            <w:r>
              <w:rPr>
                <w:rFonts w:ascii="Times New Roman" w:eastAsia="Times New Roman"/>
                <w:sz w:val="21"/>
              </w:rPr>
              <w:t>9</w:t>
            </w:r>
          </w:p>
          <w:p>
            <w:pPr>
              <w:pStyle w:val="TableParagraph"/>
              <w:tabs>
                <w:tab w:val="left" w:pos="2938"/>
                <w:tab w:val="left" w:pos="4887"/>
                <w:tab w:val="left" w:pos="5955"/>
                <w:tab w:val="left" w:pos="6601"/>
                <w:tab w:val="left" w:pos="6658"/>
              </w:tabs>
              <w:spacing w:before="131" w:line="156" w:lineRule="auto"/>
              <w:ind w:left="1090" w:right="549" w:firstLine="3160"/>
              <w:rPr>
                <w:sz w:val="21"/>
              </w:rPr>
            </w:pPr>
            <w:r>
              <w:rPr>
                <w:rFonts w:ascii="Times New Roman" w:eastAsia="Times New Roman"/>
                <w:position w:val="1"/>
                <w:sz w:val="21"/>
              </w:rPr>
              <w:t>36</w:t>
            </w:r>
            <w:r>
              <w:rPr>
                <w:rFonts w:ascii="Times New Roman" w:eastAsia="Times New Roman"/>
                <w:position w:val="1"/>
                <w:sz w:val="21"/>
              </w:rPr>
              <w:tab/>
            </w:r>
            <w:r>
              <w:rPr>
                <w:rFonts w:ascii="Times New Roman" w:eastAsia="Times New Roman"/>
                <w:position w:val="1"/>
                <w:sz w:val="21"/>
              </w:rPr>
              <w:tab/>
            </w:r>
            <w:r>
              <w:rPr>
                <w:rFonts w:ascii="Times New Roman" w:eastAsia="Times New Roman"/>
                <w:position w:val="5"/>
                <w:sz w:val="21"/>
              </w:rPr>
              <w:t>36</w:t>
            </w:r>
            <w:r>
              <w:rPr>
                <w:rFonts w:ascii="Times New Roman" w:eastAsia="Times New Roman"/>
                <w:position w:val="5"/>
                <w:sz w:val="21"/>
              </w:rPr>
              <w:tab/>
            </w:r>
            <w:r>
              <w:rPr>
                <w:rFonts w:ascii="Times New Roman" w:eastAsia="Times New Roman"/>
                <w:position w:val="5"/>
                <w:sz w:val="21"/>
              </w:rPr>
              <w:tab/>
            </w:r>
            <w:r>
              <w:rPr>
                <w:sz w:val="21"/>
              </w:rPr>
              <w:t>由环卫部门定新鲜水</w:t>
            </w:r>
            <w:r>
              <w:rPr>
                <w:spacing w:val="-54"/>
                <w:sz w:val="21"/>
              </w:rPr>
              <w:t xml:space="preserve"> </w:t>
            </w:r>
            <w:r>
              <w:rPr>
                <w:rFonts w:ascii="Times New Roman" w:eastAsia="Times New Roman"/>
                <w:sz w:val="21"/>
              </w:rPr>
              <w:t>45</w:t>
            </w:r>
            <w:r>
              <w:rPr>
                <w:rFonts w:ascii="Times New Roman" w:eastAsia="Times New Roman"/>
                <w:sz w:val="21"/>
              </w:rPr>
              <w:tab/>
            </w:r>
            <w:r>
              <w:rPr>
                <w:sz w:val="21"/>
              </w:rPr>
              <w:t>生活用水</w:t>
            </w:r>
            <w:r>
              <w:rPr>
                <w:sz w:val="21"/>
              </w:rPr>
              <w:tab/>
            </w:r>
            <w:r>
              <w:rPr>
                <w:position w:val="1"/>
                <w:sz w:val="21"/>
              </w:rPr>
              <w:t>化粪池</w:t>
            </w:r>
            <w:r>
              <w:rPr>
                <w:position w:val="1"/>
                <w:sz w:val="21"/>
              </w:rPr>
              <w:tab/>
            </w:r>
            <w:r>
              <w:rPr>
                <w:position w:val="1"/>
                <w:sz w:val="21"/>
              </w:rPr>
              <w:tab/>
            </w:r>
            <w:r>
              <w:rPr>
                <w:position w:val="-12"/>
                <w:sz w:val="21"/>
              </w:rPr>
              <w:t>期清运</w:t>
            </w:r>
            <w:r>
              <w:rPr>
                <w:spacing w:val="-94"/>
                <w:position w:val="-12"/>
                <w:sz w:val="21"/>
              </w:rPr>
              <w:t>，</w:t>
            </w:r>
            <w:r>
              <w:rPr>
                <w:position w:val="-12"/>
                <w:sz w:val="21"/>
              </w:rPr>
              <w:t>不外</w:t>
            </w:r>
            <w:r>
              <w:rPr>
                <w:spacing w:val="-15"/>
                <w:position w:val="-12"/>
                <w:sz w:val="21"/>
              </w:rPr>
              <w:t>排</w:t>
            </w:r>
          </w:p>
          <w:p>
            <w:pPr>
              <w:pStyle w:val="TableParagraph"/>
              <w:spacing w:before="11"/>
              <w:rPr>
                <w:sz w:val="30"/>
              </w:rPr>
            </w:pPr>
          </w:p>
          <w:p>
            <w:pPr>
              <w:pStyle w:val="TableParagraph"/>
              <w:ind w:left="2538" w:right="2517"/>
              <w:jc w:val="center"/>
              <w:rPr>
                <w:b/>
                <w:sz w:val="24"/>
              </w:rPr>
            </w:pPr>
            <w:r>
              <w:rPr>
                <w:b/>
                <w:sz w:val="24"/>
              </w:rPr>
              <w:t xml:space="preserve">图 </w:t>
            </w:r>
            <w:r>
              <w:rPr>
                <w:rFonts w:ascii="Times New Roman" w:eastAsia="Times New Roman"/>
                <w:b/>
                <w:sz w:val="24"/>
              </w:rPr>
              <w:t xml:space="preserve">2-1  </w:t>
            </w:r>
            <w:r>
              <w:rPr>
                <w:b/>
                <w:sz w:val="24"/>
              </w:rPr>
              <w:t>本项目水平衡图（</w:t>
            </w:r>
            <w:r>
              <w:rPr>
                <w:rFonts w:ascii="Times New Roman" w:eastAsia="Times New Roman"/>
                <w:b/>
                <w:sz w:val="24"/>
              </w:rPr>
              <w:t>m</w:t>
            </w:r>
            <w:r>
              <w:rPr>
                <w:rFonts w:ascii="Times New Roman" w:eastAsia="Times New Roman"/>
                <w:b/>
                <w:position w:val="8"/>
                <w:sz w:val="15"/>
              </w:rPr>
              <w:t>3</w:t>
            </w:r>
            <w:r>
              <w:rPr>
                <w:rFonts w:ascii="Times New Roman" w:eastAsia="Times New Roman"/>
                <w:b/>
                <w:sz w:val="24"/>
              </w:rPr>
              <w:t>/a</w:t>
            </w:r>
            <w:r>
              <w:rPr>
                <w:b/>
                <w:sz w:val="24"/>
              </w:rPr>
              <w:t>）</w:t>
            </w:r>
          </w:p>
          <w:p>
            <w:pPr>
              <w:pStyle w:val="TableParagraph"/>
              <w:spacing w:before="81"/>
              <w:ind w:left="586"/>
              <w:rPr>
                <w:b/>
                <w:sz w:val="24"/>
              </w:rPr>
            </w:pPr>
            <w:r>
              <w:rPr>
                <w:rFonts w:ascii="Times New Roman" w:eastAsia="Times New Roman"/>
                <w:b/>
                <w:sz w:val="24"/>
              </w:rPr>
              <w:t xml:space="preserve">10.2 </w:t>
            </w:r>
            <w:r>
              <w:rPr>
                <w:b/>
                <w:sz w:val="24"/>
              </w:rPr>
              <w:t>供电</w:t>
            </w:r>
          </w:p>
          <w:p>
            <w:pPr>
              <w:pStyle w:val="TableParagraph"/>
              <w:spacing w:before="160"/>
              <w:ind w:left="586"/>
              <w:rPr>
                <w:sz w:val="24"/>
              </w:rPr>
            </w:pPr>
            <w:r>
              <w:rPr>
                <w:sz w:val="24"/>
              </w:rPr>
              <w:t xml:space="preserve">本项目全年耗电量为 </w:t>
            </w:r>
            <w:r>
              <w:rPr>
                <w:rFonts w:ascii="Times New Roman" w:eastAsia="Times New Roman" w:hAnsi="Times New Roman"/>
                <w:sz w:val="24"/>
              </w:rPr>
              <w:t xml:space="preserve">15 </w:t>
            </w:r>
            <w:r>
              <w:rPr>
                <w:sz w:val="24"/>
              </w:rPr>
              <w:t xml:space="preserve">万 </w:t>
            </w:r>
            <w:r>
              <w:rPr>
                <w:rFonts w:ascii="Times New Roman" w:eastAsia="Times New Roman" w:hAnsi="Times New Roman"/>
                <w:sz w:val="24"/>
              </w:rPr>
              <w:t>kW·h</w:t>
            </w:r>
            <w:r>
              <w:rPr>
                <w:sz w:val="24"/>
              </w:rPr>
              <w:t>，由当地供电站提供，供电有保障。</w:t>
            </w:r>
          </w:p>
        </w:tc>
      </w:tr>
      <w:tr>
        <w:tblPrEx>
          <w:tblW w:w="0" w:type="auto"/>
          <w:tblInd w:w="297" w:type="dxa"/>
          <w:tblLayout w:type="fixed"/>
          <w:tblCellMar>
            <w:top w:w="0" w:type="dxa"/>
            <w:left w:w="0" w:type="dxa"/>
            <w:bottom w:w="0" w:type="dxa"/>
            <w:right w:w="0" w:type="dxa"/>
          </w:tblCellMar>
        </w:tblPrEx>
        <w:trPr>
          <w:trHeight w:val="4147"/>
        </w:trPr>
        <w:tc>
          <w:tcPr>
            <w:tcW w:w="704" w:type="dxa"/>
          </w:tcPr>
          <w:p>
            <w:pPr>
              <w:pStyle w:val="TableParagraph"/>
              <w:rPr>
                <w:sz w:val="24"/>
              </w:rPr>
            </w:pPr>
          </w:p>
          <w:p>
            <w:pPr>
              <w:pStyle w:val="TableParagraph"/>
              <w:rPr>
                <w:sz w:val="24"/>
              </w:rPr>
            </w:pPr>
          </w:p>
          <w:p>
            <w:pPr>
              <w:pStyle w:val="TableParagraph"/>
              <w:spacing w:before="10"/>
              <w:rPr>
                <w:sz w:val="28"/>
              </w:rPr>
            </w:pPr>
          </w:p>
          <w:p>
            <w:pPr>
              <w:pStyle w:val="TableParagraph"/>
              <w:spacing w:line="364" w:lineRule="auto"/>
              <w:ind w:left="112" w:right="99"/>
              <w:jc w:val="both"/>
              <w:rPr>
                <w:b/>
                <w:sz w:val="24"/>
              </w:rPr>
            </w:pPr>
            <w:r>
              <w:rPr>
                <w:b/>
                <w:sz w:val="24"/>
              </w:rPr>
              <w:t>工艺流程和产排污环节</w:t>
            </w:r>
          </w:p>
        </w:tc>
        <w:tc>
          <w:tcPr>
            <w:tcW w:w="8538" w:type="dxa"/>
          </w:tcPr>
          <w:p>
            <w:pPr>
              <w:pStyle w:val="TableParagraph"/>
              <w:ind w:left="586"/>
              <w:rPr>
                <w:b/>
                <w:sz w:val="24"/>
              </w:rPr>
            </w:pPr>
            <w:r>
              <w:rPr>
                <w:b/>
                <w:sz w:val="24"/>
              </w:rPr>
              <w:t>一、工艺流程简述</w:t>
            </w:r>
          </w:p>
          <w:p>
            <w:pPr>
              <w:pStyle w:val="TableParagraph"/>
              <w:spacing w:before="160"/>
              <w:ind w:left="586"/>
              <w:rPr>
                <w:sz w:val="24"/>
              </w:rPr>
            </w:pPr>
            <w:r>
              <w:rPr>
                <w:sz w:val="24"/>
              </w:rPr>
              <w:t>本项目的环境影响分施工期和运营期两个阶段，主要有以下内容。</w:t>
            </w:r>
          </w:p>
          <w:p>
            <w:pPr>
              <w:pStyle w:val="TableParagraph"/>
              <w:numPr>
                <w:ilvl w:val="0"/>
                <w:numId w:val="5"/>
              </w:numPr>
              <w:tabs>
                <w:tab w:val="left" w:pos="768"/>
              </w:tabs>
              <w:spacing w:before="158" w:after="0" w:line="240" w:lineRule="auto"/>
              <w:ind w:left="767" w:right="0" w:hanging="182"/>
              <w:jc w:val="left"/>
              <w:rPr>
                <w:b/>
                <w:sz w:val="24"/>
              </w:rPr>
            </w:pPr>
            <w:r>
              <w:rPr>
                <w:b/>
                <w:w w:val="95"/>
                <w:sz w:val="24"/>
              </w:rPr>
              <w:t>施工期</w:t>
            </w:r>
          </w:p>
          <w:p>
            <w:pPr>
              <w:pStyle w:val="TableParagraph"/>
              <w:spacing w:before="161" w:line="364" w:lineRule="auto"/>
              <w:ind w:left="106" w:right="95" w:firstLine="480"/>
              <w:jc w:val="both"/>
              <w:rPr>
                <w:sz w:val="24"/>
              </w:rPr>
            </w:pPr>
            <w:r>
              <w:rPr>
                <w:spacing w:val="-7"/>
                <w:sz w:val="24"/>
              </w:rPr>
              <w:t>项目租赁现有闲置厂房，施工主要在生产车间内进行，以设备的安装与调试</w:t>
            </w:r>
            <w:r>
              <w:rPr>
                <w:spacing w:val="-9"/>
                <w:sz w:val="24"/>
              </w:rPr>
              <w:t>为主，且施工期较短，对周围环境的影响较小，因此本次评价不再对施工期相关</w:t>
            </w:r>
            <w:r>
              <w:rPr>
                <w:sz w:val="24"/>
              </w:rPr>
              <w:t>环境影响进行分析。</w:t>
            </w:r>
          </w:p>
          <w:p>
            <w:pPr>
              <w:pStyle w:val="TableParagraph"/>
              <w:numPr>
                <w:ilvl w:val="0"/>
                <w:numId w:val="5"/>
              </w:numPr>
              <w:tabs>
                <w:tab w:val="left" w:pos="768"/>
              </w:tabs>
              <w:spacing w:before="0" w:after="0" w:line="304" w:lineRule="exact"/>
              <w:ind w:left="767" w:right="0" w:hanging="182"/>
              <w:jc w:val="left"/>
              <w:rPr>
                <w:b/>
                <w:sz w:val="24"/>
              </w:rPr>
            </w:pPr>
            <w:r>
              <w:rPr>
                <w:b/>
                <w:w w:val="95"/>
                <w:sz w:val="24"/>
              </w:rPr>
              <w:t>营运期</w:t>
            </w:r>
          </w:p>
          <w:p>
            <w:pPr>
              <w:pStyle w:val="TableParagraph"/>
              <w:spacing w:before="161"/>
              <w:ind w:left="586"/>
              <w:rPr>
                <w:sz w:val="24"/>
              </w:rPr>
            </w:pPr>
            <w:r>
              <w:rPr>
                <w:sz w:val="24"/>
              </w:rPr>
              <w:t xml:space="preserve">生产工艺流程见图 </w:t>
            </w:r>
            <w:r>
              <w:rPr>
                <w:rFonts w:ascii="Times New Roman" w:eastAsia="Times New Roman"/>
                <w:sz w:val="24"/>
              </w:rPr>
              <w:t>2-2</w:t>
            </w:r>
            <w:r>
              <w:rPr>
                <w:sz w:val="24"/>
              </w:rPr>
              <w:t>。</w:t>
            </w:r>
          </w:p>
        </w:tc>
      </w:tr>
    </w:tbl>
    <w:p>
      <w:pPr>
        <w:rPr>
          <w:sz w:val="2"/>
          <w:szCs w:val="2"/>
        </w:rPr>
      </w:pPr>
      <w:r>
        <w:pict>
          <v:group id="_x0000_s1037" o:spid="_x0000_s1036" style="width:276pt;height:37.45pt;margin-top:431.95pt;margin-left:147.7pt;mso-height-relative:page;mso-position-horizontal-relative:page;mso-position-vertical-relative:page;mso-width-relative:page;position:absolute;z-index:-251646976" coordorigin="2954,8639" coordsize="5520,749">
            <v:shape id="_x0000_s1038" o:spid="_x0000_s1037" style="width:1225;height:495;left:4782;position:absolute;top:8892" coordorigin="4783,8893" coordsize="1225,495" path="m6008,9388l4783,9388,4783,8893,6008,8893,6008,8900,4798,8900,4790,8908,4798,8908,4798,9373,4790,9373,4798,9380,6008,9380,6008,9388xm4798,8908l4790,8908,4798,8900,4798,8908xm5993,8908l4798,8908,4798,8900,5993,8900,5993,8908xm5993,9380l5993,8900,6000,8908,6008,8908,6008,9373,6000,9373,5993,9380xm6008,8908l6000,8908,5993,8900,6008,8900,6008,8908xm4798,9380l4790,9373,4798,9373,4798,9380xm5993,9380l4798,9380,4798,9373,5993,9373,5993,9380xm6008,9380l5993,9380,6000,9373,6008,9373,6008,9380xe" filled="t"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o:spid="_x0000_s1038" type="#_x0000_t75" style="width:317;height:266;left:5391;position:absolute;top:8639" coordsize="21600,21600" filled="f" stroked="f">
              <v:imagedata r:id="rId21" o:title=""/>
              <o:lock v:ext="edit" aspectratio="t"/>
            </v:shape>
            <v:shape id="_x0000_s1040" o:spid="_x0000_s1039" style="width:4314;height:447;left:4160;position:absolute;top:8889" coordorigin="4160,8889" coordsize="4314,447" path="m4808,9163l4798,9157,4679,9088,4677,9087,4675,9087,4672,9088,4671,9090,4670,9092,4670,9095,4671,9097,4673,9098,4774,9157,4160,9157,4160,9169,4774,9169,4673,9228,4671,9229,4670,9231,4670,9234,4671,9236,4672,9238,4675,9239,4677,9239,4679,9238,4798,9169,4808,9163m8474,9140l8464,9134,8345,9065,8343,9064,8341,9064,8338,9065,8337,9067,8336,9069,8336,9072,8337,9074,8339,9075,8440,9134,7786,9134,7786,8904,7786,8897,7786,8889,7771,8889,7771,8904,7771,9321,6706,9321,6706,8904,7771,8904,7771,8889,6691,8889,6691,9124,6688,9122,6569,9053,6567,9052,6565,9052,6562,9053,6561,9055,6560,9057,6560,9060,6561,9062,6563,9063,6664,9122,6002,9122,6002,9134,6664,9134,6563,9193,6561,9194,6560,9196,6560,9199,6561,9201,6562,9203,6565,9204,6567,9204,6569,9203,6688,9134,6691,9132,6691,9336,7786,9336,7786,9329,7786,9321,7786,9146,8440,9146,8339,9205,8337,9206,8336,9208,8336,9211,8337,9213,8338,9215,8341,9216,8343,9216,8345,9215,8464,9146,8474,9140e" filled="t" fillcolor="black" stroked="f">
              <v:path arrowok="t"/>
            </v:shape>
            <v:rect id="_x0000_s1041" o:spid="_x0000_s1040" style="width:1236;height:432;left:2954;position:absolute;top:8896" coordsize="21600,21600" filled="t" fillcolor="white" stroked="f"/>
          </v:group>
        </w:pict>
      </w:r>
    </w:p>
    <w:p>
      <w:pPr>
        <w:spacing w:after="0"/>
        <w:rPr>
          <w:sz w:val="2"/>
          <w:szCs w:val="2"/>
        </w:rPr>
        <w:sectPr>
          <w:footerReference w:type="default" r:id="rId22"/>
          <w:pgSz w:w="11910" w:h="16840"/>
          <w:pgMar w:top="1420" w:right="980" w:bottom="1100" w:left="1040" w:header="0" w:footer="909" w:gutter="0"/>
          <w:pgNumType w:start="17"/>
          <w:cols w:num="1" w:space="720"/>
        </w:sect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04"/>
        <w:gridCol w:w="164"/>
        <w:gridCol w:w="611"/>
        <w:gridCol w:w="1625"/>
        <w:gridCol w:w="2267"/>
        <w:gridCol w:w="3706"/>
        <w:gridCol w:w="165"/>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7205"/>
        </w:trPr>
        <w:tc>
          <w:tcPr>
            <w:tcW w:w="704" w:type="dxa"/>
            <w:vMerge w:val="restart"/>
          </w:tcPr>
          <w:p>
            <w:pPr>
              <w:pStyle w:val="TableParagraph"/>
              <w:rPr>
                <w:rFonts w:ascii="Times New Roman"/>
                <w:sz w:val="22"/>
              </w:rPr>
            </w:pPr>
          </w:p>
        </w:tc>
        <w:tc>
          <w:tcPr>
            <w:tcW w:w="8538" w:type="dxa"/>
            <w:gridSpan w:val="6"/>
            <w:tcBorders>
              <w:bottom w:val="nil"/>
            </w:tcBorders>
          </w:tcPr>
          <w:p>
            <w:pPr>
              <w:pStyle w:val="TableParagraph"/>
              <w:tabs>
                <w:tab w:val="left" w:pos="3190"/>
                <w:tab w:val="left" w:pos="5482"/>
              </w:tabs>
              <w:spacing w:before="205"/>
              <w:ind w:left="1162"/>
              <w:rPr>
                <w:sz w:val="21"/>
              </w:rPr>
            </w:pPr>
            <w:r>
              <w:rPr>
                <w:position w:val="-4"/>
                <w:sz w:val="21"/>
              </w:rPr>
              <w:t>废气、噪声、固废</w:t>
            </w:r>
            <w:r>
              <w:rPr>
                <w:position w:val="-4"/>
                <w:sz w:val="21"/>
              </w:rPr>
              <w:tab/>
            </w:r>
            <w:r>
              <w:rPr>
                <w:sz w:val="21"/>
              </w:rPr>
              <w:t>废气、噪声、固废</w:t>
            </w:r>
            <w:r>
              <w:rPr>
                <w:sz w:val="21"/>
              </w:rPr>
              <w:tab/>
            </w:r>
            <w:r>
              <w:rPr>
                <w:position w:val="1"/>
                <w:sz w:val="21"/>
              </w:rPr>
              <w:t>噪声</w:t>
            </w:r>
          </w:p>
          <w:p>
            <w:pPr>
              <w:pStyle w:val="TableParagraph"/>
              <w:rPr>
                <w:sz w:val="26"/>
              </w:rPr>
            </w:pPr>
          </w:p>
          <w:p>
            <w:pPr>
              <w:pStyle w:val="TableParagraph"/>
              <w:rPr>
                <w:sz w:val="19"/>
              </w:rPr>
            </w:pPr>
          </w:p>
          <w:p>
            <w:pPr>
              <w:pStyle w:val="TableParagraph"/>
              <w:tabs>
                <w:tab w:val="left" w:pos="2223"/>
                <w:tab w:val="left" w:pos="3838"/>
                <w:tab w:val="left" w:pos="5446"/>
                <w:tab w:val="left" w:pos="7054"/>
              </w:tabs>
              <w:spacing w:before="1"/>
              <w:ind w:left="670"/>
              <w:rPr>
                <w:sz w:val="21"/>
              </w:rPr>
            </w:pPr>
            <w:r>
              <w:rPr>
                <w:position w:val="1"/>
                <w:sz w:val="21"/>
              </w:rPr>
              <w:t>锯末</w:t>
            </w:r>
            <w:r>
              <w:rPr>
                <w:position w:val="1"/>
                <w:sz w:val="21"/>
              </w:rPr>
              <w:tab/>
            </w:r>
            <w:r>
              <w:rPr>
                <w:sz w:val="21"/>
              </w:rPr>
              <w:t>上料</w:t>
            </w:r>
            <w:r>
              <w:rPr>
                <w:sz w:val="21"/>
              </w:rPr>
              <w:tab/>
            </w:r>
            <w:r>
              <w:rPr>
                <w:position w:val="1"/>
                <w:sz w:val="21"/>
              </w:rPr>
              <w:t>成型</w:t>
            </w:r>
            <w:r>
              <w:rPr>
                <w:position w:val="1"/>
                <w:sz w:val="21"/>
              </w:rPr>
              <w:tab/>
            </w:r>
            <w:r>
              <w:rPr>
                <w:sz w:val="21"/>
              </w:rPr>
              <w:t>包装</w:t>
            </w:r>
            <w:r>
              <w:rPr>
                <w:sz w:val="21"/>
              </w:rPr>
              <w:tab/>
            </w:r>
            <w:r>
              <w:rPr>
                <w:position w:val="4"/>
                <w:sz w:val="21"/>
              </w:rPr>
              <w:t>成品</w:t>
            </w:r>
          </w:p>
          <w:p>
            <w:pPr>
              <w:pStyle w:val="TableParagraph"/>
              <w:rPr>
                <w:sz w:val="24"/>
              </w:rPr>
            </w:pPr>
          </w:p>
          <w:p>
            <w:pPr>
              <w:pStyle w:val="TableParagraph"/>
              <w:spacing w:before="10"/>
              <w:rPr>
                <w:sz w:val="26"/>
              </w:rPr>
            </w:pPr>
          </w:p>
          <w:p>
            <w:pPr>
              <w:pStyle w:val="TableParagraph"/>
              <w:tabs>
                <w:tab w:val="left" w:pos="3258"/>
              </w:tabs>
              <w:spacing w:line="362" w:lineRule="auto"/>
              <w:ind w:left="586" w:right="2378" w:firstLine="1812"/>
              <w:rPr>
                <w:b/>
                <w:sz w:val="24"/>
              </w:rPr>
            </w:pPr>
            <w:r>
              <w:rPr>
                <w:b/>
                <w:sz w:val="24"/>
              </w:rPr>
              <w:t>图</w:t>
            </w:r>
            <w:r>
              <w:rPr>
                <w:b/>
                <w:spacing w:val="-62"/>
                <w:sz w:val="24"/>
              </w:rPr>
              <w:t xml:space="preserve"> </w:t>
            </w:r>
            <w:r>
              <w:rPr>
                <w:rFonts w:ascii="Times New Roman" w:eastAsia="Times New Roman"/>
                <w:b/>
                <w:sz w:val="24"/>
              </w:rPr>
              <w:t>2-2</w:t>
            </w:r>
            <w:r>
              <w:rPr>
                <w:rFonts w:ascii="Times New Roman" w:eastAsia="Times New Roman"/>
                <w:b/>
                <w:sz w:val="24"/>
              </w:rPr>
              <w:tab/>
            </w:r>
            <w:r>
              <w:rPr>
                <w:b/>
                <w:sz w:val="24"/>
              </w:rPr>
              <w:t>生产工艺流程及产污环节</w:t>
            </w:r>
            <w:r>
              <w:rPr>
                <w:b/>
                <w:spacing w:val="-16"/>
                <w:sz w:val="24"/>
              </w:rPr>
              <w:t>图</w:t>
            </w:r>
            <w:r>
              <w:rPr>
                <w:b/>
                <w:sz w:val="24"/>
              </w:rPr>
              <w:t>生产工艺流程简述：</w:t>
            </w:r>
          </w:p>
          <w:p>
            <w:pPr>
              <w:pStyle w:val="TableParagraph"/>
              <w:spacing w:before="5" w:line="362" w:lineRule="auto"/>
              <w:ind w:left="106" w:right="18" w:firstLine="480"/>
              <w:rPr>
                <w:sz w:val="24"/>
              </w:rPr>
            </w:pPr>
            <w:r>
              <w:rPr>
                <w:sz w:val="24"/>
              </w:rPr>
              <w:t>本项目原料锯末经传送带送至颗粒机进行挤压成型，成为小棒状固体颗粒燃料后送入粮仓，最后经自动灌装机包装即为成品。</w:t>
            </w:r>
          </w:p>
          <w:p>
            <w:pPr>
              <w:pStyle w:val="TableParagraph"/>
              <w:spacing w:before="5"/>
              <w:ind w:left="586"/>
              <w:rPr>
                <w:sz w:val="24"/>
              </w:rPr>
            </w:pPr>
            <w:r>
              <w:rPr>
                <w:rFonts w:ascii="Times New Roman" w:eastAsia="Times New Roman"/>
                <w:sz w:val="24"/>
              </w:rPr>
              <w:t>3</w:t>
            </w:r>
            <w:r>
              <w:rPr>
                <w:sz w:val="24"/>
              </w:rPr>
              <w:t>、运营期主要污染工序：</w:t>
            </w:r>
          </w:p>
          <w:p>
            <w:pPr>
              <w:pStyle w:val="TableParagraph"/>
              <w:numPr>
                <w:ilvl w:val="0"/>
                <w:numId w:val="6"/>
              </w:numPr>
              <w:tabs>
                <w:tab w:val="left" w:pos="1188"/>
              </w:tabs>
              <w:spacing w:before="161" w:after="0" w:line="240" w:lineRule="auto"/>
              <w:ind w:left="1187" w:right="0" w:hanging="602"/>
              <w:jc w:val="left"/>
              <w:rPr>
                <w:sz w:val="24"/>
              </w:rPr>
            </w:pPr>
            <w:r>
              <w:rPr>
                <w:sz w:val="24"/>
              </w:rPr>
              <w:t>废气：本项目产生的废气为上料、成型工序产生的颗粒物。</w:t>
            </w:r>
          </w:p>
          <w:p>
            <w:pPr>
              <w:pStyle w:val="TableParagraph"/>
              <w:numPr>
                <w:ilvl w:val="0"/>
                <w:numId w:val="6"/>
              </w:numPr>
              <w:tabs>
                <w:tab w:val="left" w:pos="1188"/>
              </w:tabs>
              <w:spacing w:before="158" w:after="0" w:line="240" w:lineRule="auto"/>
              <w:ind w:left="1187" w:right="0" w:hanging="602"/>
              <w:jc w:val="left"/>
              <w:rPr>
                <w:sz w:val="24"/>
              </w:rPr>
            </w:pPr>
            <w:r>
              <w:rPr>
                <w:sz w:val="24"/>
              </w:rPr>
              <w:t>废水：项目产生的废水为生活污水。</w:t>
            </w:r>
          </w:p>
          <w:p>
            <w:pPr>
              <w:pStyle w:val="TableParagraph"/>
              <w:numPr>
                <w:ilvl w:val="0"/>
                <w:numId w:val="6"/>
              </w:numPr>
              <w:tabs>
                <w:tab w:val="left" w:pos="1188"/>
              </w:tabs>
              <w:spacing w:before="158" w:after="0" w:line="240" w:lineRule="auto"/>
              <w:ind w:left="1187" w:right="0" w:hanging="602"/>
              <w:jc w:val="left"/>
              <w:rPr>
                <w:rFonts w:ascii="Times New Roman" w:eastAsia="Times New Roman"/>
                <w:sz w:val="24"/>
              </w:rPr>
            </w:pPr>
            <w:r>
              <w:rPr>
                <w:spacing w:val="-11"/>
                <w:sz w:val="24"/>
              </w:rPr>
              <w:t xml:space="preserve">噪声：本项目噪声主要为设备运行产生的设备噪声，噪声值为 </w:t>
            </w:r>
            <w:r>
              <w:rPr>
                <w:rFonts w:ascii="Times New Roman" w:eastAsia="Times New Roman"/>
                <w:sz w:val="24"/>
              </w:rPr>
              <w:t>75-85dB</w:t>
            </w:r>
          </w:p>
          <w:p>
            <w:pPr>
              <w:pStyle w:val="TableParagraph"/>
              <w:spacing w:before="160"/>
              <w:ind w:left="106"/>
              <w:rPr>
                <w:sz w:val="24"/>
              </w:rPr>
            </w:pPr>
            <w:r>
              <w:rPr>
                <w:sz w:val="24"/>
              </w:rPr>
              <w:t>（</w:t>
            </w:r>
            <w:r>
              <w:rPr>
                <w:rFonts w:ascii="Times New Roman" w:eastAsia="Times New Roman"/>
                <w:sz w:val="24"/>
              </w:rPr>
              <w:t>A</w:t>
            </w:r>
            <w:r>
              <w:rPr>
                <w:sz w:val="24"/>
              </w:rPr>
              <w:t>）。</w:t>
            </w:r>
          </w:p>
          <w:p>
            <w:pPr>
              <w:pStyle w:val="TableParagraph"/>
              <w:spacing w:before="24" w:line="468" w:lineRule="exact"/>
              <w:ind w:left="2218" w:right="139" w:hanging="1632"/>
              <w:rPr>
                <w:b/>
                <w:sz w:val="24"/>
              </w:rPr>
            </w:pPr>
            <w:r>
              <w:rPr>
                <w:sz w:val="24"/>
              </w:rPr>
              <w:t>（</w:t>
            </w:r>
            <w:r>
              <w:rPr>
                <w:rFonts w:ascii="Times New Roman" w:eastAsia="Times New Roman"/>
                <w:sz w:val="24"/>
              </w:rPr>
              <w:t>4</w:t>
            </w:r>
            <w:r>
              <w:rPr>
                <w:sz w:val="24"/>
              </w:rPr>
              <w:t>）固体废物：项目固废主要为废包装袋、除尘器收集粉尘和生活垃圾。</w:t>
            </w:r>
            <w:r>
              <w:rPr>
                <w:b/>
                <w:sz w:val="24"/>
              </w:rPr>
              <w:t xml:space="preserve">表 </w:t>
            </w:r>
            <w:r>
              <w:rPr>
                <w:rFonts w:ascii="Times New Roman" w:eastAsia="Times New Roman"/>
                <w:b/>
                <w:sz w:val="24"/>
              </w:rPr>
              <w:t xml:space="preserve">2-6  </w:t>
            </w:r>
            <w:r>
              <w:rPr>
                <w:b/>
                <w:sz w:val="24"/>
              </w:rPr>
              <w:t>项目排污节点及治理措施一览表</w:t>
            </w:r>
          </w:p>
        </w:tc>
      </w:tr>
      <w:tr>
        <w:tblPrEx>
          <w:tblW w:w="0" w:type="auto"/>
          <w:tblInd w:w="297" w:type="dxa"/>
          <w:tblLayout w:type="fixed"/>
          <w:tblCellMar>
            <w:top w:w="0" w:type="dxa"/>
            <w:left w:w="0" w:type="dxa"/>
            <w:bottom w:w="0" w:type="dxa"/>
            <w:right w:w="0" w:type="dxa"/>
          </w:tblCellMar>
        </w:tblPrEx>
        <w:trPr>
          <w:trHeight w:val="441"/>
        </w:trPr>
        <w:tc>
          <w:tcPr>
            <w:tcW w:w="704" w:type="dxa"/>
            <w:vMerge/>
            <w:tcBorders>
              <w:top w:val="nil"/>
            </w:tcBorders>
          </w:tcPr>
          <w:p>
            <w:pPr>
              <w:rPr>
                <w:sz w:val="2"/>
                <w:szCs w:val="2"/>
              </w:rPr>
            </w:pPr>
          </w:p>
        </w:tc>
        <w:tc>
          <w:tcPr>
            <w:tcW w:w="164" w:type="dxa"/>
            <w:vMerge w:val="restart"/>
            <w:tcBorders>
              <w:top w:val="nil"/>
            </w:tcBorders>
          </w:tcPr>
          <w:p>
            <w:pPr>
              <w:pStyle w:val="TableParagraph"/>
              <w:rPr>
                <w:rFonts w:ascii="Times New Roman"/>
                <w:sz w:val="22"/>
              </w:rPr>
            </w:pPr>
          </w:p>
        </w:tc>
        <w:tc>
          <w:tcPr>
            <w:tcW w:w="611" w:type="dxa"/>
          </w:tcPr>
          <w:p>
            <w:pPr>
              <w:pStyle w:val="TableParagraph"/>
              <w:spacing w:before="119"/>
              <w:ind w:left="60" w:right="79"/>
              <w:jc w:val="center"/>
              <w:rPr>
                <w:b/>
                <w:sz w:val="21"/>
              </w:rPr>
            </w:pPr>
            <w:r>
              <w:rPr>
                <w:b/>
                <w:sz w:val="21"/>
              </w:rPr>
              <w:t>类别</w:t>
            </w:r>
          </w:p>
        </w:tc>
        <w:tc>
          <w:tcPr>
            <w:tcW w:w="1625" w:type="dxa"/>
          </w:tcPr>
          <w:p>
            <w:pPr>
              <w:pStyle w:val="TableParagraph"/>
              <w:spacing w:before="119"/>
              <w:ind w:left="42" w:right="60"/>
              <w:jc w:val="center"/>
              <w:rPr>
                <w:b/>
                <w:sz w:val="21"/>
              </w:rPr>
            </w:pPr>
            <w:r>
              <w:rPr>
                <w:b/>
                <w:sz w:val="21"/>
              </w:rPr>
              <w:t>污染源</w:t>
            </w:r>
          </w:p>
        </w:tc>
        <w:tc>
          <w:tcPr>
            <w:tcW w:w="2267" w:type="dxa"/>
          </w:tcPr>
          <w:p>
            <w:pPr>
              <w:pStyle w:val="TableParagraph"/>
              <w:spacing w:before="119"/>
              <w:ind w:left="563" w:right="578"/>
              <w:jc w:val="center"/>
              <w:rPr>
                <w:b/>
                <w:sz w:val="21"/>
              </w:rPr>
            </w:pPr>
            <w:r>
              <w:rPr>
                <w:b/>
                <w:sz w:val="21"/>
              </w:rPr>
              <w:t>主要污染物</w:t>
            </w:r>
          </w:p>
        </w:tc>
        <w:tc>
          <w:tcPr>
            <w:tcW w:w="3706" w:type="dxa"/>
          </w:tcPr>
          <w:p>
            <w:pPr>
              <w:pStyle w:val="TableParagraph"/>
              <w:spacing w:before="119"/>
              <w:ind w:left="33" w:right="47"/>
              <w:jc w:val="center"/>
              <w:rPr>
                <w:b/>
                <w:sz w:val="21"/>
              </w:rPr>
            </w:pPr>
            <w:r>
              <w:rPr>
                <w:b/>
                <w:sz w:val="21"/>
              </w:rPr>
              <w:t>治理措施</w:t>
            </w:r>
          </w:p>
        </w:tc>
        <w:tc>
          <w:tcPr>
            <w:tcW w:w="165" w:type="dxa"/>
            <w:vMerge w:val="restart"/>
            <w:tcBorders>
              <w:top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720"/>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tcPr>
          <w:p>
            <w:pPr>
              <w:pStyle w:val="TableParagraph"/>
              <w:spacing w:before="1"/>
              <w:rPr>
                <w:sz w:val="20"/>
              </w:rPr>
            </w:pPr>
          </w:p>
          <w:p>
            <w:pPr>
              <w:pStyle w:val="TableParagraph"/>
              <w:ind w:left="58" w:right="79"/>
              <w:jc w:val="center"/>
              <w:rPr>
                <w:sz w:val="21"/>
              </w:rPr>
            </w:pPr>
            <w:r>
              <w:rPr>
                <w:sz w:val="21"/>
              </w:rPr>
              <w:t>废气</w:t>
            </w:r>
          </w:p>
        </w:tc>
        <w:tc>
          <w:tcPr>
            <w:tcW w:w="1625" w:type="dxa"/>
          </w:tcPr>
          <w:p>
            <w:pPr>
              <w:pStyle w:val="TableParagraph"/>
              <w:spacing w:before="1"/>
              <w:rPr>
                <w:sz w:val="20"/>
              </w:rPr>
            </w:pPr>
          </w:p>
          <w:p>
            <w:pPr>
              <w:pStyle w:val="TableParagraph"/>
              <w:ind w:left="42" w:right="62"/>
              <w:jc w:val="center"/>
              <w:rPr>
                <w:sz w:val="21"/>
              </w:rPr>
            </w:pPr>
            <w:r>
              <w:rPr>
                <w:sz w:val="21"/>
              </w:rPr>
              <w:t>上料、成型工序</w:t>
            </w:r>
          </w:p>
        </w:tc>
        <w:tc>
          <w:tcPr>
            <w:tcW w:w="2267" w:type="dxa"/>
          </w:tcPr>
          <w:p>
            <w:pPr>
              <w:pStyle w:val="TableParagraph"/>
              <w:spacing w:before="1"/>
              <w:rPr>
                <w:sz w:val="20"/>
              </w:rPr>
            </w:pPr>
          </w:p>
          <w:p>
            <w:pPr>
              <w:pStyle w:val="TableParagraph"/>
              <w:ind w:left="560" w:right="580"/>
              <w:jc w:val="center"/>
              <w:rPr>
                <w:sz w:val="21"/>
              </w:rPr>
            </w:pPr>
            <w:r>
              <w:rPr>
                <w:sz w:val="21"/>
              </w:rPr>
              <w:t>颗粒物</w:t>
            </w:r>
          </w:p>
        </w:tc>
        <w:tc>
          <w:tcPr>
            <w:tcW w:w="3706" w:type="dxa"/>
          </w:tcPr>
          <w:p>
            <w:pPr>
              <w:pStyle w:val="TableParagraph"/>
              <w:spacing w:before="77"/>
              <w:ind w:left="33" w:right="51"/>
              <w:jc w:val="center"/>
              <w:rPr>
                <w:sz w:val="21"/>
              </w:rPr>
            </w:pPr>
            <w:r>
              <w:rPr>
                <w:sz w:val="21"/>
              </w:rPr>
              <w:t>集气罩</w:t>
            </w:r>
            <w:r>
              <w:rPr>
                <w:rFonts w:ascii="Times New Roman" w:eastAsia="Times New Roman"/>
                <w:sz w:val="21"/>
              </w:rPr>
              <w:t>+</w:t>
            </w:r>
            <w:r>
              <w:rPr>
                <w:sz w:val="21"/>
              </w:rPr>
              <w:t>布袋除尘器</w:t>
            </w:r>
            <w:r>
              <w:rPr>
                <w:rFonts w:ascii="Times New Roman" w:eastAsia="Times New Roman"/>
                <w:sz w:val="21"/>
              </w:rPr>
              <w:t xml:space="preserve">+15m </w:t>
            </w:r>
            <w:r>
              <w:rPr>
                <w:sz w:val="21"/>
              </w:rPr>
              <w:t>高排气筒</w:t>
            </w:r>
          </w:p>
          <w:p>
            <w:pPr>
              <w:pStyle w:val="TableParagraph"/>
              <w:spacing w:before="91" w:line="263" w:lineRule="exact"/>
              <w:ind w:left="33" w:right="52"/>
              <w:jc w:val="center"/>
              <w:rPr>
                <w:sz w:val="21"/>
              </w:rPr>
            </w:pPr>
            <w:r>
              <w:rPr>
                <w:rFonts w:ascii="Times New Roman" w:eastAsia="Times New Roman"/>
                <w:sz w:val="21"/>
              </w:rPr>
              <w:t xml:space="preserve">DA001 </w:t>
            </w:r>
            <w:r>
              <w:rPr>
                <w:sz w:val="21"/>
              </w:rPr>
              <w:t>排放</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tcPr>
          <w:p>
            <w:pPr>
              <w:pStyle w:val="TableParagraph"/>
              <w:spacing w:before="120"/>
              <w:ind w:left="58" w:right="79"/>
              <w:jc w:val="center"/>
              <w:rPr>
                <w:sz w:val="21"/>
              </w:rPr>
            </w:pPr>
            <w:r>
              <w:rPr>
                <w:sz w:val="21"/>
              </w:rPr>
              <w:t>废水</w:t>
            </w:r>
          </w:p>
        </w:tc>
        <w:tc>
          <w:tcPr>
            <w:tcW w:w="1625" w:type="dxa"/>
          </w:tcPr>
          <w:p>
            <w:pPr>
              <w:pStyle w:val="TableParagraph"/>
              <w:spacing w:before="120"/>
              <w:ind w:left="42" w:right="60"/>
              <w:jc w:val="center"/>
              <w:rPr>
                <w:sz w:val="21"/>
              </w:rPr>
            </w:pPr>
            <w:r>
              <w:rPr>
                <w:sz w:val="21"/>
              </w:rPr>
              <w:t>生活污水</w:t>
            </w:r>
          </w:p>
        </w:tc>
        <w:tc>
          <w:tcPr>
            <w:tcW w:w="2267" w:type="dxa"/>
          </w:tcPr>
          <w:p>
            <w:pPr>
              <w:pStyle w:val="TableParagraph"/>
              <w:spacing w:before="120"/>
              <w:ind w:left="563" w:right="580"/>
              <w:jc w:val="center"/>
              <w:rPr>
                <w:sz w:val="21"/>
              </w:rPr>
            </w:pPr>
            <w:r>
              <w:rPr>
                <w:rFonts w:ascii="Times New Roman" w:eastAsia="Times New Roman"/>
                <w:sz w:val="21"/>
              </w:rPr>
              <w:t>COD</w:t>
            </w:r>
            <w:r>
              <w:rPr>
                <w:sz w:val="21"/>
              </w:rPr>
              <w:t>、氨氮</w:t>
            </w:r>
          </w:p>
        </w:tc>
        <w:tc>
          <w:tcPr>
            <w:tcW w:w="3706" w:type="dxa"/>
          </w:tcPr>
          <w:p>
            <w:pPr>
              <w:pStyle w:val="TableParagraph"/>
              <w:spacing w:before="120"/>
              <w:ind w:left="33" w:right="52"/>
              <w:jc w:val="center"/>
              <w:rPr>
                <w:sz w:val="21"/>
              </w:rPr>
            </w:pPr>
            <w:r>
              <w:rPr>
                <w:sz w:val="21"/>
              </w:rPr>
              <w:t>经化粪池预处理后由环卫部门定期清运</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41"/>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tcPr>
          <w:p>
            <w:pPr>
              <w:pStyle w:val="TableParagraph"/>
              <w:spacing w:before="119"/>
              <w:ind w:left="58" w:right="79"/>
              <w:jc w:val="center"/>
              <w:rPr>
                <w:sz w:val="21"/>
              </w:rPr>
            </w:pPr>
            <w:r>
              <w:rPr>
                <w:sz w:val="21"/>
              </w:rPr>
              <w:t>噪声</w:t>
            </w:r>
          </w:p>
        </w:tc>
        <w:tc>
          <w:tcPr>
            <w:tcW w:w="1625" w:type="dxa"/>
          </w:tcPr>
          <w:p>
            <w:pPr>
              <w:pStyle w:val="TableParagraph"/>
              <w:spacing w:before="119"/>
              <w:ind w:left="42" w:right="62"/>
              <w:jc w:val="center"/>
              <w:rPr>
                <w:sz w:val="21"/>
              </w:rPr>
            </w:pPr>
            <w:r>
              <w:rPr>
                <w:sz w:val="21"/>
              </w:rPr>
              <w:t>设备运行噪声</w:t>
            </w:r>
          </w:p>
        </w:tc>
        <w:tc>
          <w:tcPr>
            <w:tcW w:w="2267" w:type="dxa"/>
          </w:tcPr>
          <w:p>
            <w:pPr>
              <w:pStyle w:val="TableParagraph"/>
              <w:spacing w:before="119"/>
              <w:ind w:left="560" w:right="580"/>
              <w:jc w:val="center"/>
              <w:rPr>
                <w:sz w:val="21"/>
              </w:rPr>
            </w:pPr>
            <w:r>
              <w:rPr>
                <w:sz w:val="21"/>
              </w:rPr>
              <w:t>噪声</w:t>
            </w:r>
          </w:p>
        </w:tc>
        <w:tc>
          <w:tcPr>
            <w:tcW w:w="3706" w:type="dxa"/>
          </w:tcPr>
          <w:p>
            <w:pPr>
              <w:pStyle w:val="TableParagraph"/>
              <w:spacing w:before="119"/>
              <w:ind w:left="33" w:right="52"/>
              <w:jc w:val="center"/>
              <w:rPr>
                <w:sz w:val="21"/>
              </w:rPr>
            </w:pPr>
            <w:r>
              <w:rPr>
                <w:sz w:val="21"/>
              </w:rPr>
              <w:t>基础减震、厂房隔声</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3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val="restart"/>
            <w:tcBorders>
              <w:bottom w:val="double" w:sz="0" w:space="0" w:color="000000"/>
            </w:tcBorders>
          </w:tcPr>
          <w:p>
            <w:pPr>
              <w:pStyle w:val="TableParagraph"/>
              <w:rPr>
                <w:sz w:val="20"/>
              </w:rPr>
            </w:pPr>
          </w:p>
          <w:p>
            <w:pPr>
              <w:pStyle w:val="TableParagraph"/>
              <w:spacing w:before="8"/>
              <w:rPr>
                <w:sz w:val="24"/>
              </w:rPr>
            </w:pPr>
          </w:p>
          <w:p>
            <w:pPr>
              <w:pStyle w:val="TableParagraph"/>
              <w:ind w:left="79"/>
              <w:rPr>
                <w:sz w:val="21"/>
              </w:rPr>
            </w:pPr>
            <w:r>
              <w:rPr>
                <w:sz w:val="21"/>
              </w:rPr>
              <w:t>固废</w:t>
            </w:r>
          </w:p>
        </w:tc>
        <w:tc>
          <w:tcPr>
            <w:tcW w:w="1625" w:type="dxa"/>
          </w:tcPr>
          <w:p>
            <w:pPr>
              <w:pStyle w:val="TableParagraph"/>
              <w:spacing w:before="118"/>
              <w:ind w:left="42" w:right="62"/>
              <w:jc w:val="center"/>
              <w:rPr>
                <w:sz w:val="21"/>
              </w:rPr>
            </w:pPr>
            <w:r>
              <w:rPr>
                <w:sz w:val="21"/>
              </w:rPr>
              <w:t>办公</w:t>
            </w:r>
          </w:p>
        </w:tc>
        <w:tc>
          <w:tcPr>
            <w:tcW w:w="2267" w:type="dxa"/>
          </w:tcPr>
          <w:p>
            <w:pPr>
              <w:pStyle w:val="TableParagraph"/>
              <w:spacing w:before="118"/>
              <w:ind w:left="563" w:right="580"/>
              <w:jc w:val="center"/>
              <w:rPr>
                <w:sz w:val="21"/>
              </w:rPr>
            </w:pPr>
            <w:r>
              <w:rPr>
                <w:sz w:val="21"/>
              </w:rPr>
              <w:t>生活垃圾</w:t>
            </w:r>
          </w:p>
        </w:tc>
        <w:tc>
          <w:tcPr>
            <w:tcW w:w="3706" w:type="dxa"/>
          </w:tcPr>
          <w:p>
            <w:pPr>
              <w:pStyle w:val="TableParagraph"/>
              <w:spacing w:before="118"/>
              <w:ind w:left="31" w:right="52"/>
              <w:jc w:val="center"/>
              <w:rPr>
                <w:sz w:val="21"/>
              </w:rPr>
            </w:pPr>
            <w:r>
              <w:rPr>
                <w:sz w:val="21"/>
              </w:rPr>
              <w:t>环卫部门清运</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2"/>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val="restart"/>
            <w:tcBorders>
              <w:bottom w:val="double" w:sz="0" w:space="0" w:color="000000"/>
            </w:tcBorders>
          </w:tcPr>
          <w:p>
            <w:pPr>
              <w:pStyle w:val="TableParagraph"/>
              <w:spacing w:before="2"/>
              <w:rPr>
                <w:sz w:val="26"/>
              </w:rPr>
            </w:pPr>
          </w:p>
          <w:p>
            <w:pPr>
              <w:pStyle w:val="TableParagraph"/>
              <w:ind w:left="42" w:right="62"/>
              <w:jc w:val="center"/>
              <w:rPr>
                <w:sz w:val="21"/>
              </w:rPr>
            </w:pPr>
            <w:r>
              <w:rPr>
                <w:sz w:val="21"/>
              </w:rPr>
              <w:t>生产</w:t>
            </w:r>
          </w:p>
        </w:tc>
        <w:tc>
          <w:tcPr>
            <w:tcW w:w="2267" w:type="dxa"/>
          </w:tcPr>
          <w:p>
            <w:pPr>
              <w:pStyle w:val="TableParagraph"/>
              <w:spacing w:before="110"/>
              <w:ind w:left="563" w:right="580"/>
              <w:jc w:val="center"/>
              <w:rPr>
                <w:sz w:val="21"/>
              </w:rPr>
            </w:pPr>
            <w:r>
              <w:rPr>
                <w:sz w:val="21"/>
              </w:rPr>
              <w:t>废包装袋</w:t>
            </w:r>
          </w:p>
        </w:tc>
        <w:tc>
          <w:tcPr>
            <w:tcW w:w="3706" w:type="dxa"/>
          </w:tcPr>
          <w:p>
            <w:pPr>
              <w:pStyle w:val="TableParagraph"/>
              <w:spacing w:before="110"/>
              <w:ind w:left="31" w:right="52"/>
              <w:jc w:val="center"/>
              <w:rPr>
                <w:sz w:val="21"/>
              </w:rPr>
            </w:pPr>
            <w:r>
              <w:rPr>
                <w:sz w:val="21"/>
              </w:rPr>
              <w:t>集中收集后外售综合利用</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426"/>
        </w:trPr>
        <w:tc>
          <w:tcPr>
            <w:tcW w:w="704" w:type="dxa"/>
            <w:vMerge/>
            <w:tcBorders>
              <w:top w:val="nil"/>
            </w:tcBorders>
          </w:tcPr>
          <w:p>
            <w:pPr>
              <w:rPr>
                <w:sz w:val="2"/>
                <w:szCs w:val="2"/>
              </w:rPr>
            </w:pPr>
          </w:p>
        </w:tc>
        <w:tc>
          <w:tcPr>
            <w:tcW w:w="164" w:type="dxa"/>
            <w:vMerge/>
            <w:tcBorders>
              <w:top w:val="nil"/>
            </w:tcBorders>
          </w:tcPr>
          <w:p>
            <w:pPr>
              <w:rPr>
                <w:sz w:val="2"/>
                <w:szCs w:val="2"/>
              </w:rPr>
            </w:pPr>
          </w:p>
        </w:tc>
        <w:tc>
          <w:tcPr>
            <w:tcW w:w="611" w:type="dxa"/>
            <w:vMerge/>
            <w:tcBorders>
              <w:top w:val="nil"/>
              <w:bottom w:val="double" w:sz="0" w:space="0" w:color="000000"/>
            </w:tcBorders>
          </w:tcPr>
          <w:p>
            <w:pPr>
              <w:rPr>
                <w:sz w:val="2"/>
                <w:szCs w:val="2"/>
              </w:rPr>
            </w:pPr>
          </w:p>
        </w:tc>
        <w:tc>
          <w:tcPr>
            <w:tcW w:w="1625" w:type="dxa"/>
            <w:vMerge/>
            <w:tcBorders>
              <w:top w:val="nil"/>
              <w:bottom w:val="double" w:sz="0" w:space="0" w:color="000000"/>
            </w:tcBorders>
          </w:tcPr>
          <w:p>
            <w:pPr>
              <w:rPr>
                <w:sz w:val="2"/>
                <w:szCs w:val="2"/>
              </w:rPr>
            </w:pPr>
          </w:p>
        </w:tc>
        <w:tc>
          <w:tcPr>
            <w:tcW w:w="2267" w:type="dxa"/>
            <w:tcBorders>
              <w:bottom w:val="double" w:sz="0" w:space="0" w:color="000000"/>
            </w:tcBorders>
          </w:tcPr>
          <w:p>
            <w:pPr>
              <w:pStyle w:val="TableParagraph"/>
              <w:spacing w:before="109"/>
              <w:ind w:left="563" w:right="580"/>
              <w:jc w:val="center"/>
              <w:rPr>
                <w:sz w:val="21"/>
              </w:rPr>
            </w:pPr>
            <w:r>
              <w:rPr>
                <w:sz w:val="21"/>
              </w:rPr>
              <w:t>除尘器收尘</w:t>
            </w:r>
          </w:p>
        </w:tc>
        <w:tc>
          <w:tcPr>
            <w:tcW w:w="3706" w:type="dxa"/>
            <w:tcBorders>
              <w:bottom w:val="double" w:sz="0" w:space="0" w:color="000000"/>
            </w:tcBorders>
          </w:tcPr>
          <w:p>
            <w:pPr>
              <w:pStyle w:val="TableParagraph"/>
              <w:spacing w:before="109"/>
              <w:ind w:left="31" w:right="52"/>
              <w:jc w:val="center"/>
              <w:rPr>
                <w:sz w:val="21"/>
              </w:rPr>
            </w:pPr>
            <w:r>
              <w:rPr>
                <w:sz w:val="21"/>
              </w:rPr>
              <w:t>集中收集后回用于生产</w:t>
            </w:r>
          </w:p>
        </w:tc>
        <w:tc>
          <w:tcPr>
            <w:tcW w:w="165" w:type="dxa"/>
            <w:vMerge/>
            <w:tcBorders>
              <w:top w:val="nil"/>
            </w:tcBorders>
          </w:tcPr>
          <w:p>
            <w:pPr>
              <w:rPr>
                <w:sz w:val="2"/>
                <w:szCs w:val="2"/>
              </w:rPr>
            </w:pPr>
          </w:p>
        </w:tc>
      </w:tr>
      <w:tr>
        <w:tblPrEx>
          <w:tblW w:w="0" w:type="auto"/>
          <w:tblInd w:w="297" w:type="dxa"/>
          <w:tblLayout w:type="fixed"/>
          <w:tblCellMar>
            <w:top w:w="0" w:type="dxa"/>
            <w:left w:w="0" w:type="dxa"/>
            <w:bottom w:w="0" w:type="dxa"/>
            <w:right w:w="0" w:type="dxa"/>
          </w:tblCellMar>
        </w:tblPrEx>
        <w:trPr>
          <w:trHeight w:val="3196"/>
        </w:trPr>
        <w:tc>
          <w:tcPr>
            <w:tcW w:w="704" w:type="dxa"/>
          </w:tcPr>
          <w:p>
            <w:pPr>
              <w:pStyle w:val="TableParagraph"/>
              <w:rPr>
                <w:sz w:val="24"/>
              </w:rPr>
            </w:pPr>
          </w:p>
          <w:p>
            <w:pPr>
              <w:pStyle w:val="TableParagraph"/>
              <w:spacing w:before="201" w:line="242" w:lineRule="auto"/>
              <w:ind w:left="112" w:right="99"/>
              <w:jc w:val="both"/>
              <w:rPr>
                <w:b/>
                <w:sz w:val="24"/>
              </w:rPr>
            </w:pPr>
            <w:r>
              <w:rPr>
                <w:b/>
                <w:sz w:val="24"/>
              </w:rPr>
              <w:t>与项目有关的原有环境污染问题</w:t>
            </w:r>
          </w:p>
        </w:tc>
        <w:tc>
          <w:tcPr>
            <w:tcW w:w="8538" w:type="dxa"/>
            <w:gridSpan w:val="6"/>
          </w:tcPr>
          <w:p>
            <w:pPr>
              <w:pStyle w:val="TableParagraph"/>
              <w:spacing w:line="364" w:lineRule="auto"/>
              <w:ind w:left="106" w:right="19" w:firstLine="480"/>
              <w:jc w:val="both"/>
              <w:rPr>
                <w:sz w:val="24"/>
              </w:rPr>
            </w:pPr>
            <w:r>
              <w:rPr>
                <w:sz w:val="24"/>
              </w:rPr>
              <w:t>本项目属于新建项目，选址于德州市宁津县张大庄镇王庄村。经现场勘查， 宁津县奥翔生物质颗粒加工厂租赁现有空置厂房，不存在与项目有关的原有环境污染问题。</w:t>
            </w:r>
          </w:p>
        </w:tc>
      </w:tr>
    </w:tbl>
    <w:p>
      <w:pPr>
        <w:rPr>
          <w:sz w:val="2"/>
          <w:szCs w:val="2"/>
        </w:rPr>
      </w:pPr>
      <w:r>
        <w:pict>
          <v:shape id="_x0000_s1042" o:spid="_x0000_s1041" style="width:274.2pt;height:44.95pt;margin-top:102.7pt;margin-left:166.85pt;mso-height-relative:page;mso-position-horizontal-relative:page;mso-position-vertical-relative:page;mso-width-relative:page;position:absolute;z-index:-251645952" coordorigin="3337,2055" coordsize="5484,899" path="m3973,2722l3963,2716,3844,2647,3842,2646,3840,2646,3837,2647,3836,2649,3835,2651,3835,2654,3836,2656,3838,2657,3939,2716,3337,2716,3337,2728,3939,2728,3949,2722,3949,2722,3939,2728,3838,2787,3836,2788,3835,2790,3835,2793,3836,2795,3837,2797,3840,2798,3842,2798,3844,2797,3963,2728,3973,2722m4478,2367l4466,2367,4466,2415,4478,2415,4478,2367m4478,2283l4466,2283,4466,2331,4478,2331,4478,2283m4478,2199l4466,2199,4466,2247,4478,2247,4478,2199m4478,2115l4466,2115,4466,2163,4478,2163,4478,2115m4548,2198l4547,2196,4481,2082,4479,2079,4479,2079,4472,2067,4397,2196,4396,2198,4396,2200,4397,2203,4399,2204,4401,2205,4404,2205,4406,2204,4407,2202,4472,2091,4537,2202,4538,2204,4540,2205,4543,2205,4545,2204,4547,2203,4548,2200,4548,2198m4956,2489l4936,2489,4936,2509,4936,2934,4007,2934,4007,2509,4936,2509,4936,2489,4478,2489,4478,2451,4466,2451,4466,2489,3987,2489,3987,2954,4956,2954,4956,2944,4956,2934,4956,2509,4956,2499,4956,2489m6098,2355l6086,2355,6086,2403,6098,2403,6098,2355m6098,2271l6086,2271,6086,2319,6098,2319,6098,2271m6098,2187l6086,2187,6086,2235,6098,2235,6098,2187m6098,2103l6086,2103,6086,2151,6098,2151,6098,2103m6168,2186l6167,2184,6101,2070,6099,2067,6099,2067,6092,2055,6017,2184,6016,2186,6016,2188,6017,2191,6019,2192,6021,2193,6024,2193,6026,2192,6027,2190,6092,2079,6157,2190,6158,2192,6160,2193,6163,2193,6165,2192,6167,2191,6168,2188,6168,2186m7201,2722l7191,2716,7072,2647,7070,2646,7068,2646,7065,2647,7064,2649,7063,2651,7063,2654,7064,2656,7066,2657,7167,2716,6575,2716,6575,2497,6575,2487,6575,2477,6555,2477,6555,2497,6555,2922,5615,2922,5615,2497,6555,2497,6555,2477,6098,2477,6098,2439,6086,2439,6086,2477,5595,2477,5595,2728,5595,2728,5476,2659,5474,2658,5472,2658,5469,2659,5468,2661,5467,2663,5467,2666,5468,2668,5470,2669,5571,2728,4969,2728,4969,2740,5571,2740,5470,2799,5468,2800,5467,2802,5467,2805,5468,2807,5469,2809,5472,2810,5474,2810,5476,2809,5595,2740,5595,2740,5595,2942,6575,2942,6575,2932,6575,2922,6575,2728,7167,2728,7177,2722,7177,2722,7167,2728,7066,2787,7064,2788,7063,2790,7063,2793,7064,2795,7065,2797,7068,2798,7070,2798,7072,2797,7191,2728,7201,2722m7766,2439l7754,2439,7754,2487,7766,2487,7766,2439m7766,2355l7754,2355,7754,2403,7766,2403,7766,2355m7766,2271l7754,2271,7754,2319,7766,2319,7766,2271m7766,2187l7754,2187,7754,2235,7766,2235,7766,2187m7766,2103l7754,2103,7754,2151,7766,2151,7766,2103m7836,2186l7835,2184,7769,2070,7767,2067,7767,2067,7760,2055,7685,2184,7684,2186,7684,2188,7685,2191,7687,2192,7689,2193,7692,2193,7694,2192,7695,2190,7760,2079,7825,2190,7826,2192,7828,2193,7831,2193,7833,2192,7835,2191,7836,2188,7836,2186m8183,2489l8163,2489,8163,2509,8163,2934,7223,2934,7223,2509,8163,2509,8163,2489,7203,2489,7203,2954,8183,2954,8183,2944,8183,2934,8183,2509,8183,2499,8183,2489m8821,2710l8811,2704,8692,2635,8690,2634,8688,2634,8685,2635,8684,2637,8683,2639,8683,2642,8684,2644,8686,2645,8787,2704,8185,2704,8185,2716,8787,2716,8686,2775,8684,2776,8683,2778,8683,2781,8684,2783,8685,2785,8688,2786,8690,2786,8692,2785,8811,2716,8821,2710e" filled="t" fillcolor="black" stroked="f">
            <v:path arrowok="t"/>
          </v:shape>
        </w:pict>
      </w:r>
    </w:p>
    <w:p>
      <w:pPr>
        <w:spacing w:after="0"/>
        <w:rPr>
          <w:sz w:val="2"/>
          <w:szCs w:val="2"/>
        </w:rPr>
        <w:sectPr>
          <w:footerReference w:type="default" r:id="rId23"/>
          <w:pgSz w:w="11910" w:h="16840"/>
          <w:pgMar w:top="1420" w:right="980" w:bottom="1100" w:left="1040" w:header="0" w:footer="909" w:gutter="0"/>
          <w:pgNumType w:start="18"/>
          <w:cols w:num="1" w:space="720"/>
        </w:sectPr>
      </w:pPr>
    </w:p>
    <w:p>
      <w:pPr>
        <w:pStyle w:val="Heading1"/>
      </w:pPr>
      <w:r>
        <w:pict>
          <v:shape id="_x0000_s1043" o:spid="_x0000_s1042" type="#_x0000_t202" style="width:418.6pt;height:349.2pt;margin-top:384.4pt;margin-left:106.35pt;mso-height-relative:page;mso-position-horizontal-relative:page;mso-position-vertical-relative:page;mso-width-relative:page;position:absolute;z-index:251671552"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12"/>
                    <w:gridCol w:w="1525"/>
                    <w:gridCol w:w="1188"/>
                    <w:gridCol w:w="1087"/>
                    <w:gridCol w:w="1013"/>
                    <w:gridCol w:w="775"/>
                    <w:gridCol w:w="875"/>
                    <w:gridCol w:w="882"/>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623"/>
                    </w:trPr>
                    <w:tc>
                      <w:tcPr>
                        <w:tcW w:w="1012" w:type="dxa"/>
                      </w:tcPr>
                      <w:p>
                        <w:pPr>
                          <w:pStyle w:val="TableParagraph"/>
                          <w:spacing w:before="176"/>
                          <w:ind w:left="19" w:right="8"/>
                          <w:jc w:val="center"/>
                          <w:rPr>
                            <w:b/>
                            <w:sz w:val="21"/>
                          </w:rPr>
                        </w:pPr>
                        <w:r>
                          <w:rPr>
                            <w:b/>
                            <w:sz w:val="21"/>
                          </w:rPr>
                          <w:t>污染物</w:t>
                        </w:r>
                      </w:p>
                    </w:tc>
                    <w:tc>
                      <w:tcPr>
                        <w:tcW w:w="1525" w:type="dxa"/>
                      </w:tcPr>
                      <w:p>
                        <w:pPr>
                          <w:pStyle w:val="TableParagraph"/>
                          <w:spacing w:before="176"/>
                          <w:ind w:left="340"/>
                          <w:rPr>
                            <w:b/>
                            <w:sz w:val="21"/>
                          </w:rPr>
                        </w:pPr>
                        <w:r>
                          <w:rPr>
                            <w:b/>
                            <w:sz w:val="21"/>
                          </w:rPr>
                          <w:t>评价指标</w:t>
                        </w:r>
                      </w:p>
                    </w:tc>
                    <w:tc>
                      <w:tcPr>
                        <w:tcW w:w="1188" w:type="dxa"/>
                      </w:tcPr>
                      <w:p>
                        <w:pPr>
                          <w:pStyle w:val="TableParagraph"/>
                          <w:spacing w:before="20"/>
                          <w:ind w:left="173"/>
                          <w:rPr>
                            <w:b/>
                            <w:sz w:val="21"/>
                          </w:rPr>
                        </w:pPr>
                        <w:r>
                          <w:rPr>
                            <w:b/>
                            <w:w w:val="95"/>
                            <w:sz w:val="21"/>
                          </w:rPr>
                          <w:t>现状浓度</w:t>
                        </w:r>
                      </w:p>
                      <w:p>
                        <w:pPr>
                          <w:pStyle w:val="TableParagraph"/>
                          <w:spacing w:before="43"/>
                          <w:ind w:left="137"/>
                          <w:rPr>
                            <w:b/>
                            <w:sz w:val="21"/>
                          </w:rPr>
                        </w:pPr>
                        <w:r>
                          <w:rPr>
                            <w:b/>
                            <w:sz w:val="21"/>
                          </w:rPr>
                          <w:t>（</w:t>
                        </w:r>
                        <w:r>
                          <w:rPr>
                            <w:rFonts w:ascii="Times New Roman" w:eastAsia="Times New Roman" w:hAnsi="Times New Roman"/>
                            <w:b/>
                            <w:sz w:val="21"/>
                          </w:rPr>
                          <w:t>μg/</w:t>
                        </w:r>
                        <w:r>
                          <w:rPr>
                            <w:rFonts w:ascii="Times New Roman" w:eastAsia="Times New Roman" w:hAnsi="Times New Roman"/>
                            <w:b/>
                            <w:sz w:val="18"/>
                          </w:rPr>
                          <w:t>m</w:t>
                        </w:r>
                        <w:r>
                          <w:rPr>
                            <w:rFonts w:ascii="Times New Roman" w:eastAsia="Times New Roman" w:hAnsi="Times New Roman"/>
                            <w:b/>
                            <w:position w:val="6"/>
                            <w:sz w:val="11"/>
                          </w:rPr>
                          <w:t>3</w:t>
                        </w:r>
                        <w:r>
                          <w:rPr>
                            <w:b/>
                            <w:sz w:val="21"/>
                          </w:rPr>
                          <w:t>）</w:t>
                        </w:r>
                      </w:p>
                    </w:tc>
                    <w:tc>
                      <w:tcPr>
                        <w:tcW w:w="1087" w:type="dxa"/>
                      </w:tcPr>
                      <w:p>
                        <w:pPr>
                          <w:pStyle w:val="TableParagraph"/>
                          <w:spacing w:before="20"/>
                          <w:ind w:left="45" w:right="38"/>
                          <w:jc w:val="center"/>
                          <w:rPr>
                            <w:b/>
                            <w:sz w:val="21"/>
                          </w:rPr>
                        </w:pPr>
                        <w:r>
                          <w:rPr>
                            <w:b/>
                            <w:sz w:val="21"/>
                          </w:rPr>
                          <w:t>标准值</w:t>
                        </w:r>
                      </w:p>
                      <w:p>
                        <w:pPr>
                          <w:pStyle w:val="TableParagraph"/>
                          <w:spacing w:before="43"/>
                          <w:ind w:left="89" w:right="38"/>
                          <w:jc w:val="center"/>
                          <w:rPr>
                            <w:b/>
                            <w:sz w:val="21"/>
                          </w:rPr>
                        </w:pPr>
                        <w:r>
                          <w:rPr>
                            <w:b/>
                            <w:sz w:val="21"/>
                          </w:rPr>
                          <w:t>（</w:t>
                        </w:r>
                        <w:r>
                          <w:rPr>
                            <w:rFonts w:ascii="Times New Roman" w:eastAsia="Times New Roman" w:hAnsi="Times New Roman"/>
                            <w:b/>
                            <w:sz w:val="21"/>
                          </w:rPr>
                          <w:t>μg/</w:t>
                        </w:r>
                        <w:r>
                          <w:rPr>
                            <w:rFonts w:ascii="Times New Roman" w:eastAsia="Times New Roman" w:hAnsi="Times New Roman"/>
                            <w:b/>
                            <w:sz w:val="18"/>
                          </w:rPr>
                          <w:t>m</w:t>
                        </w:r>
                        <w:r>
                          <w:rPr>
                            <w:rFonts w:ascii="Times New Roman" w:eastAsia="Times New Roman" w:hAnsi="Times New Roman"/>
                            <w:b/>
                            <w:position w:val="6"/>
                            <w:sz w:val="11"/>
                          </w:rPr>
                          <w:t>3</w:t>
                        </w:r>
                        <w:r>
                          <w:rPr>
                            <w:b/>
                            <w:sz w:val="21"/>
                          </w:rPr>
                          <w:t>）</w:t>
                        </w:r>
                      </w:p>
                    </w:tc>
                    <w:tc>
                      <w:tcPr>
                        <w:tcW w:w="1013" w:type="dxa"/>
                      </w:tcPr>
                      <w:p>
                        <w:pPr>
                          <w:pStyle w:val="TableParagraph"/>
                          <w:spacing w:before="20"/>
                          <w:ind w:left="190"/>
                          <w:rPr>
                            <w:b/>
                            <w:sz w:val="21"/>
                          </w:rPr>
                        </w:pPr>
                        <w:r>
                          <w:rPr>
                            <w:b/>
                            <w:w w:val="95"/>
                            <w:sz w:val="21"/>
                          </w:rPr>
                          <w:t>占标率</w:t>
                        </w:r>
                      </w:p>
                      <w:p>
                        <w:pPr>
                          <w:pStyle w:val="TableParagraph"/>
                          <w:spacing w:before="43"/>
                          <w:ind w:left="190"/>
                          <w:rPr>
                            <w:b/>
                            <w:sz w:val="21"/>
                          </w:rPr>
                        </w:pPr>
                        <w:r>
                          <w:rPr>
                            <w:b/>
                            <w:sz w:val="21"/>
                          </w:rPr>
                          <w:t>（</w:t>
                        </w:r>
                        <w:r>
                          <w:rPr>
                            <w:rFonts w:ascii="Times New Roman" w:eastAsia="Times New Roman"/>
                            <w:b/>
                            <w:sz w:val="21"/>
                          </w:rPr>
                          <w:t>%</w:t>
                        </w:r>
                        <w:r>
                          <w:rPr>
                            <w:b/>
                            <w:sz w:val="21"/>
                          </w:rPr>
                          <w:t>）</w:t>
                        </w:r>
                      </w:p>
                    </w:tc>
                    <w:tc>
                      <w:tcPr>
                        <w:tcW w:w="775" w:type="dxa"/>
                      </w:tcPr>
                      <w:p>
                        <w:pPr>
                          <w:pStyle w:val="TableParagraph"/>
                          <w:spacing w:before="20"/>
                          <w:ind w:left="176"/>
                          <w:rPr>
                            <w:b/>
                            <w:sz w:val="21"/>
                          </w:rPr>
                        </w:pPr>
                        <w:r>
                          <w:rPr>
                            <w:b/>
                            <w:w w:val="95"/>
                            <w:sz w:val="21"/>
                          </w:rPr>
                          <w:t>超标</w:t>
                        </w:r>
                      </w:p>
                      <w:p>
                        <w:pPr>
                          <w:pStyle w:val="TableParagraph"/>
                          <w:spacing w:before="43"/>
                          <w:ind w:left="176"/>
                          <w:rPr>
                            <w:b/>
                            <w:sz w:val="21"/>
                          </w:rPr>
                        </w:pPr>
                        <w:r>
                          <w:rPr>
                            <w:b/>
                            <w:w w:val="95"/>
                            <w:sz w:val="21"/>
                          </w:rPr>
                          <w:t>倍数</w:t>
                        </w:r>
                      </w:p>
                    </w:tc>
                    <w:tc>
                      <w:tcPr>
                        <w:tcW w:w="875" w:type="dxa"/>
                      </w:tcPr>
                      <w:p>
                        <w:pPr>
                          <w:pStyle w:val="TableParagraph"/>
                          <w:spacing w:before="20"/>
                          <w:ind w:left="121"/>
                          <w:rPr>
                            <w:b/>
                            <w:sz w:val="21"/>
                          </w:rPr>
                        </w:pPr>
                        <w:r>
                          <w:rPr>
                            <w:b/>
                            <w:w w:val="95"/>
                            <w:sz w:val="21"/>
                          </w:rPr>
                          <w:t>超标率</w:t>
                        </w:r>
                      </w:p>
                      <w:p>
                        <w:pPr>
                          <w:pStyle w:val="TableParagraph"/>
                          <w:spacing w:before="43"/>
                          <w:ind w:left="121"/>
                          <w:rPr>
                            <w:b/>
                            <w:sz w:val="21"/>
                          </w:rPr>
                        </w:pPr>
                        <w:r>
                          <w:rPr>
                            <w:b/>
                            <w:sz w:val="21"/>
                          </w:rPr>
                          <w:t>（</w:t>
                        </w:r>
                        <w:r>
                          <w:rPr>
                            <w:rFonts w:ascii="Times New Roman" w:eastAsia="Times New Roman"/>
                            <w:b/>
                            <w:sz w:val="21"/>
                          </w:rPr>
                          <w:t>%</w:t>
                        </w:r>
                        <w:r>
                          <w:rPr>
                            <w:b/>
                            <w:sz w:val="21"/>
                          </w:rPr>
                          <w:t>）</w:t>
                        </w:r>
                      </w:p>
                    </w:tc>
                    <w:tc>
                      <w:tcPr>
                        <w:tcW w:w="882" w:type="dxa"/>
                      </w:tcPr>
                      <w:p>
                        <w:pPr>
                          <w:pStyle w:val="TableParagraph"/>
                          <w:spacing w:before="20"/>
                          <w:ind w:left="230"/>
                          <w:rPr>
                            <w:b/>
                            <w:sz w:val="21"/>
                          </w:rPr>
                        </w:pPr>
                        <w:r>
                          <w:rPr>
                            <w:b/>
                            <w:w w:val="95"/>
                            <w:sz w:val="21"/>
                          </w:rPr>
                          <w:t>达标</w:t>
                        </w:r>
                      </w:p>
                      <w:p>
                        <w:pPr>
                          <w:pStyle w:val="TableParagraph"/>
                          <w:spacing w:before="43"/>
                          <w:ind w:left="230"/>
                          <w:rPr>
                            <w:b/>
                            <w:sz w:val="21"/>
                          </w:rPr>
                        </w:pPr>
                        <w:r>
                          <w:rPr>
                            <w:b/>
                            <w:w w:val="95"/>
                            <w:sz w:val="21"/>
                          </w:rPr>
                          <w:t>情况</w:t>
                        </w:r>
                      </w:p>
                    </w:tc>
                  </w:tr>
                  <w:tr>
                    <w:tblPrEx>
                      <w:tblW w:w="0" w:type="auto"/>
                      <w:tblInd w:w="5" w:type="dxa"/>
                      <w:tblLayout w:type="fixed"/>
                      <w:tblCellMar>
                        <w:top w:w="0" w:type="dxa"/>
                        <w:left w:w="0" w:type="dxa"/>
                        <w:bottom w:w="0" w:type="dxa"/>
                        <w:right w:w="0" w:type="dxa"/>
                      </w:tblCellMar>
                    </w:tblPrEx>
                    <w:trPr>
                      <w:trHeight w:val="624"/>
                    </w:trPr>
                    <w:tc>
                      <w:tcPr>
                        <w:tcW w:w="1012" w:type="dxa"/>
                        <w:vMerge w:val="restart"/>
                      </w:tcPr>
                      <w:p>
                        <w:pPr>
                          <w:pStyle w:val="TableParagraph"/>
                          <w:rPr>
                            <w:b/>
                            <w:sz w:val="22"/>
                          </w:rPr>
                        </w:pPr>
                      </w:p>
                      <w:p>
                        <w:pPr>
                          <w:pStyle w:val="TableParagraph"/>
                          <w:spacing w:before="6"/>
                          <w:rPr>
                            <w:b/>
                            <w:sz w:val="17"/>
                          </w:rPr>
                        </w:pPr>
                      </w:p>
                      <w:p>
                        <w:pPr>
                          <w:pStyle w:val="TableParagraph"/>
                          <w:ind w:left="337"/>
                          <w:rPr>
                            <w:rFonts w:ascii="Times New Roman"/>
                            <w:sz w:val="21"/>
                          </w:rPr>
                        </w:pPr>
                        <w:r>
                          <w:rPr>
                            <w:rFonts w:ascii="Times New Roman"/>
                            <w:position w:val="2"/>
                            <w:sz w:val="21"/>
                          </w:rPr>
                          <w:t>SO</w:t>
                        </w:r>
                        <w:r>
                          <w:rPr>
                            <w:rFonts w:ascii="Times New Roman"/>
                            <w:position w:val="2"/>
                            <w:sz w:val="21"/>
                            <w:vertAlign w:val="subscript"/>
                          </w:rPr>
                          <w:t>2</w:t>
                        </w:r>
                      </w:p>
                    </w:tc>
                    <w:tc>
                      <w:tcPr>
                        <w:tcW w:w="1525" w:type="dxa"/>
                      </w:tcPr>
                      <w:p>
                        <w:pPr>
                          <w:pStyle w:val="TableParagraph"/>
                          <w:spacing w:before="20"/>
                          <w:ind w:left="57" w:right="51"/>
                          <w:jc w:val="center"/>
                          <w:rPr>
                            <w:sz w:val="21"/>
                          </w:rPr>
                        </w:pPr>
                        <w:r>
                          <w:rPr>
                            <w:sz w:val="21"/>
                          </w:rPr>
                          <w:t>年平均质量浓</w:t>
                        </w:r>
                      </w:p>
                      <w:p>
                        <w:pPr>
                          <w:pStyle w:val="TableParagraph"/>
                          <w:spacing w:before="43"/>
                          <w:ind w:left="8"/>
                          <w:jc w:val="center"/>
                          <w:rPr>
                            <w:sz w:val="21"/>
                          </w:rPr>
                        </w:pPr>
                        <w:r>
                          <w:rPr>
                            <w:w w:val="99"/>
                            <w:sz w:val="21"/>
                          </w:rPr>
                          <w:t>度</w:t>
                        </w:r>
                      </w:p>
                    </w:tc>
                    <w:tc>
                      <w:tcPr>
                        <w:tcW w:w="1188" w:type="dxa"/>
                      </w:tcPr>
                      <w:p>
                        <w:pPr>
                          <w:pStyle w:val="TableParagraph"/>
                          <w:spacing w:before="190"/>
                          <w:ind w:left="389" w:right="381"/>
                          <w:jc w:val="center"/>
                          <w:rPr>
                            <w:rFonts w:ascii="Times New Roman"/>
                            <w:sz w:val="21"/>
                          </w:rPr>
                        </w:pPr>
                        <w:r>
                          <w:rPr>
                            <w:rFonts w:ascii="Times New Roman"/>
                            <w:sz w:val="21"/>
                          </w:rPr>
                          <w:t>15.9</w:t>
                        </w:r>
                      </w:p>
                    </w:tc>
                    <w:tc>
                      <w:tcPr>
                        <w:tcW w:w="1087" w:type="dxa"/>
                      </w:tcPr>
                      <w:p>
                        <w:pPr>
                          <w:pStyle w:val="TableParagraph"/>
                          <w:spacing w:before="190"/>
                          <w:ind w:right="426"/>
                          <w:jc w:val="right"/>
                          <w:rPr>
                            <w:rFonts w:ascii="Times New Roman"/>
                            <w:sz w:val="21"/>
                          </w:rPr>
                        </w:pPr>
                        <w:r>
                          <w:rPr>
                            <w:rFonts w:ascii="Times New Roman"/>
                            <w:sz w:val="21"/>
                          </w:rPr>
                          <w:t>60</w:t>
                        </w:r>
                      </w:p>
                    </w:tc>
                    <w:tc>
                      <w:tcPr>
                        <w:tcW w:w="1013" w:type="dxa"/>
                      </w:tcPr>
                      <w:p>
                        <w:pPr>
                          <w:pStyle w:val="TableParagraph"/>
                          <w:spacing w:before="190"/>
                          <w:ind w:left="249" w:right="238"/>
                          <w:jc w:val="center"/>
                          <w:rPr>
                            <w:rFonts w:ascii="Times New Roman"/>
                            <w:sz w:val="21"/>
                          </w:rPr>
                        </w:pPr>
                        <w:r>
                          <w:rPr>
                            <w:rFonts w:ascii="Times New Roman"/>
                            <w:sz w:val="21"/>
                          </w:rPr>
                          <w:t>26.5</w:t>
                        </w:r>
                      </w:p>
                    </w:tc>
                    <w:tc>
                      <w:tcPr>
                        <w:tcW w:w="775" w:type="dxa"/>
                      </w:tcPr>
                      <w:p>
                        <w:pPr>
                          <w:pStyle w:val="TableParagraph"/>
                          <w:spacing w:before="190"/>
                          <w:ind w:left="10"/>
                          <w:jc w:val="center"/>
                          <w:rPr>
                            <w:rFonts w:ascii="Times New Roman"/>
                            <w:sz w:val="21"/>
                          </w:rPr>
                        </w:pPr>
                        <w:r>
                          <w:rPr>
                            <w:rFonts w:ascii="Times New Roman"/>
                            <w:w w:val="99"/>
                            <w:sz w:val="21"/>
                          </w:rPr>
                          <w:t>/</w:t>
                        </w:r>
                      </w:p>
                    </w:tc>
                    <w:tc>
                      <w:tcPr>
                        <w:tcW w:w="875" w:type="dxa"/>
                      </w:tcPr>
                      <w:p>
                        <w:pPr>
                          <w:pStyle w:val="TableParagraph"/>
                          <w:spacing w:before="190"/>
                          <w:ind w:left="7"/>
                          <w:jc w:val="center"/>
                          <w:rPr>
                            <w:rFonts w:ascii="Times New Roman"/>
                            <w:sz w:val="21"/>
                          </w:rPr>
                        </w:pPr>
                        <w:r>
                          <w:rPr>
                            <w:rFonts w:ascii="Times New Roman"/>
                            <w:w w:val="99"/>
                            <w:sz w:val="21"/>
                          </w:rPr>
                          <w:t>/</w:t>
                        </w:r>
                      </w:p>
                    </w:tc>
                    <w:tc>
                      <w:tcPr>
                        <w:tcW w:w="882" w:type="dxa"/>
                      </w:tcPr>
                      <w:p>
                        <w:pPr>
                          <w:pStyle w:val="TableParagraph"/>
                          <w:spacing w:before="176"/>
                          <w:ind w:left="104" w:right="98"/>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623"/>
                    </w:trPr>
                    <w:tc>
                      <w:tcPr>
                        <w:tcW w:w="1012" w:type="dxa"/>
                        <w:vMerge/>
                        <w:tcBorders>
                          <w:top w:val="nil"/>
                        </w:tcBorders>
                      </w:tcPr>
                      <w:p>
                        <w:pPr>
                          <w:rPr>
                            <w:sz w:val="2"/>
                            <w:szCs w:val="2"/>
                          </w:rPr>
                        </w:pPr>
                      </w:p>
                    </w:tc>
                    <w:tc>
                      <w:tcPr>
                        <w:tcW w:w="1525" w:type="dxa"/>
                      </w:tcPr>
                      <w:p>
                        <w:pPr>
                          <w:pStyle w:val="TableParagraph"/>
                          <w:spacing w:before="22"/>
                          <w:ind w:left="107"/>
                          <w:rPr>
                            <w:sz w:val="21"/>
                          </w:rPr>
                        </w:pPr>
                        <w:r>
                          <w:rPr>
                            <w:rFonts w:ascii="Times New Roman" w:eastAsia="Times New Roman"/>
                            <w:sz w:val="21"/>
                          </w:rPr>
                          <w:t xml:space="preserve">24 </w:t>
                        </w:r>
                        <w:r>
                          <w:rPr>
                            <w:sz w:val="21"/>
                          </w:rPr>
                          <w:t>小时平均第</w:t>
                        </w:r>
                      </w:p>
                      <w:p>
                        <w:pPr>
                          <w:pStyle w:val="TableParagraph"/>
                          <w:spacing w:before="43"/>
                          <w:ind w:left="210"/>
                          <w:rPr>
                            <w:sz w:val="21"/>
                          </w:rPr>
                        </w:pPr>
                        <w:r>
                          <w:rPr>
                            <w:rFonts w:ascii="Times New Roman" w:eastAsia="Times New Roman"/>
                            <w:sz w:val="21"/>
                          </w:rPr>
                          <w:t xml:space="preserve">98 </w:t>
                        </w:r>
                        <w:r>
                          <w:rPr>
                            <w:sz w:val="21"/>
                          </w:rPr>
                          <w:t>百分位数</w:t>
                        </w:r>
                      </w:p>
                    </w:tc>
                    <w:tc>
                      <w:tcPr>
                        <w:tcW w:w="1188" w:type="dxa"/>
                      </w:tcPr>
                      <w:p>
                        <w:pPr>
                          <w:pStyle w:val="TableParagraph"/>
                          <w:spacing w:before="192"/>
                          <w:ind w:left="389" w:right="381"/>
                          <w:jc w:val="center"/>
                          <w:rPr>
                            <w:rFonts w:ascii="Times New Roman"/>
                            <w:sz w:val="21"/>
                          </w:rPr>
                        </w:pPr>
                        <w:r>
                          <w:rPr>
                            <w:rFonts w:ascii="Times New Roman"/>
                            <w:sz w:val="21"/>
                          </w:rPr>
                          <w:t>48.4</w:t>
                        </w:r>
                      </w:p>
                    </w:tc>
                    <w:tc>
                      <w:tcPr>
                        <w:tcW w:w="1087" w:type="dxa"/>
                      </w:tcPr>
                      <w:p>
                        <w:pPr>
                          <w:pStyle w:val="TableParagraph"/>
                          <w:spacing w:before="192"/>
                          <w:ind w:right="374"/>
                          <w:jc w:val="right"/>
                          <w:rPr>
                            <w:rFonts w:ascii="Times New Roman"/>
                            <w:sz w:val="21"/>
                          </w:rPr>
                        </w:pPr>
                        <w:r>
                          <w:rPr>
                            <w:rFonts w:ascii="Times New Roman"/>
                            <w:sz w:val="21"/>
                          </w:rPr>
                          <w:t>150</w:t>
                        </w:r>
                      </w:p>
                    </w:tc>
                    <w:tc>
                      <w:tcPr>
                        <w:tcW w:w="1013" w:type="dxa"/>
                      </w:tcPr>
                      <w:p>
                        <w:pPr>
                          <w:pStyle w:val="TableParagraph"/>
                          <w:spacing w:before="192"/>
                          <w:ind w:left="249" w:right="238"/>
                          <w:jc w:val="center"/>
                          <w:rPr>
                            <w:rFonts w:ascii="Times New Roman"/>
                            <w:sz w:val="21"/>
                          </w:rPr>
                        </w:pPr>
                        <w:r>
                          <w:rPr>
                            <w:rFonts w:ascii="Times New Roman"/>
                            <w:sz w:val="21"/>
                          </w:rPr>
                          <w:t>32.3</w:t>
                        </w:r>
                      </w:p>
                    </w:tc>
                    <w:tc>
                      <w:tcPr>
                        <w:tcW w:w="775" w:type="dxa"/>
                      </w:tcPr>
                      <w:p>
                        <w:pPr>
                          <w:pStyle w:val="TableParagraph"/>
                          <w:spacing w:before="192"/>
                          <w:ind w:left="10"/>
                          <w:jc w:val="center"/>
                          <w:rPr>
                            <w:rFonts w:ascii="Times New Roman"/>
                            <w:sz w:val="21"/>
                          </w:rPr>
                        </w:pPr>
                        <w:r>
                          <w:rPr>
                            <w:rFonts w:ascii="Times New Roman"/>
                            <w:w w:val="99"/>
                            <w:sz w:val="21"/>
                          </w:rPr>
                          <w:t>/</w:t>
                        </w:r>
                      </w:p>
                    </w:tc>
                    <w:tc>
                      <w:tcPr>
                        <w:tcW w:w="875" w:type="dxa"/>
                      </w:tcPr>
                      <w:p>
                        <w:pPr>
                          <w:pStyle w:val="TableParagraph"/>
                          <w:spacing w:before="192"/>
                          <w:ind w:left="7"/>
                          <w:jc w:val="center"/>
                          <w:rPr>
                            <w:rFonts w:ascii="Times New Roman"/>
                            <w:sz w:val="21"/>
                          </w:rPr>
                        </w:pPr>
                        <w:r>
                          <w:rPr>
                            <w:rFonts w:ascii="Times New Roman"/>
                            <w:w w:val="99"/>
                            <w:sz w:val="21"/>
                          </w:rPr>
                          <w:t>/</w:t>
                        </w:r>
                      </w:p>
                    </w:tc>
                    <w:tc>
                      <w:tcPr>
                        <w:tcW w:w="882" w:type="dxa"/>
                      </w:tcPr>
                      <w:p>
                        <w:pPr>
                          <w:pStyle w:val="TableParagraph"/>
                          <w:spacing w:before="178"/>
                          <w:ind w:left="104" w:right="98"/>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623"/>
                    </w:trPr>
                    <w:tc>
                      <w:tcPr>
                        <w:tcW w:w="1012" w:type="dxa"/>
                        <w:vMerge w:val="restart"/>
                      </w:tcPr>
                      <w:p>
                        <w:pPr>
                          <w:pStyle w:val="TableParagraph"/>
                          <w:rPr>
                            <w:b/>
                            <w:sz w:val="22"/>
                          </w:rPr>
                        </w:pPr>
                      </w:p>
                      <w:p>
                        <w:pPr>
                          <w:pStyle w:val="TableParagraph"/>
                          <w:spacing w:before="5"/>
                          <w:rPr>
                            <w:b/>
                            <w:sz w:val="17"/>
                          </w:rPr>
                        </w:pPr>
                      </w:p>
                      <w:p>
                        <w:pPr>
                          <w:pStyle w:val="TableParagraph"/>
                          <w:ind w:left="320"/>
                          <w:rPr>
                            <w:rFonts w:ascii="Times New Roman"/>
                            <w:sz w:val="21"/>
                          </w:rPr>
                        </w:pPr>
                        <w:r>
                          <w:rPr>
                            <w:rFonts w:ascii="Times New Roman"/>
                            <w:position w:val="2"/>
                            <w:sz w:val="21"/>
                          </w:rPr>
                          <w:t>NO</w:t>
                        </w:r>
                        <w:r>
                          <w:rPr>
                            <w:rFonts w:ascii="Times New Roman"/>
                            <w:position w:val="2"/>
                            <w:sz w:val="21"/>
                            <w:vertAlign w:val="subscript"/>
                          </w:rPr>
                          <w:t>2</w:t>
                        </w:r>
                      </w:p>
                    </w:tc>
                    <w:tc>
                      <w:tcPr>
                        <w:tcW w:w="1525" w:type="dxa"/>
                      </w:tcPr>
                      <w:p>
                        <w:pPr>
                          <w:pStyle w:val="TableParagraph"/>
                          <w:spacing w:before="21"/>
                          <w:ind w:left="59" w:right="51"/>
                          <w:jc w:val="center"/>
                          <w:rPr>
                            <w:sz w:val="21"/>
                          </w:rPr>
                        </w:pPr>
                        <w:r>
                          <w:rPr>
                            <w:sz w:val="21"/>
                          </w:rPr>
                          <w:t>年平均质量</w:t>
                        </w:r>
                      </w:p>
                      <w:p>
                        <w:pPr>
                          <w:pStyle w:val="TableParagraph"/>
                          <w:spacing w:before="43"/>
                          <w:ind w:left="57" w:right="51"/>
                          <w:jc w:val="center"/>
                          <w:rPr>
                            <w:sz w:val="21"/>
                          </w:rPr>
                        </w:pPr>
                        <w:r>
                          <w:rPr>
                            <w:sz w:val="21"/>
                          </w:rPr>
                          <w:t>浓度</w:t>
                        </w:r>
                      </w:p>
                    </w:tc>
                    <w:tc>
                      <w:tcPr>
                        <w:tcW w:w="1188" w:type="dxa"/>
                      </w:tcPr>
                      <w:p>
                        <w:pPr>
                          <w:pStyle w:val="TableParagraph"/>
                          <w:spacing w:before="191"/>
                          <w:ind w:left="389" w:right="381"/>
                          <w:jc w:val="center"/>
                          <w:rPr>
                            <w:rFonts w:ascii="Times New Roman"/>
                            <w:sz w:val="21"/>
                          </w:rPr>
                        </w:pPr>
                        <w:r>
                          <w:rPr>
                            <w:rFonts w:ascii="Times New Roman"/>
                            <w:sz w:val="21"/>
                          </w:rPr>
                          <w:t>31.1</w:t>
                        </w:r>
                      </w:p>
                    </w:tc>
                    <w:tc>
                      <w:tcPr>
                        <w:tcW w:w="1087" w:type="dxa"/>
                      </w:tcPr>
                      <w:p>
                        <w:pPr>
                          <w:pStyle w:val="TableParagraph"/>
                          <w:spacing w:before="191"/>
                          <w:ind w:right="426"/>
                          <w:jc w:val="right"/>
                          <w:rPr>
                            <w:rFonts w:ascii="Times New Roman"/>
                            <w:sz w:val="21"/>
                          </w:rPr>
                        </w:pPr>
                        <w:r>
                          <w:rPr>
                            <w:rFonts w:ascii="Times New Roman"/>
                            <w:sz w:val="21"/>
                          </w:rPr>
                          <w:t>40</w:t>
                        </w:r>
                      </w:p>
                    </w:tc>
                    <w:tc>
                      <w:tcPr>
                        <w:tcW w:w="1013" w:type="dxa"/>
                      </w:tcPr>
                      <w:p>
                        <w:pPr>
                          <w:pStyle w:val="TableParagraph"/>
                          <w:spacing w:before="191"/>
                          <w:ind w:left="249" w:right="238"/>
                          <w:jc w:val="center"/>
                          <w:rPr>
                            <w:rFonts w:ascii="Times New Roman"/>
                            <w:sz w:val="21"/>
                          </w:rPr>
                        </w:pPr>
                        <w:r>
                          <w:rPr>
                            <w:rFonts w:ascii="Times New Roman"/>
                            <w:sz w:val="21"/>
                          </w:rPr>
                          <w:t>77.8</w:t>
                        </w:r>
                      </w:p>
                    </w:tc>
                    <w:tc>
                      <w:tcPr>
                        <w:tcW w:w="775" w:type="dxa"/>
                      </w:tcPr>
                      <w:p>
                        <w:pPr>
                          <w:pStyle w:val="TableParagraph"/>
                          <w:spacing w:before="191"/>
                          <w:ind w:left="10"/>
                          <w:jc w:val="center"/>
                          <w:rPr>
                            <w:rFonts w:ascii="Times New Roman"/>
                            <w:sz w:val="21"/>
                          </w:rPr>
                        </w:pPr>
                        <w:r>
                          <w:rPr>
                            <w:rFonts w:ascii="Times New Roman"/>
                            <w:w w:val="99"/>
                            <w:sz w:val="21"/>
                          </w:rPr>
                          <w:t>/</w:t>
                        </w:r>
                      </w:p>
                    </w:tc>
                    <w:tc>
                      <w:tcPr>
                        <w:tcW w:w="875" w:type="dxa"/>
                      </w:tcPr>
                      <w:p>
                        <w:pPr>
                          <w:pStyle w:val="TableParagraph"/>
                          <w:spacing w:before="191"/>
                          <w:ind w:left="7"/>
                          <w:jc w:val="center"/>
                          <w:rPr>
                            <w:rFonts w:ascii="Times New Roman"/>
                            <w:sz w:val="21"/>
                          </w:rPr>
                        </w:pPr>
                        <w:r>
                          <w:rPr>
                            <w:rFonts w:ascii="Times New Roman"/>
                            <w:w w:val="99"/>
                            <w:sz w:val="21"/>
                          </w:rPr>
                          <w:t>/</w:t>
                        </w:r>
                      </w:p>
                    </w:tc>
                    <w:tc>
                      <w:tcPr>
                        <w:tcW w:w="882" w:type="dxa"/>
                      </w:tcPr>
                      <w:p>
                        <w:pPr>
                          <w:pStyle w:val="TableParagraph"/>
                          <w:spacing w:before="177"/>
                          <w:ind w:left="104" w:right="98"/>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623"/>
                    </w:trPr>
                    <w:tc>
                      <w:tcPr>
                        <w:tcW w:w="1012" w:type="dxa"/>
                        <w:vMerge/>
                        <w:tcBorders>
                          <w:top w:val="nil"/>
                        </w:tcBorders>
                      </w:tcPr>
                      <w:p>
                        <w:pPr>
                          <w:rPr>
                            <w:sz w:val="2"/>
                            <w:szCs w:val="2"/>
                          </w:rPr>
                        </w:pPr>
                      </w:p>
                    </w:tc>
                    <w:tc>
                      <w:tcPr>
                        <w:tcW w:w="1525" w:type="dxa"/>
                      </w:tcPr>
                      <w:p>
                        <w:pPr>
                          <w:pStyle w:val="TableParagraph"/>
                          <w:spacing w:before="21"/>
                          <w:ind w:left="107"/>
                          <w:rPr>
                            <w:sz w:val="21"/>
                          </w:rPr>
                        </w:pPr>
                        <w:r>
                          <w:rPr>
                            <w:rFonts w:ascii="Times New Roman" w:eastAsia="Times New Roman"/>
                            <w:sz w:val="21"/>
                          </w:rPr>
                          <w:t xml:space="preserve">24 </w:t>
                        </w:r>
                        <w:r>
                          <w:rPr>
                            <w:sz w:val="21"/>
                          </w:rPr>
                          <w:t>小时平均第</w:t>
                        </w:r>
                      </w:p>
                      <w:p>
                        <w:pPr>
                          <w:pStyle w:val="TableParagraph"/>
                          <w:spacing w:before="43"/>
                          <w:ind w:left="210"/>
                          <w:rPr>
                            <w:sz w:val="21"/>
                          </w:rPr>
                        </w:pPr>
                        <w:r>
                          <w:rPr>
                            <w:rFonts w:ascii="Times New Roman" w:eastAsia="Times New Roman"/>
                            <w:sz w:val="21"/>
                          </w:rPr>
                          <w:t xml:space="preserve">98 </w:t>
                        </w:r>
                        <w:r>
                          <w:rPr>
                            <w:sz w:val="21"/>
                          </w:rPr>
                          <w:t>百分位数</w:t>
                        </w:r>
                      </w:p>
                    </w:tc>
                    <w:tc>
                      <w:tcPr>
                        <w:tcW w:w="1188" w:type="dxa"/>
                      </w:tcPr>
                      <w:p>
                        <w:pPr>
                          <w:pStyle w:val="TableParagraph"/>
                          <w:spacing w:before="191"/>
                          <w:ind w:left="389" w:right="381"/>
                          <w:jc w:val="center"/>
                          <w:rPr>
                            <w:rFonts w:ascii="Times New Roman"/>
                            <w:sz w:val="21"/>
                          </w:rPr>
                        </w:pPr>
                        <w:r>
                          <w:rPr>
                            <w:rFonts w:ascii="Times New Roman"/>
                            <w:sz w:val="21"/>
                          </w:rPr>
                          <w:t>74</w:t>
                        </w:r>
                      </w:p>
                    </w:tc>
                    <w:tc>
                      <w:tcPr>
                        <w:tcW w:w="1087" w:type="dxa"/>
                      </w:tcPr>
                      <w:p>
                        <w:pPr>
                          <w:pStyle w:val="TableParagraph"/>
                          <w:spacing w:before="191"/>
                          <w:ind w:right="426"/>
                          <w:jc w:val="right"/>
                          <w:rPr>
                            <w:rFonts w:ascii="Times New Roman"/>
                            <w:sz w:val="21"/>
                          </w:rPr>
                        </w:pPr>
                        <w:r>
                          <w:rPr>
                            <w:rFonts w:ascii="Times New Roman"/>
                            <w:sz w:val="21"/>
                          </w:rPr>
                          <w:t>80</w:t>
                        </w:r>
                      </w:p>
                    </w:tc>
                    <w:tc>
                      <w:tcPr>
                        <w:tcW w:w="1013" w:type="dxa"/>
                      </w:tcPr>
                      <w:p>
                        <w:pPr>
                          <w:pStyle w:val="TableParagraph"/>
                          <w:spacing w:before="191"/>
                          <w:ind w:left="249" w:right="238"/>
                          <w:jc w:val="center"/>
                          <w:rPr>
                            <w:rFonts w:ascii="Times New Roman"/>
                            <w:sz w:val="21"/>
                          </w:rPr>
                        </w:pPr>
                        <w:r>
                          <w:rPr>
                            <w:rFonts w:ascii="Times New Roman"/>
                            <w:sz w:val="21"/>
                          </w:rPr>
                          <w:t>92.5</w:t>
                        </w:r>
                      </w:p>
                    </w:tc>
                    <w:tc>
                      <w:tcPr>
                        <w:tcW w:w="775" w:type="dxa"/>
                      </w:tcPr>
                      <w:p>
                        <w:pPr>
                          <w:pStyle w:val="TableParagraph"/>
                          <w:spacing w:before="191"/>
                          <w:ind w:left="10"/>
                          <w:jc w:val="center"/>
                          <w:rPr>
                            <w:rFonts w:ascii="Times New Roman"/>
                            <w:sz w:val="21"/>
                          </w:rPr>
                        </w:pPr>
                        <w:r>
                          <w:rPr>
                            <w:rFonts w:ascii="Times New Roman"/>
                            <w:w w:val="99"/>
                            <w:sz w:val="21"/>
                          </w:rPr>
                          <w:t>/</w:t>
                        </w:r>
                      </w:p>
                    </w:tc>
                    <w:tc>
                      <w:tcPr>
                        <w:tcW w:w="875" w:type="dxa"/>
                      </w:tcPr>
                      <w:p>
                        <w:pPr>
                          <w:pStyle w:val="TableParagraph"/>
                          <w:spacing w:before="191"/>
                          <w:ind w:left="7"/>
                          <w:jc w:val="center"/>
                          <w:rPr>
                            <w:rFonts w:ascii="Times New Roman"/>
                            <w:sz w:val="21"/>
                          </w:rPr>
                        </w:pPr>
                        <w:r>
                          <w:rPr>
                            <w:rFonts w:ascii="Times New Roman"/>
                            <w:w w:val="99"/>
                            <w:sz w:val="21"/>
                          </w:rPr>
                          <w:t>/</w:t>
                        </w:r>
                      </w:p>
                    </w:tc>
                    <w:tc>
                      <w:tcPr>
                        <w:tcW w:w="882" w:type="dxa"/>
                      </w:tcPr>
                      <w:p>
                        <w:pPr>
                          <w:pStyle w:val="TableParagraph"/>
                          <w:spacing w:before="177"/>
                          <w:ind w:left="104" w:right="98"/>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624"/>
                    </w:trPr>
                    <w:tc>
                      <w:tcPr>
                        <w:tcW w:w="1012" w:type="dxa"/>
                        <w:vMerge w:val="restart"/>
                      </w:tcPr>
                      <w:p>
                        <w:pPr>
                          <w:pStyle w:val="TableParagraph"/>
                          <w:rPr>
                            <w:b/>
                            <w:sz w:val="22"/>
                          </w:rPr>
                        </w:pPr>
                      </w:p>
                      <w:p>
                        <w:pPr>
                          <w:pStyle w:val="TableParagraph"/>
                          <w:spacing w:before="4"/>
                          <w:rPr>
                            <w:b/>
                            <w:sz w:val="17"/>
                          </w:rPr>
                        </w:pPr>
                      </w:p>
                      <w:p>
                        <w:pPr>
                          <w:pStyle w:val="TableParagraph"/>
                          <w:ind w:left="286"/>
                          <w:rPr>
                            <w:rFonts w:ascii="Times New Roman"/>
                            <w:sz w:val="21"/>
                          </w:rPr>
                        </w:pPr>
                        <w:r>
                          <w:rPr>
                            <w:rFonts w:ascii="Times New Roman"/>
                            <w:position w:val="2"/>
                            <w:sz w:val="21"/>
                          </w:rPr>
                          <w:t>PM</w:t>
                        </w:r>
                        <w:r>
                          <w:rPr>
                            <w:rFonts w:ascii="Times New Roman"/>
                            <w:position w:val="2"/>
                            <w:sz w:val="21"/>
                            <w:vertAlign w:val="subscript"/>
                          </w:rPr>
                          <w:t>10</w:t>
                        </w:r>
                      </w:p>
                    </w:tc>
                    <w:tc>
                      <w:tcPr>
                        <w:tcW w:w="1525" w:type="dxa"/>
                      </w:tcPr>
                      <w:p>
                        <w:pPr>
                          <w:pStyle w:val="TableParagraph"/>
                          <w:spacing w:before="20"/>
                          <w:ind w:left="57" w:right="51"/>
                          <w:jc w:val="center"/>
                          <w:rPr>
                            <w:sz w:val="21"/>
                          </w:rPr>
                        </w:pPr>
                        <w:r>
                          <w:rPr>
                            <w:sz w:val="21"/>
                          </w:rPr>
                          <w:t>年平均质量浓</w:t>
                        </w:r>
                      </w:p>
                      <w:p>
                        <w:pPr>
                          <w:pStyle w:val="TableParagraph"/>
                          <w:spacing w:before="43"/>
                          <w:ind w:left="8"/>
                          <w:jc w:val="center"/>
                          <w:rPr>
                            <w:sz w:val="21"/>
                          </w:rPr>
                        </w:pPr>
                        <w:r>
                          <w:rPr>
                            <w:w w:val="99"/>
                            <w:sz w:val="21"/>
                          </w:rPr>
                          <w:t>度</w:t>
                        </w:r>
                      </w:p>
                    </w:tc>
                    <w:tc>
                      <w:tcPr>
                        <w:tcW w:w="1188" w:type="dxa"/>
                      </w:tcPr>
                      <w:p>
                        <w:pPr>
                          <w:pStyle w:val="TableParagraph"/>
                          <w:spacing w:before="190"/>
                          <w:ind w:left="389" w:right="381"/>
                          <w:jc w:val="center"/>
                          <w:rPr>
                            <w:rFonts w:ascii="Times New Roman"/>
                            <w:sz w:val="21"/>
                          </w:rPr>
                        </w:pPr>
                        <w:r>
                          <w:rPr>
                            <w:rFonts w:ascii="Times New Roman"/>
                            <w:sz w:val="21"/>
                          </w:rPr>
                          <w:t>93.4</w:t>
                        </w:r>
                      </w:p>
                    </w:tc>
                    <w:tc>
                      <w:tcPr>
                        <w:tcW w:w="1087" w:type="dxa"/>
                      </w:tcPr>
                      <w:p>
                        <w:pPr>
                          <w:pStyle w:val="TableParagraph"/>
                          <w:spacing w:before="190"/>
                          <w:ind w:right="426"/>
                          <w:jc w:val="right"/>
                          <w:rPr>
                            <w:rFonts w:ascii="Times New Roman"/>
                            <w:sz w:val="21"/>
                          </w:rPr>
                        </w:pPr>
                        <w:r>
                          <w:rPr>
                            <w:rFonts w:ascii="Times New Roman"/>
                            <w:sz w:val="21"/>
                          </w:rPr>
                          <w:t>70</w:t>
                        </w:r>
                      </w:p>
                    </w:tc>
                    <w:tc>
                      <w:tcPr>
                        <w:tcW w:w="1013" w:type="dxa"/>
                      </w:tcPr>
                      <w:p>
                        <w:pPr>
                          <w:pStyle w:val="TableParagraph"/>
                          <w:spacing w:before="190"/>
                          <w:ind w:left="249" w:right="240"/>
                          <w:jc w:val="center"/>
                          <w:rPr>
                            <w:rFonts w:ascii="Times New Roman"/>
                            <w:sz w:val="21"/>
                          </w:rPr>
                        </w:pPr>
                        <w:r>
                          <w:rPr>
                            <w:rFonts w:ascii="Times New Roman"/>
                            <w:sz w:val="21"/>
                          </w:rPr>
                          <w:t>133.4</w:t>
                        </w:r>
                      </w:p>
                    </w:tc>
                    <w:tc>
                      <w:tcPr>
                        <w:tcW w:w="775" w:type="dxa"/>
                      </w:tcPr>
                      <w:p>
                        <w:pPr>
                          <w:pStyle w:val="TableParagraph"/>
                          <w:spacing w:before="190"/>
                          <w:ind w:left="130" w:right="121"/>
                          <w:jc w:val="center"/>
                          <w:rPr>
                            <w:rFonts w:ascii="Times New Roman"/>
                            <w:sz w:val="21"/>
                          </w:rPr>
                        </w:pPr>
                        <w:r>
                          <w:rPr>
                            <w:rFonts w:ascii="Times New Roman"/>
                            <w:sz w:val="21"/>
                          </w:rPr>
                          <w:t>0.334</w:t>
                        </w:r>
                      </w:p>
                    </w:tc>
                    <w:tc>
                      <w:tcPr>
                        <w:tcW w:w="875" w:type="dxa"/>
                      </w:tcPr>
                      <w:p>
                        <w:pPr>
                          <w:pStyle w:val="TableParagraph"/>
                          <w:spacing w:before="190"/>
                          <w:ind w:left="233" w:right="223"/>
                          <w:jc w:val="center"/>
                          <w:rPr>
                            <w:rFonts w:ascii="Times New Roman"/>
                            <w:sz w:val="21"/>
                          </w:rPr>
                        </w:pPr>
                        <w:r>
                          <w:rPr>
                            <w:rFonts w:ascii="Times New Roman"/>
                            <w:sz w:val="21"/>
                          </w:rPr>
                          <w:t>100</w:t>
                        </w:r>
                      </w:p>
                    </w:tc>
                    <w:tc>
                      <w:tcPr>
                        <w:tcW w:w="882" w:type="dxa"/>
                      </w:tcPr>
                      <w:p>
                        <w:pPr>
                          <w:pStyle w:val="TableParagraph"/>
                          <w:spacing w:before="176"/>
                          <w:ind w:left="104" w:right="98"/>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623"/>
                    </w:trPr>
                    <w:tc>
                      <w:tcPr>
                        <w:tcW w:w="1012" w:type="dxa"/>
                        <w:vMerge/>
                        <w:tcBorders>
                          <w:top w:val="nil"/>
                        </w:tcBorders>
                      </w:tcPr>
                      <w:p>
                        <w:pPr>
                          <w:rPr>
                            <w:sz w:val="2"/>
                            <w:szCs w:val="2"/>
                          </w:rPr>
                        </w:pPr>
                      </w:p>
                    </w:tc>
                    <w:tc>
                      <w:tcPr>
                        <w:tcW w:w="1525" w:type="dxa"/>
                      </w:tcPr>
                      <w:p>
                        <w:pPr>
                          <w:pStyle w:val="TableParagraph"/>
                          <w:spacing w:before="20"/>
                          <w:ind w:left="110" w:right="51"/>
                          <w:jc w:val="center"/>
                          <w:rPr>
                            <w:sz w:val="21"/>
                          </w:rPr>
                        </w:pPr>
                        <w:r>
                          <w:rPr>
                            <w:rFonts w:ascii="Times New Roman" w:eastAsia="Times New Roman"/>
                            <w:sz w:val="21"/>
                          </w:rPr>
                          <w:t xml:space="preserve">24 </w:t>
                        </w:r>
                        <w:r>
                          <w:rPr>
                            <w:sz w:val="21"/>
                          </w:rPr>
                          <w:t>小时平均第</w:t>
                        </w:r>
                      </w:p>
                      <w:p>
                        <w:pPr>
                          <w:pStyle w:val="TableParagraph"/>
                          <w:spacing w:before="43"/>
                          <w:ind w:left="57" w:right="51"/>
                          <w:jc w:val="center"/>
                          <w:rPr>
                            <w:sz w:val="21"/>
                          </w:rPr>
                        </w:pPr>
                        <w:r>
                          <w:rPr>
                            <w:rFonts w:ascii="Times New Roman" w:eastAsia="Times New Roman"/>
                            <w:sz w:val="21"/>
                          </w:rPr>
                          <w:t xml:space="preserve">95 </w:t>
                        </w:r>
                        <w:r>
                          <w:rPr>
                            <w:sz w:val="21"/>
                          </w:rPr>
                          <w:t>百分位数</w:t>
                        </w:r>
                      </w:p>
                    </w:tc>
                    <w:tc>
                      <w:tcPr>
                        <w:tcW w:w="1188" w:type="dxa"/>
                      </w:tcPr>
                      <w:p>
                        <w:pPr>
                          <w:pStyle w:val="TableParagraph"/>
                          <w:spacing w:before="190"/>
                          <w:ind w:left="389" w:right="381"/>
                          <w:jc w:val="center"/>
                          <w:rPr>
                            <w:rFonts w:ascii="Times New Roman"/>
                            <w:sz w:val="21"/>
                          </w:rPr>
                        </w:pPr>
                        <w:r>
                          <w:rPr>
                            <w:rFonts w:ascii="Times New Roman"/>
                            <w:sz w:val="21"/>
                          </w:rPr>
                          <w:t>223</w:t>
                        </w:r>
                      </w:p>
                    </w:tc>
                    <w:tc>
                      <w:tcPr>
                        <w:tcW w:w="1087" w:type="dxa"/>
                      </w:tcPr>
                      <w:p>
                        <w:pPr>
                          <w:pStyle w:val="TableParagraph"/>
                          <w:spacing w:before="190"/>
                          <w:ind w:right="374"/>
                          <w:jc w:val="right"/>
                          <w:rPr>
                            <w:rFonts w:ascii="Times New Roman"/>
                            <w:sz w:val="21"/>
                          </w:rPr>
                        </w:pPr>
                        <w:r>
                          <w:rPr>
                            <w:rFonts w:ascii="Times New Roman"/>
                            <w:sz w:val="21"/>
                          </w:rPr>
                          <w:t>150</w:t>
                        </w:r>
                      </w:p>
                    </w:tc>
                    <w:tc>
                      <w:tcPr>
                        <w:tcW w:w="1013" w:type="dxa"/>
                      </w:tcPr>
                      <w:p>
                        <w:pPr>
                          <w:pStyle w:val="TableParagraph"/>
                          <w:spacing w:before="190"/>
                          <w:ind w:left="249" w:right="240"/>
                          <w:jc w:val="center"/>
                          <w:rPr>
                            <w:rFonts w:ascii="Times New Roman"/>
                            <w:sz w:val="21"/>
                          </w:rPr>
                        </w:pPr>
                        <w:r>
                          <w:rPr>
                            <w:rFonts w:ascii="Times New Roman"/>
                            <w:sz w:val="21"/>
                          </w:rPr>
                          <w:t>148.7</w:t>
                        </w:r>
                      </w:p>
                    </w:tc>
                    <w:tc>
                      <w:tcPr>
                        <w:tcW w:w="775" w:type="dxa"/>
                      </w:tcPr>
                      <w:p>
                        <w:pPr>
                          <w:pStyle w:val="TableParagraph"/>
                          <w:spacing w:before="190"/>
                          <w:ind w:left="130" w:right="121"/>
                          <w:jc w:val="center"/>
                          <w:rPr>
                            <w:rFonts w:ascii="Times New Roman"/>
                            <w:sz w:val="21"/>
                          </w:rPr>
                        </w:pPr>
                        <w:r>
                          <w:rPr>
                            <w:rFonts w:ascii="Times New Roman"/>
                            <w:sz w:val="21"/>
                          </w:rPr>
                          <w:t>0.487</w:t>
                        </w:r>
                      </w:p>
                    </w:tc>
                    <w:tc>
                      <w:tcPr>
                        <w:tcW w:w="875" w:type="dxa"/>
                      </w:tcPr>
                      <w:p>
                        <w:pPr>
                          <w:pStyle w:val="TableParagraph"/>
                          <w:spacing w:before="190"/>
                          <w:ind w:left="233" w:right="223"/>
                          <w:jc w:val="center"/>
                          <w:rPr>
                            <w:rFonts w:ascii="Times New Roman"/>
                            <w:sz w:val="21"/>
                          </w:rPr>
                        </w:pPr>
                        <w:r>
                          <w:rPr>
                            <w:rFonts w:ascii="Times New Roman"/>
                            <w:sz w:val="21"/>
                          </w:rPr>
                          <w:t>12.6</w:t>
                        </w:r>
                      </w:p>
                    </w:tc>
                    <w:tc>
                      <w:tcPr>
                        <w:tcW w:w="882" w:type="dxa"/>
                      </w:tcPr>
                      <w:p>
                        <w:pPr>
                          <w:pStyle w:val="TableParagraph"/>
                          <w:spacing w:before="176"/>
                          <w:ind w:left="104" w:right="98"/>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624"/>
                    </w:trPr>
                    <w:tc>
                      <w:tcPr>
                        <w:tcW w:w="1012" w:type="dxa"/>
                        <w:vMerge w:val="restart"/>
                      </w:tcPr>
                      <w:p>
                        <w:pPr>
                          <w:pStyle w:val="TableParagraph"/>
                          <w:rPr>
                            <w:b/>
                            <w:sz w:val="22"/>
                          </w:rPr>
                        </w:pPr>
                      </w:p>
                      <w:p>
                        <w:pPr>
                          <w:pStyle w:val="TableParagraph"/>
                          <w:spacing w:before="6"/>
                          <w:rPr>
                            <w:b/>
                            <w:sz w:val="17"/>
                          </w:rPr>
                        </w:pPr>
                      </w:p>
                      <w:p>
                        <w:pPr>
                          <w:pStyle w:val="TableParagraph"/>
                          <w:ind w:left="270"/>
                          <w:rPr>
                            <w:rFonts w:ascii="Times New Roman"/>
                            <w:sz w:val="13"/>
                          </w:rPr>
                        </w:pPr>
                        <w:r>
                          <w:rPr>
                            <w:rFonts w:ascii="Times New Roman"/>
                            <w:w w:val="105"/>
                            <w:position w:val="2"/>
                            <w:sz w:val="21"/>
                          </w:rPr>
                          <w:t>PM</w:t>
                        </w:r>
                        <w:r>
                          <w:rPr>
                            <w:rFonts w:ascii="Times New Roman"/>
                            <w:w w:val="105"/>
                            <w:sz w:val="13"/>
                          </w:rPr>
                          <w:t>2.5</w:t>
                        </w:r>
                      </w:p>
                    </w:tc>
                    <w:tc>
                      <w:tcPr>
                        <w:tcW w:w="1525" w:type="dxa"/>
                      </w:tcPr>
                      <w:p>
                        <w:pPr>
                          <w:pStyle w:val="TableParagraph"/>
                          <w:spacing w:before="20"/>
                          <w:ind w:left="57" w:right="51"/>
                          <w:jc w:val="center"/>
                          <w:rPr>
                            <w:sz w:val="21"/>
                          </w:rPr>
                        </w:pPr>
                        <w:r>
                          <w:rPr>
                            <w:sz w:val="21"/>
                          </w:rPr>
                          <w:t>年平均质量浓</w:t>
                        </w:r>
                      </w:p>
                      <w:p>
                        <w:pPr>
                          <w:pStyle w:val="TableParagraph"/>
                          <w:spacing w:before="43"/>
                          <w:ind w:left="8"/>
                          <w:jc w:val="center"/>
                          <w:rPr>
                            <w:sz w:val="21"/>
                          </w:rPr>
                        </w:pPr>
                        <w:r>
                          <w:rPr>
                            <w:w w:val="99"/>
                            <w:sz w:val="21"/>
                          </w:rPr>
                          <w:t>度</w:t>
                        </w:r>
                      </w:p>
                    </w:tc>
                    <w:tc>
                      <w:tcPr>
                        <w:tcW w:w="1188" w:type="dxa"/>
                      </w:tcPr>
                      <w:p>
                        <w:pPr>
                          <w:pStyle w:val="TableParagraph"/>
                          <w:spacing w:before="190"/>
                          <w:ind w:left="389" w:right="381"/>
                          <w:jc w:val="center"/>
                          <w:rPr>
                            <w:rFonts w:ascii="Times New Roman"/>
                            <w:sz w:val="21"/>
                          </w:rPr>
                        </w:pPr>
                        <w:r>
                          <w:rPr>
                            <w:rFonts w:ascii="Times New Roman"/>
                            <w:sz w:val="21"/>
                          </w:rPr>
                          <w:t>57</w:t>
                        </w:r>
                      </w:p>
                    </w:tc>
                    <w:tc>
                      <w:tcPr>
                        <w:tcW w:w="1087" w:type="dxa"/>
                      </w:tcPr>
                      <w:p>
                        <w:pPr>
                          <w:pStyle w:val="TableParagraph"/>
                          <w:spacing w:before="190"/>
                          <w:ind w:right="426"/>
                          <w:jc w:val="right"/>
                          <w:rPr>
                            <w:rFonts w:ascii="Times New Roman"/>
                            <w:sz w:val="21"/>
                          </w:rPr>
                        </w:pPr>
                        <w:r>
                          <w:rPr>
                            <w:rFonts w:ascii="Times New Roman"/>
                            <w:sz w:val="21"/>
                          </w:rPr>
                          <w:t>35</w:t>
                        </w:r>
                      </w:p>
                    </w:tc>
                    <w:tc>
                      <w:tcPr>
                        <w:tcW w:w="1013" w:type="dxa"/>
                      </w:tcPr>
                      <w:p>
                        <w:pPr>
                          <w:pStyle w:val="TableParagraph"/>
                          <w:spacing w:before="190"/>
                          <w:ind w:left="249" w:right="240"/>
                          <w:jc w:val="center"/>
                          <w:rPr>
                            <w:rFonts w:ascii="Times New Roman"/>
                            <w:sz w:val="21"/>
                          </w:rPr>
                        </w:pPr>
                        <w:r>
                          <w:rPr>
                            <w:rFonts w:ascii="Times New Roman"/>
                            <w:sz w:val="21"/>
                          </w:rPr>
                          <w:t>162.9</w:t>
                        </w:r>
                      </w:p>
                    </w:tc>
                    <w:tc>
                      <w:tcPr>
                        <w:tcW w:w="775" w:type="dxa"/>
                      </w:tcPr>
                      <w:p>
                        <w:pPr>
                          <w:pStyle w:val="TableParagraph"/>
                          <w:spacing w:before="190"/>
                          <w:ind w:left="130" w:right="121"/>
                          <w:jc w:val="center"/>
                          <w:rPr>
                            <w:rFonts w:ascii="Times New Roman"/>
                            <w:sz w:val="21"/>
                          </w:rPr>
                        </w:pPr>
                        <w:r>
                          <w:rPr>
                            <w:rFonts w:ascii="Times New Roman"/>
                            <w:sz w:val="21"/>
                          </w:rPr>
                          <w:t>0.629</w:t>
                        </w:r>
                      </w:p>
                    </w:tc>
                    <w:tc>
                      <w:tcPr>
                        <w:tcW w:w="875" w:type="dxa"/>
                      </w:tcPr>
                      <w:p>
                        <w:pPr>
                          <w:pStyle w:val="TableParagraph"/>
                          <w:spacing w:before="190"/>
                          <w:ind w:left="233" w:right="223"/>
                          <w:jc w:val="center"/>
                          <w:rPr>
                            <w:rFonts w:ascii="Times New Roman"/>
                            <w:sz w:val="21"/>
                          </w:rPr>
                        </w:pPr>
                        <w:r>
                          <w:rPr>
                            <w:rFonts w:ascii="Times New Roman"/>
                            <w:sz w:val="21"/>
                          </w:rPr>
                          <w:t>100</w:t>
                        </w:r>
                      </w:p>
                    </w:tc>
                    <w:tc>
                      <w:tcPr>
                        <w:tcW w:w="882" w:type="dxa"/>
                      </w:tcPr>
                      <w:p>
                        <w:pPr>
                          <w:pStyle w:val="TableParagraph"/>
                          <w:spacing w:before="176"/>
                          <w:ind w:left="104" w:right="98"/>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624"/>
                    </w:trPr>
                    <w:tc>
                      <w:tcPr>
                        <w:tcW w:w="1012" w:type="dxa"/>
                        <w:vMerge/>
                        <w:tcBorders>
                          <w:top w:val="nil"/>
                        </w:tcBorders>
                      </w:tcPr>
                      <w:p>
                        <w:pPr>
                          <w:rPr>
                            <w:sz w:val="2"/>
                            <w:szCs w:val="2"/>
                          </w:rPr>
                        </w:pPr>
                      </w:p>
                    </w:tc>
                    <w:tc>
                      <w:tcPr>
                        <w:tcW w:w="1525" w:type="dxa"/>
                      </w:tcPr>
                      <w:p>
                        <w:pPr>
                          <w:pStyle w:val="TableParagraph"/>
                          <w:spacing w:before="22"/>
                          <w:ind w:left="110" w:right="51"/>
                          <w:jc w:val="center"/>
                          <w:rPr>
                            <w:sz w:val="21"/>
                          </w:rPr>
                        </w:pPr>
                        <w:r>
                          <w:rPr>
                            <w:rFonts w:ascii="Times New Roman" w:eastAsia="Times New Roman"/>
                            <w:sz w:val="21"/>
                          </w:rPr>
                          <w:t xml:space="preserve">24 </w:t>
                        </w:r>
                        <w:r>
                          <w:rPr>
                            <w:sz w:val="21"/>
                          </w:rPr>
                          <w:t>小时平均第</w:t>
                        </w:r>
                      </w:p>
                      <w:p>
                        <w:pPr>
                          <w:pStyle w:val="TableParagraph"/>
                          <w:spacing w:before="43"/>
                          <w:ind w:left="57" w:right="51"/>
                          <w:jc w:val="center"/>
                          <w:rPr>
                            <w:sz w:val="21"/>
                          </w:rPr>
                        </w:pPr>
                        <w:r>
                          <w:rPr>
                            <w:rFonts w:ascii="Times New Roman" w:eastAsia="Times New Roman"/>
                            <w:sz w:val="21"/>
                          </w:rPr>
                          <w:t xml:space="preserve">95 </w:t>
                        </w:r>
                        <w:r>
                          <w:rPr>
                            <w:sz w:val="21"/>
                          </w:rPr>
                          <w:t>百分位数</w:t>
                        </w:r>
                      </w:p>
                    </w:tc>
                    <w:tc>
                      <w:tcPr>
                        <w:tcW w:w="1188" w:type="dxa"/>
                      </w:tcPr>
                      <w:p>
                        <w:pPr>
                          <w:pStyle w:val="TableParagraph"/>
                          <w:spacing w:before="192"/>
                          <w:ind w:left="389" w:right="381"/>
                          <w:jc w:val="center"/>
                          <w:rPr>
                            <w:rFonts w:ascii="Times New Roman"/>
                            <w:sz w:val="21"/>
                          </w:rPr>
                        </w:pPr>
                        <w:r>
                          <w:rPr>
                            <w:rFonts w:ascii="Times New Roman"/>
                            <w:sz w:val="21"/>
                          </w:rPr>
                          <w:t>192</w:t>
                        </w:r>
                      </w:p>
                    </w:tc>
                    <w:tc>
                      <w:tcPr>
                        <w:tcW w:w="1087" w:type="dxa"/>
                      </w:tcPr>
                      <w:p>
                        <w:pPr>
                          <w:pStyle w:val="TableParagraph"/>
                          <w:spacing w:before="192"/>
                          <w:ind w:right="426"/>
                          <w:jc w:val="right"/>
                          <w:rPr>
                            <w:rFonts w:ascii="Times New Roman"/>
                            <w:sz w:val="21"/>
                          </w:rPr>
                        </w:pPr>
                        <w:r>
                          <w:rPr>
                            <w:rFonts w:ascii="Times New Roman"/>
                            <w:sz w:val="21"/>
                          </w:rPr>
                          <w:t>75</w:t>
                        </w:r>
                      </w:p>
                    </w:tc>
                    <w:tc>
                      <w:tcPr>
                        <w:tcW w:w="1013" w:type="dxa"/>
                      </w:tcPr>
                      <w:p>
                        <w:pPr>
                          <w:pStyle w:val="TableParagraph"/>
                          <w:spacing w:before="192"/>
                          <w:ind w:left="249" w:right="238"/>
                          <w:jc w:val="center"/>
                          <w:rPr>
                            <w:rFonts w:ascii="Times New Roman"/>
                            <w:sz w:val="21"/>
                          </w:rPr>
                        </w:pPr>
                        <w:r>
                          <w:rPr>
                            <w:rFonts w:ascii="Times New Roman"/>
                            <w:sz w:val="21"/>
                          </w:rPr>
                          <w:t>256</w:t>
                        </w:r>
                      </w:p>
                    </w:tc>
                    <w:tc>
                      <w:tcPr>
                        <w:tcW w:w="775" w:type="dxa"/>
                      </w:tcPr>
                      <w:p>
                        <w:pPr>
                          <w:pStyle w:val="TableParagraph"/>
                          <w:spacing w:before="192"/>
                          <w:ind w:left="130" w:right="121"/>
                          <w:jc w:val="center"/>
                          <w:rPr>
                            <w:rFonts w:ascii="Times New Roman"/>
                            <w:sz w:val="21"/>
                          </w:rPr>
                        </w:pPr>
                        <w:r>
                          <w:rPr>
                            <w:rFonts w:ascii="Times New Roman"/>
                            <w:sz w:val="21"/>
                          </w:rPr>
                          <w:t>1.56</w:t>
                        </w:r>
                      </w:p>
                    </w:tc>
                    <w:tc>
                      <w:tcPr>
                        <w:tcW w:w="875" w:type="dxa"/>
                      </w:tcPr>
                      <w:p>
                        <w:pPr>
                          <w:pStyle w:val="TableParagraph"/>
                          <w:spacing w:before="192"/>
                          <w:ind w:left="233" w:right="223"/>
                          <w:jc w:val="center"/>
                          <w:rPr>
                            <w:rFonts w:ascii="Times New Roman"/>
                            <w:sz w:val="21"/>
                          </w:rPr>
                        </w:pPr>
                        <w:r>
                          <w:rPr>
                            <w:rFonts w:ascii="Times New Roman"/>
                            <w:sz w:val="21"/>
                          </w:rPr>
                          <w:t>21.4</w:t>
                        </w:r>
                      </w:p>
                    </w:tc>
                    <w:tc>
                      <w:tcPr>
                        <w:tcW w:w="882" w:type="dxa"/>
                      </w:tcPr>
                      <w:p>
                        <w:pPr>
                          <w:pStyle w:val="TableParagraph"/>
                          <w:spacing w:before="178"/>
                          <w:ind w:left="104" w:right="98"/>
                          <w:jc w:val="center"/>
                          <w:rPr>
                            <w:sz w:val="21"/>
                          </w:rPr>
                        </w:pPr>
                        <w:r>
                          <w:rPr>
                            <w:sz w:val="21"/>
                          </w:rPr>
                          <w:t>不达标</w:t>
                        </w:r>
                      </w:p>
                    </w:tc>
                  </w:tr>
                  <w:tr>
                    <w:tblPrEx>
                      <w:tblW w:w="0" w:type="auto"/>
                      <w:tblInd w:w="5" w:type="dxa"/>
                      <w:tblLayout w:type="fixed"/>
                      <w:tblCellMar>
                        <w:top w:w="0" w:type="dxa"/>
                        <w:left w:w="0" w:type="dxa"/>
                        <w:bottom w:w="0" w:type="dxa"/>
                        <w:right w:w="0" w:type="dxa"/>
                      </w:tblCellMar>
                    </w:tblPrEx>
                    <w:trPr>
                      <w:trHeight w:val="623"/>
                    </w:trPr>
                    <w:tc>
                      <w:tcPr>
                        <w:tcW w:w="1012" w:type="dxa"/>
                      </w:tcPr>
                      <w:p>
                        <w:pPr>
                          <w:pStyle w:val="TableParagraph"/>
                          <w:spacing w:before="35"/>
                          <w:ind w:left="14" w:right="8"/>
                          <w:jc w:val="center"/>
                          <w:rPr>
                            <w:rFonts w:ascii="Times New Roman"/>
                            <w:sz w:val="21"/>
                          </w:rPr>
                        </w:pPr>
                        <w:r>
                          <w:rPr>
                            <w:rFonts w:ascii="Times New Roman"/>
                            <w:sz w:val="21"/>
                          </w:rPr>
                          <w:t>CO</w:t>
                        </w:r>
                      </w:p>
                      <w:p>
                        <w:pPr>
                          <w:pStyle w:val="TableParagraph"/>
                          <w:spacing w:before="57"/>
                          <w:ind w:left="88" w:right="8"/>
                          <w:jc w:val="center"/>
                          <w:rPr>
                            <w:sz w:val="18"/>
                          </w:rPr>
                        </w:pPr>
                        <w:r>
                          <w:rPr>
                            <w:sz w:val="21"/>
                          </w:rPr>
                          <w:t>（</w:t>
                        </w:r>
                        <w:r>
                          <w:rPr>
                            <w:rFonts w:ascii="Times New Roman" w:eastAsia="Times New Roman"/>
                            <w:sz w:val="18"/>
                          </w:rPr>
                          <w:t>mg/m</w:t>
                        </w:r>
                        <w:r>
                          <w:rPr>
                            <w:rFonts w:ascii="Times New Roman" w:eastAsia="Times New Roman"/>
                            <w:position w:val="6"/>
                            <w:sz w:val="11"/>
                          </w:rPr>
                          <w:t>3</w:t>
                        </w:r>
                        <w:r>
                          <w:rPr>
                            <w:sz w:val="18"/>
                          </w:rPr>
                          <w:t>）</w:t>
                        </w:r>
                      </w:p>
                    </w:tc>
                    <w:tc>
                      <w:tcPr>
                        <w:tcW w:w="1525" w:type="dxa"/>
                      </w:tcPr>
                      <w:p>
                        <w:pPr>
                          <w:pStyle w:val="TableParagraph"/>
                          <w:spacing w:before="21"/>
                          <w:ind w:left="107"/>
                          <w:rPr>
                            <w:sz w:val="21"/>
                          </w:rPr>
                        </w:pPr>
                        <w:r>
                          <w:rPr>
                            <w:rFonts w:ascii="Times New Roman" w:eastAsia="Times New Roman"/>
                            <w:sz w:val="21"/>
                          </w:rPr>
                          <w:t xml:space="preserve">24 </w:t>
                        </w:r>
                        <w:r>
                          <w:rPr>
                            <w:sz w:val="21"/>
                          </w:rPr>
                          <w:t>小时平均第</w:t>
                        </w:r>
                      </w:p>
                      <w:p>
                        <w:pPr>
                          <w:pStyle w:val="TableParagraph"/>
                          <w:spacing w:before="43"/>
                          <w:ind w:left="210"/>
                          <w:rPr>
                            <w:sz w:val="21"/>
                          </w:rPr>
                        </w:pPr>
                        <w:r>
                          <w:rPr>
                            <w:rFonts w:ascii="Times New Roman" w:eastAsia="Times New Roman"/>
                            <w:sz w:val="21"/>
                          </w:rPr>
                          <w:t xml:space="preserve">95 </w:t>
                        </w:r>
                        <w:r>
                          <w:rPr>
                            <w:sz w:val="21"/>
                          </w:rPr>
                          <w:t>百分位数</w:t>
                        </w:r>
                      </w:p>
                    </w:tc>
                    <w:tc>
                      <w:tcPr>
                        <w:tcW w:w="1188" w:type="dxa"/>
                      </w:tcPr>
                      <w:p>
                        <w:pPr>
                          <w:pStyle w:val="TableParagraph"/>
                          <w:spacing w:before="191"/>
                          <w:ind w:left="8"/>
                          <w:jc w:val="center"/>
                          <w:rPr>
                            <w:rFonts w:ascii="Times New Roman"/>
                            <w:sz w:val="21"/>
                          </w:rPr>
                        </w:pPr>
                        <w:r>
                          <w:rPr>
                            <w:rFonts w:ascii="Times New Roman"/>
                            <w:w w:val="99"/>
                            <w:sz w:val="21"/>
                          </w:rPr>
                          <w:t>2</w:t>
                        </w:r>
                      </w:p>
                    </w:tc>
                    <w:tc>
                      <w:tcPr>
                        <w:tcW w:w="1087" w:type="dxa"/>
                      </w:tcPr>
                      <w:p>
                        <w:pPr>
                          <w:pStyle w:val="TableParagraph"/>
                          <w:spacing w:before="191"/>
                          <w:ind w:right="479"/>
                          <w:jc w:val="right"/>
                          <w:rPr>
                            <w:rFonts w:ascii="Times New Roman"/>
                            <w:sz w:val="21"/>
                          </w:rPr>
                        </w:pPr>
                        <w:r>
                          <w:rPr>
                            <w:rFonts w:ascii="Times New Roman"/>
                            <w:w w:val="99"/>
                            <w:sz w:val="21"/>
                          </w:rPr>
                          <w:t>4</w:t>
                        </w:r>
                      </w:p>
                    </w:tc>
                    <w:tc>
                      <w:tcPr>
                        <w:tcW w:w="1013" w:type="dxa"/>
                      </w:tcPr>
                      <w:p>
                        <w:pPr>
                          <w:pStyle w:val="TableParagraph"/>
                          <w:spacing w:before="191"/>
                          <w:ind w:left="246" w:right="240"/>
                          <w:jc w:val="center"/>
                          <w:rPr>
                            <w:rFonts w:ascii="Times New Roman"/>
                            <w:sz w:val="21"/>
                          </w:rPr>
                        </w:pPr>
                        <w:r>
                          <w:rPr>
                            <w:rFonts w:ascii="Times New Roman"/>
                            <w:sz w:val="21"/>
                          </w:rPr>
                          <w:t>50</w:t>
                        </w:r>
                      </w:p>
                    </w:tc>
                    <w:tc>
                      <w:tcPr>
                        <w:tcW w:w="775" w:type="dxa"/>
                      </w:tcPr>
                      <w:p>
                        <w:pPr>
                          <w:pStyle w:val="TableParagraph"/>
                          <w:spacing w:before="191"/>
                          <w:ind w:left="10"/>
                          <w:jc w:val="center"/>
                          <w:rPr>
                            <w:rFonts w:ascii="Times New Roman"/>
                            <w:sz w:val="21"/>
                          </w:rPr>
                        </w:pPr>
                        <w:r>
                          <w:rPr>
                            <w:rFonts w:ascii="Times New Roman"/>
                            <w:w w:val="99"/>
                            <w:sz w:val="21"/>
                          </w:rPr>
                          <w:t>/</w:t>
                        </w:r>
                      </w:p>
                    </w:tc>
                    <w:tc>
                      <w:tcPr>
                        <w:tcW w:w="875" w:type="dxa"/>
                      </w:tcPr>
                      <w:p>
                        <w:pPr>
                          <w:pStyle w:val="TableParagraph"/>
                          <w:spacing w:before="191"/>
                          <w:ind w:left="10"/>
                          <w:jc w:val="center"/>
                          <w:rPr>
                            <w:rFonts w:ascii="Times New Roman"/>
                            <w:sz w:val="21"/>
                          </w:rPr>
                        </w:pPr>
                        <w:r>
                          <w:rPr>
                            <w:rFonts w:ascii="Times New Roman"/>
                            <w:w w:val="99"/>
                            <w:sz w:val="21"/>
                          </w:rPr>
                          <w:t>0</w:t>
                        </w:r>
                      </w:p>
                    </w:tc>
                    <w:tc>
                      <w:tcPr>
                        <w:tcW w:w="882" w:type="dxa"/>
                      </w:tcPr>
                      <w:p>
                        <w:pPr>
                          <w:pStyle w:val="TableParagraph"/>
                          <w:spacing w:before="177"/>
                          <w:ind w:left="104" w:right="98"/>
                          <w:jc w:val="center"/>
                          <w:rPr>
                            <w:sz w:val="21"/>
                          </w:rPr>
                        </w:pPr>
                        <w:r>
                          <w:rPr>
                            <w:sz w:val="21"/>
                          </w:rPr>
                          <w:t>达标</w:t>
                        </w:r>
                      </w:p>
                    </w:tc>
                  </w:tr>
                  <w:tr>
                    <w:tblPrEx>
                      <w:tblW w:w="0" w:type="auto"/>
                      <w:tblInd w:w="5" w:type="dxa"/>
                      <w:tblLayout w:type="fixed"/>
                      <w:tblCellMar>
                        <w:top w:w="0" w:type="dxa"/>
                        <w:left w:w="0" w:type="dxa"/>
                        <w:bottom w:w="0" w:type="dxa"/>
                        <w:right w:w="0" w:type="dxa"/>
                      </w:tblCellMar>
                    </w:tblPrEx>
                    <w:trPr>
                      <w:trHeight w:val="624"/>
                    </w:trPr>
                    <w:tc>
                      <w:tcPr>
                        <w:tcW w:w="1012" w:type="dxa"/>
                      </w:tcPr>
                      <w:p>
                        <w:pPr>
                          <w:pStyle w:val="TableParagraph"/>
                          <w:spacing w:before="188"/>
                          <w:ind w:left="15" w:right="8"/>
                          <w:jc w:val="center"/>
                          <w:rPr>
                            <w:rFonts w:ascii="Times New Roman"/>
                            <w:sz w:val="21"/>
                          </w:rPr>
                        </w:pPr>
                        <w:r>
                          <w:rPr>
                            <w:rFonts w:ascii="Times New Roman"/>
                            <w:position w:val="2"/>
                            <w:sz w:val="21"/>
                          </w:rPr>
                          <w:t>O</w:t>
                        </w:r>
                        <w:r>
                          <w:rPr>
                            <w:rFonts w:ascii="Times New Roman"/>
                            <w:position w:val="2"/>
                            <w:sz w:val="21"/>
                            <w:vertAlign w:val="subscript"/>
                          </w:rPr>
                          <w:t>2</w:t>
                        </w:r>
                      </w:p>
                    </w:tc>
                    <w:tc>
                      <w:tcPr>
                        <w:tcW w:w="1525" w:type="dxa"/>
                      </w:tcPr>
                      <w:p>
                        <w:pPr>
                          <w:pStyle w:val="TableParagraph"/>
                          <w:spacing w:before="21"/>
                          <w:ind w:left="158"/>
                          <w:rPr>
                            <w:sz w:val="21"/>
                          </w:rPr>
                        </w:pPr>
                        <w:r>
                          <w:rPr>
                            <w:rFonts w:ascii="Times New Roman" w:eastAsia="Times New Roman"/>
                            <w:sz w:val="21"/>
                          </w:rPr>
                          <w:t xml:space="preserve">8 </w:t>
                        </w:r>
                        <w:r>
                          <w:rPr>
                            <w:sz w:val="21"/>
                          </w:rPr>
                          <w:t>小时平均第</w:t>
                        </w:r>
                      </w:p>
                      <w:p>
                        <w:pPr>
                          <w:pStyle w:val="TableParagraph"/>
                          <w:spacing w:before="43"/>
                          <w:ind w:left="210"/>
                          <w:rPr>
                            <w:sz w:val="21"/>
                          </w:rPr>
                        </w:pPr>
                        <w:r>
                          <w:rPr>
                            <w:rFonts w:ascii="Times New Roman" w:eastAsia="Times New Roman"/>
                            <w:sz w:val="21"/>
                          </w:rPr>
                          <w:t xml:space="preserve">90 </w:t>
                        </w:r>
                        <w:r>
                          <w:rPr>
                            <w:sz w:val="21"/>
                          </w:rPr>
                          <w:t>百分位数</w:t>
                        </w:r>
                      </w:p>
                    </w:tc>
                    <w:tc>
                      <w:tcPr>
                        <w:tcW w:w="1188" w:type="dxa"/>
                      </w:tcPr>
                      <w:p>
                        <w:pPr>
                          <w:pStyle w:val="TableParagraph"/>
                          <w:spacing w:before="191"/>
                          <w:ind w:left="389" w:right="381"/>
                          <w:jc w:val="center"/>
                          <w:rPr>
                            <w:rFonts w:ascii="Times New Roman"/>
                            <w:sz w:val="21"/>
                          </w:rPr>
                        </w:pPr>
                        <w:r>
                          <w:rPr>
                            <w:rFonts w:ascii="Times New Roman"/>
                            <w:sz w:val="21"/>
                          </w:rPr>
                          <w:t>212</w:t>
                        </w:r>
                      </w:p>
                    </w:tc>
                    <w:tc>
                      <w:tcPr>
                        <w:tcW w:w="1087" w:type="dxa"/>
                      </w:tcPr>
                      <w:p>
                        <w:pPr>
                          <w:pStyle w:val="TableParagraph"/>
                          <w:spacing w:before="191"/>
                          <w:ind w:right="374"/>
                          <w:jc w:val="right"/>
                          <w:rPr>
                            <w:rFonts w:ascii="Times New Roman"/>
                            <w:sz w:val="21"/>
                          </w:rPr>
                        </w:pPr>
                        <w:r>
                          <w:rPr>
                            <w:rFonts w:ascii="Times New Roman"/>
                            <w:sz w:val="21"/>
                          </w:rPr>
                          <w:t>160</w:t>
                        </w:r>
                      </w:p>
                    </w:tc>
                    <w:tc>
                      <w:tcPr>
                        <w:tcW w:w="1013" w:type="dxa"/>
                      </w:tcPr>
                      <w:p>
                        <w:pPr>
                          <w:pStyle w:val="TableParagraph"/>
                          <w:spacing w:before="191"/>
                          <w:ind w:left="249" w:right="240"/>
                          <w:jc w:val="center"/>
                          <w:rPr>
                            <w:rFonts w:ascii="Times New Roman"/>
                            <w:sz w:val="21"/>
                          </w:rPr>
                        </w:pPr>
                        <w:r>
                          <w:rPr>
                            <w:rFonts w:ascii="Times New Roman"/>
                            <w:sz w:val="21"/>
                          </w:rPr>
                          <w:t>132.5</w:t>
                        </w:r>
                      </w:p>
                    </w:tc>
                    <w:tc>
                      <w:tcPr>
                        <w:tcW w:w="775" w:type="dxa"/>
                      </w:tcPr>
                      <w:p>
                        <w:pPr>
                          <w:pStyle w:val="TableParagraph"/>
                          <w:spacing w:before="191"/>
                          <w:ind w:left="10"/>
                          <w:jc w:val="center"/>
                          <w:rPr>
                            <w:rFonts w:ascii="Times New Roman"/>
                            <w:sz w:val="21"/>
                          </w:rPr>
                        </w:pPr>
                        <w:r>
                          <w:rPr>
                            <w:rFonts w:ascii="Times New Roman"/>
                            <w:w w:val="99"/>
                            <w:sz w:val="21"/>
                          </w:rPr>
                          <w:t>/</w:t>
                        </w:r>
                      </w:p>
                    </w:tc>
                    <w:tc>
                      <w:tcPr>
                        <w:tcW w:w="875" w:type="dxa"/>
                      </w:tcPr>
                      <w:p>
                        <w:pPr>
                          <w:pStyle w:val="TableParagraph"/>
                          <w:spacing w:before="191"/>
                          <w:ind w:left="233" w:right="223"/>
                          <w:jc w:val="center"/>
                          <w:rPr>
                            <w:rFonts w:ascii="Times New Roman"/>
                            <w:sz w:val="21"/>
                          </w:rPr>
                        </w:pPr>
                        <w:r>
                          <w:rPr>
                            <w:rFonts w:ascii="Times New Roman"/>
                            <w:sz w:val="21"/>
                          </w:rPr>
                          <w:t>13.5</w:t>
                        </w:r>
                      </w:p>
                    </w:tc>
                    <w:tc>
                      <w:tcPr>
                        <w:tcW w:w="882" w:type="dxa"/>
                      </w:tcPr>
                      <w:p>
                        <w:pPr>
                          <w:pStyle w:val="TableParagraph"/>
                          <w:spacing w:before="177"/>
                          <w:ind w:left="104" w:right="98"/>
                          <w:jc w:val="center"/>
                          <w:rPr>
                            <w:sz w:val="21"/>
                          </w:rPr>
                        </w:pPr>
                        <w:r>
                          <w:rPr>
                            <w:sz w:val="21"/>
                          </w:rPr>
                          <w:t>不达标</w:t>
                        </w:r>
                      </w:p>
                    </w:tc>
                  </w:tr>
                </w:tbl>
                <w:p>
                  <w:pPr>
                    <w:pStyle w:val="BodyText"/>
                  </w:pPr>
                </w:p>
              </w:txbxContent>
            </v:textbox>
          </v:shape>
        </w:pict>
      </w:r>
      <w:r>
        <w:t>三、区域环境质量现状、环境保护目标及评价标准</w:t>
      </w:r>
    </w:p>
    <w:p>
      <w:pPr>
        <w:pStyle w:val="BodyText"/>
        <w:spacing w:before="3"/>
        <w:rPr>
          <w:b/>
          <w:sz w:val="8"/>
        </w:rPr>
      </w:pPr>
    </w:p>
    <w:tbl>
      <w:tblPr>
        <w:tblStyle w:val="TableNormal"/>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5"/>
        <w:gridCol w:w="8527"/>
      </w:tblGrid>
      <w:tr>
        <w:tblPrEx>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89"/>
        </w:trPr>
        <w:tc>
          <w:tcPr>
            <w:tcW w:w="715" w:type="dxa"/>
            <w:tcBorders>
              <w:bottom w:val="nil"/>
            </w:tcBorders>
          </w:tcPr>
          <w:p>
            <w:pPr>
              <w:pStyle w:val="TableParagraph"/>
              <w:rPr>
                <w:rFonts w:ascii="Times New Roman"/>
                <w:sz w:val="22"/>
              </w:rPr>
            </w:pPr>
          </w:p>
        </w:tc>
        <w:tc>
          <w:tcPr>
            <w:tcW w:w="8527" w:type="dxa"/>
            <w:tcBorders>
              <w:bottom w:val="nil"/>
            </w:tcBorders>
          </w:tcPr>
          <w:p>
            <w:pPr>
              <w:pStyle w:val="TableParagraph"/>
              <w:spacing w:before="3"/>
              <w:ind w:left="587"/>
              <w:rPr>
                <w:b/>
                <w:sz w:val="24"/>
              </w:rPr>
            </w:pPr>
            <w:r>
              <w:rPr>
                <w:b/>
                <w:sz w:val="24"/>
              </w:rPr>
              <w:t>（一）环境功能概况</w:t>
            </w:r>
          </w:p>
        </w:tc>
      </w:tr>
      <w:tr>
        <w:tblPrEx>
          <w:tblW w:w="0" w:type="auto"/>
          <w:tblInd w:w="297" w:type="dxa"/>
          <w:tblLayout w:type="fixed"/>
          <w:tblCellMar>
            <w:top w:w="0" w:type="dxa"/>
            <w:left w:w="0" w:type="dxa"/>
            <w:bottom w:w="0" w:type="dxa"/>
            <w:right w:w="0" w:type="dxa"/>
          </w:tblCellMar>
        </w:tblPrEx>
        <w:trPr>
          <w:trHeight w:val="3311"/>
        </w:trPr>
        <w:tc>
          <w:tcPr>
            <w:tcW w:w="715" w:type="dxa"/>
            <w:tcBorders>
              <w:top w:val="nil"/>
              <w:bottom w:val="nil"/>
            </w:tcBorders>
          </w:tcPr>
          <w:p>
            <w:pPr>
              <w:pStyle w:val="TableParagraph"/>
              <w:rPr>
                <w:rFonts w:ascii="Times New Roman"/>
                <w:sz w:val="22"/>
              </w:rPr>
            </w:pPr>
          </w:p>
        </w:tc>
        <w:tc>
          <w:tcPr>
            <w:tcW w:w="8527" w:type="dxa"/>
            <w:tcBorders>
              <w:top w:val="nil"/>
              <w:bottom w:val="nil"/>
            </w:tcBorders>
          </w:tcPr>
          <w:p>
            <w:pPr>
              <w:pStyle w:val="TableParagraph"/>
              <w:spacing w:before="79"/>
              <w:ind w:left="98"/>
              <w:jc w:val="center"/>
              <w:rPr>
                <w:sz w:val="24"/>
              </w:rPr>
            </w:pPr>
            <w:r>
              <w:rPr>
                <w:sz w:val="24"/>
              </w:rPr>
              <w:t>建设项目处于环境空气二级标准适用区内，执行《环境空气质量标准》</w:t>
            </w:r>
          </w:p>
          <w:p>
            <w:pPr>
              <w:pStyle w:val="TableParagraph"/>
              <w:spacing w:before="158"/>
              <w:ind w:left="7"/>
              <w:jc w:val="center"/>
              <w:rPr>
                <w:sz w:val="24"/>
              </w:rPr>
            </w:pPr>
            <w:r>
              <w:rPr>
                <w:sz w:val="24"/>
              </w:rPr>
              <w:t>（</w:t>
            </w:r>
            <w:r>
              <w:rPr>
                <w:rFonts w:ascii="Times New Roman" w:eastAsia="Times New Roman"/>
                <w:sz w:val="24"/>
              </w:rPr>
              <w:t>GB3095-2012</w:t>
            </w:r>
            <w:r>
              <w:rPr>
                <w:sz w:val="24"/>
              </w:rPr>
              <w:t>）</w:t>
            </w:r>
            <w:r>
              <w:rPr>
                <w:spacing w:val="-5"/>
                <w:sz w:val="24"/>
              </w:rPr>
              <w:t xml:space="preserve">及其修改单二级标准；环境噪声处于 </w:t>
            </w:r>
            <w:r>
              <w:rPr>
                <w:rFonts w:ascii="Times New Roman" w:eastAsia="Times New Roman"/>
                <w:sz w:val="24"/>
              </w:rPr>
              <w:t>2</w:t>
            </w:r>
            <w:r>
              <w:rPr>
                <w:rFonts w:ascii="Times New Roman" w:eastAsia="Times New Roman"/>
                <w:spacing w:val="-5"/>
                <w:sz w:val="24"/>
              </w:rPr>
              <w:t xml:space="preserve"> </w:t>
            </w:r>
            <w:r>
              <w:rPr>
                <w:spacing w:val="-2"/>
                <w:sz w:val="24"/>
              </w:rPr>
              <w:t>类标准适用区内，执行</w:t>
            </w:r>
          </w:p>
          <w:p>
            <w:pPr>
              <w:pStyle w:val="TableParagraph"/>
              <w:spacing w:before="160"/>
              <w:ind w:left="107"/>
              <w:rPr>
                <w:sz w:val="24"/>
              </w:rPr>
            </w:pPr>
            <w:r>
              <w:rPr>
                <w:sz w:val="24"/>
              </w:rPr>
              <w:t>《声环境质量标准》（</w:t>
            </w:r>
            <w:r>
              <w:rPr>
                <w:rFonts w:ascii="Times New Roman" w:eastAsia="Times New Roman"/>
                <w:sz w:val="24"/>
              </w:rPr>
              <w:t>GB3096-2008</w:t>
            </w:r>
            <w:r>
              <w:rPr>
                <w:sz w:val="24"/>
              </w:rPr>
              <w:t>）</w:t>
            </w:r>
            <w:r>
              <w:rPr>
                <w:rFonts w:ascii="Times New Roman" w:eastAsia="Times New Roman"/>
                <w:sz w:val="24"/>
              </w:rPr>
              <w:t>2</w:t>
            </w:r>
            <w:r>
              <w:rPr>
                <w:rFonts w:ascii="Times New Roman" w:eastAsia="Times New Roman"/>
                <w:spacing w:val="-2"/>
                <w:sz w:val="24"/>
              </w:rPr>
              <w:t xml:space="preserve"> </w:t>
            </w:r>
            <w:r>
              <w:rPr>
                <w:sz w:val="24"/>
              </w:rPr>
              <w:t>类；地表水体为漳卫新河，地表水执行</w:t>
            </w:r>
          </w:p>
          <w:p>
            <w:pPr>
              <w:pStyle w:val="TableParagraph"/>
              <w:spacing w:before="158" w:line="364" w:lineRule="auto"/>
              <w:ind w:left="107" w:right="141"/>
              <w:rPr>
                <w:sz w:val="24"/>
              </w:rPr>
            </w:pPr>
            <w:r>
              <w:rPr>
                <w:sz w:val="24"/>
              </w:rPr>
              <w:t>《地表水环境质量标准》（</w:t>
            </w:r>
            <w:r>
              <w:rPr>
                <w:rFonts w:ascii="Times New Roman" w:eastAsia="Times New Roman" w:hAnsi="Times New Roman"/>
                <w:sz w:val="24"/>
              </w:rPr>
              <w:t>GB3838-2002</w:t>
            </w:r>
            <w:r>
              <w:rPr>
                <w:sz w:val="24"/>
              </w:rPr>
              <w:t>）</w:t>
            </w:r>
            <w:r>
              <w:rPr>
                <w:rFonts w:ascii="Times New Roman" w:eastAsia="Times New Roman" w:hAnsi="Times New Roman"/>
                <w:sz w:val="24"/>
              </w:rPr>
              <w:t>Ⅴ</w:t>
            </w:r>
            <w:r>
              <w:rPr>
                <w:sz w:val="24"/>
              </w:rPr>
              <w:t>类标准；地下水执行《地下水质量标准》（</w:t>
            </w:r>
            <w:r>
              <w:rPr>
                <w:rFonts w:ascii="Times New Roman" w:eastAsia="Times New Roman" w:hAnsi="Times New Roman"/>
                <w:sz w:val="24"/>
              </w:rPr>
              <w:t>GB/T14848-2017</w:t>
            </w:r>
            <w:r>
              <w:rPr>
                <w:sz w:val="24"/>
              </w:rPr>
              <w:t>）Ⅲ类标准。</w:t>
            </w:r>
          </w:p>
          <w:p>
            <w:pPr>
              <w:pStyle w:val="TableParagraph"/>
              <w:spacing w:before="2"/>
              <w:ind w:left="587"/>
              <w:rPr>
                <w:b/>
                <w:sz w:val="24"/>
              </w:rPr>
            </w:pPr>
            <w:r>
              <w:rPr>
                <w:b/>
                <w:sz w:val="24"/>
              </w:rPr>
              <w:t>（二）环境空气质量现状</w:t>
            </w:r>
          </w:p>
          <w:p>
            <w:pPr>
              <w:pStyle w:val="TableParagraph"/>
              <w:spacing w:before="158"/>
              <w:ind w:left="587"/>
              <w:rPr>
                <w:sz w:val="24"/>
              </w:rPr>
            </w:pPr>
            <w:r>
              <w:rPr>
                <w:rFonts w:ascii="Times New Roman" w:eastAsia="Times New Roman"/>
                <w:sz w:val="24"/>
              </w:rPr>
              <w:t>1</w:t>
            </w:r>
            <w:r>
              <w:rPr>
                <w:sz w:val="24"/>
              </w:rPr>
              <w:t>、环境空气</w:t>
            </w:r>
          </w:p>
        </w:tc>
      </w:tr>
      <w:tr>
        <w:tblPrEx>
          <w:tblW w:w="0" w:type="auto"/>
          <w:tblInd w:w="297" w:type="dxa"/>
          <w:tblLayout w:type="fixed"/>
          <w:tblCellMar>
            <w:top w:w="0" w:type="dxa"/>
            <w:left w:w="0" w:type="dxa"/>
            <w:bottom w:w="0" w:type="dxa"/>
            <w:right w:w="0" w:type="dxa"/>
          </w:tblCellMar>
        </w:tblPrEx>
        <w:trPr>
          <w:trHeight w:val="1913"/>
        </w:trPr>
        <w:tc>
          <w:tcPr>
            <w:tcW w:w="715" w:type="dxa"/>
            <w:tcBorders>
              <w:top w:val="nil"/>
              <w:bottom w:val="nil"/>
            </w:tcBorders>
          </w:tcPr>
          <w:p>
            <w:pPr>
              <w:pStyle w:val="TableParagraph"/>
              <w:rPr>
                <w:rFonts w:ascii="Times New Roman"/>
                <w:sz w:val="22"/>
              </w:rPr>
            </w:pPr>
          </w:p>
        </w:tc>
        <w:tc>
          <w:tcPr>
            <w:tcW w:w="8527" w:type="dxa"/>
            <w:tcBorders>
              <w:top w:val="nil"/>
              <w:bottom w:val="nil"/>
            </w:tcBorders>
          </w:tcPr>
          <w:p>
            <w:pPr>
              <w:pStyle w:val="TableParagraph"/>
              <w:spacing w:before="115"/>
              <w:ind w:left="587"/>
              <w:rPr>
                <w:sz w:val="24"/>
              </w:rPr>
            </w:pPr>
            <w:r>
              <w:rPr>
                <w:sz w:val="24"/>
              </w:rPr>
              <w:t>（</w:t>
            </w:r>
            <w:r>
              <w:rPr>
                <w:rFonts w:ascii="Times New Roman" w:eastAsia="Times New Roman"/>
                <w:sz w:val="24"/>
              </w:rPr>
              <w:t>1</w:t>
            </w:r>
            <w:r>
              <w:rPr>
                <w:sz w:val="24"/>
              </w:rPr>
              <w:t>）常规污染物</w:t>
            </w:r>
          </w:p>
          <w:p>
            <w:pPr>
              <w:pStyle w:val="TableParagraph"/>
              <w:spacing w:before="161"/>
              <w:ind w:left="587" w:right="-29"/>
              <w:rPr>
                <w:sz w:val="24"/>
              </w:rPr>
            </w:pPr>
            <w:r>
              <w:rPr>
                <w:spacing w:val="-10"/>
                <w:sz w:val="24"/>
              </w:rPr>
              <w:t xml:space="preserve">本次环评以 </w:t>
            </w:r>
            <w:r>
              <w:rPr>
                <w:rFonts w:ascii="Times New Roman" w:eastAsia="Times New Roman"/>
                <w:sz w:val="24"/>
              </w:rPr>
              <w:t xml:space="preserve">2020 </w:t>
            </w:r>
            <w:r>
              <w:rPr>
                <w:spacing w:val="-9"/>
                <w:sz w:val="24"/>
              </w:rPr>
              <w:t>年为基准年，宁津县城市环境空气自动监控点位</w:t>
            </w:r>
            <w:r>
              <w:rPr>
                <w:sz w:val="24"/>
              </w:rPr>
              <w:t>（康宁湖</w:t>
            </w:r>
            <w:r>
              <w:rPr>
                <w:spacing w:val="-11"/>
                <w:sz w:val="24"/>
              </w:rPr>
              <w:t>）</w:t>
            </w:r>
          </w:p>
          <w:p>
            <w:pPr>
              <w:pStyle w:val="TableParagraph"/>
              <w:spacing w:before="160"/>
              <w:ind w:left="107"/>
              <w:rPr>
                <w:sz w:val="24"/>
              </w:rPr>
            </w:pPr>
            <w:r>
              <w:rPr>
                <w:rFonts w:ascii="Times New Roman" w:eastAsia="Times New Roman"/>
                <w:sz w:val="24"/>
              </w:rPr>
              <w:t xml:space="preserve">2020 </w:t>
            </w:r>
            <w:r>
              <w:rPr>
                <w:sz w:val="24"/>
              </w:rPr>
              <w:t xml:space="preserve">年 </w:t>
            </w:r>
            <w:r>
              <w:rPr>
                <w:rFonts w:ascii="Times New Roman" w:eastAsia="Times New Roman"/>
                <w:sz w:val="24"/>
              </w:rPr>
              <w:t xml:space="preserve">1~12 </w:t>
            </w:r>
            <w:r>
              <w:rPr>
                <w:sz w:val="24"/>
              </w:rPr>
              <w:t>月在线数据见下表。</w:t>
            </w:r>
          </w:p>
          <w:p>
            <w:pPr>
              <w:pStyle w:val="TableParagraph"/>
              <w:tabs>
                <w:tab w:val="left" w:pos="1545"/>
              </w:tabs>
              <w:spacing w:before="168"/>
              <w:ind w:left="686"/>
              <w:rPr>
                <w:b/>
                <w:sz w:val="24"/>
              </w:rPr>
            </w:pPr>
            <w:r>
              <w:rPr>
                <w:b/>
                <w:sz w:val="24"/>
              </w:rPr>
              <w:t>表</w:t>
            </w:r>
            <w:r>
              <w:rPr>
                <w:b/>
                <w:spacing w:val="-62"/>
                <w:sz w:val="24"/>
              </w:rPr>
              <w:t xml:space="preserve"> </w:t>
            </w:r>
            <w:r>
              <w:rPr>
                <w:rFonts w:ascii="Times New Roman" w:eastAsia="Times New Roman"/>
                <w:b/>
                <w:sz w:val="24"/>
              </w:rPr>
              <w:t>3-1</w:t>
            </w:r>
            <w:r>
              <w:rPr>
                <w:rFonts w:ascii="Times New Roman" w:eastAsia="Times New Roman"/>
                <w:b/>
                <w:sz w:val="24"/>
              </w:rPr>
              <w:tab/>
            </w:r>
            <w:r>
              <w:rPr>
                <w:b/>
                <w:sz w:val="24"/>
              </w:rPr>
              <w:t>宁津康宁湖自动监</w:t>
            </w:r>
            <w:r>
              <w:rPr>
                <w:b/>
                <w:spacing w:val="-5"/>
                <w:sz w:val="24"/>
              </w:rPr>
              <w:t>控</w:t>
            </w:r>
            <w:r>
              <w:rPr>
                <w:b/>
                <w:sz w:val="24"/>
              </w:rPr>
              <w:t>点</w:t>
            </w:r>
            <w:r>
              <w:rPr>
                <w:b/>
                <w:spacing w:val="9"/>
                <w:sz w:val="24"/>
              </w:rPr>
              <w:t>位</w:t>
            </w:r>
            <w:r>
              <w:rPr>
                <w:rFonts w:ascii="Times New Roman" w:eastAsia="Times New Roman"/>
                <w:b/>
                <w:sz w:val="24"/>
              </w:rPr>
              <w:t>2020</w:t>
            </w:r>
            <w:r>
              <w:rPr>
                <w:rFonts w:ascii="Times New Roman" w:eastAsia="Times New Roman"/>
                <w:b/>
                <w:spacing w:val="-1"/>
                <w:sz w:val="24"/>
              </w:rPr>
              <w:t xml:space="preserve"> </w:t>
            </w:r>
            <w:r>
              <w:rPr>
                <w:b/>
                <w:sz w:val="24"/>
              </w:rPr>
              <w:t>年环境空气质量监</w:t>
            </w:r>
            <w:r>
              <w:rPr>
                <w:b/>
                <w:spacing w:val="-5"/>
                <w:sz w:val="24"/>
              </w:rPr>
              <w:t>测</w:t>
            </w:r>
            <w:r>
              <w:rPr>
                <w:b/>
                <w:sz w:val="24"/>
              </w:rPr>
              <w:t>值一览表</w:t>
            </w:r>
          </w:p>
        </w:tc>
      </w:tr>
      <w:tr>
        <w:tblPrEx>
          <w:tblW w:w="0" w:type="auto"/>
          <w:tblInd w:w="297" w:type="dxa"/>
          <w:tblLayout w:type="fixed"/>
          <w:tblCellMar>
            <w:top w:w="0" w:type="dxa"/>
            <w:left w:w="0" w:type="dxa"/>
            <w:bottom w:w="0" w:type="dxa"/>
            <w:right w:w="0" w:type="dxa"/>
          </w:tblCellMar>
        </w:tblPrEx>
        <w:trPr>
          <w:trHeight w:val="450"/>
        </w:trPr>
        <w:tc>
          <w:tcPr>
            <w:tcW w:w="715" w:type="dxa"/>
            <w:tcBorders>
              <w:top w:val="nil"/>
              <w:bottom w:val="nil"/>
            </w:tcBorders>
          </w:tcPr>
          <w:p>
            <w:pPr>
              <w:pStyle w:val="TableParagraph"/>
              <w:spacing w:before="62"/>
              <w:ind w:left="117"/>
              <w:rPr>
                <w:b/>
                <w:sz w:val="24"/>
              </w:rPr>
            </w:pPr>
            <w:r>
              <w:rPr>
                <w:b/>
                <w:sz w:val="24"/>
              </w:rPr>
              <w:t>区域</w:t>
            </w:r>
          </w:p>
        </w:tc>
        <w:tc>
          <w:tcPr>
            <w:tcW w:w="8527" w:type="dxa"/>
            <w:tcBorders>
              <w:top w:val="nil"/>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467"/>
        </w:trPr>
        <w:tc>
          <w:tcPr>
            <w:tcW w:w="715" w:type="dxa"/>
            <w:tcBorders>
              <w:top w:val="nil"/>
              <w:bottom w:val="nil"/>
            </w:tcBorders>
          </w:tcPr>
          <w:p>
            <w:pPr>
              <w:pStyle w:val="TableParagraph"/>
              <w:spacing w:before="80"/>
              <w:ind w:left="117"/>
              <w:rPr>
                <w:b/>
                <w:sz w:val="24"/>
              </w:rPr>
            </w:pPr>
            <w:r>
              <w:rPr>
                <w:b/>
                <w:sz w:val="24"/>
              </w:rPr>
              <w:t>环境</w:t>
            </w:r>
          </w:p>
        </w:tc>
        <w:tc>
          <w:tcPr>
            <w:tcW w:w="8527" w:type="dxa"/>
            <w:tcBorders>
              <w:top w:val="nil"/>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467"/>
        </w:trPr>
        <w:tc>
          <w:tcPr>
            <w:tcW w:w="715" w:type="dxa"/>
            <w:tcBorders>
              <w:top w:val="nil"/>
              <w:bottom w:val="nil"/>
            </w:tcBorders>
          </w:tcPr>
          <w:p>
            <w:pPr>
              <w:pStyle w:val="TableParagraph"/>
              <w:spacing w:before="80"/>
              <w:ind w:left="117"/>
              <w:rPr>
                <w:b/>
                <w:sz w:val="24"/>
              </w:rPr>
            </w:pPr>
            <w:r>
              <w:rPr>
                <w:b/>
                <w:sz w:val="24"/>
              </w:rPr>
              <w:t>质量</w:t>
            </w:r>
          </w:p>
        </w:tc>
        <w:tc>
          <w:tcPr>
            <w:tcW w:w="8527" w:type="dxa"/>
            <w:tcBorders>
              <w:top w:val="nil"/>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2988"/>
        </w:trPr>
        <w:tc>
          <w:tcPr>
            <w:tcW w:w="715" w:type="dxa"/>
            <w:tcBorders>
              <w:top w:val="nil"/>
              <w:bottom w:val="nil"/>
            </w:tcBorders>
          </w:tcPr>
          <w:p>
            <w:pPr>
              <w:pStyle w:val="TableParagraph"/>
              <w:spacing w:before="80"/>
              <w:ind w:left="117"/>
              <w:rPr>
                <w:b/>
                <w:sz w:val="24"/>
              </w:rPr>
            </w:pPr>
            <w:r>
              <w:rPr>
                <w:b/>
                <w:sz w:val="24"/>
              </w:rPr>
              <w:t>现状</w:t>
            </w:r>
          </w:p>
        </w:tc>
        <w:tc>
          <w:tcPr>
            <w:tcW w:w="8527" w:type="dxa"/>
            <w:tcBorders>
              <w:top w:val="nil"/>
              <w:bottom w:val="nil"/>
            </w:tcBorders>
          </w:tcPr>
          <w:p>
            <w:pPr>
              <w:pStyle w:val="TableParagraph"/>
              <w:rPr>
                <w:rFonts w:ascii="Times New Roman"/>
                <w:sz w:val="22"/>
              </w:rPr>
            </w:pPr>
          </w:p>
        </w:tc>
      </w:tr>
      <w:tr>
        <w:tblPrEx>
          <w:tblW w:w="0" w:type="auto"/>
          <w:tblInd w:w="297" w:type="dxa"/>
          <w:tblLayout w:type="fixed"/>
          <w:tblCellMar>
            <w:top w:w="0" w:type="dxa"/>
            <w:left w:w="0" w:type="dxa"/>
            <w:bottom w:w="0" w:type="dxa"/>
            <w:right w:w="0" w:type="dxa"/>
          </w:tblCellMar>
        </w:tblPrEx>
        <w:trPr>
          <w:trHeight w:val="3073"/>
        </w:trPr>
        <w:tc>
          <w:tcPr>
            <w:tcW w:w="715" w:type="dxa"/>
            <w:tcBorders>
              <w:top w:val="nil"/>
            </w:tcBorders>
          </w:tcPr>
          <w:p>
            <w:pPr>
              <w:pStyle w:val="TableParagraph"/>
              <w:rPr>
                <w:rFonts w:ascii="Times New Roman"/>
                <w:sz w:val="22"/>
              </w:rPr>
            </w:pPr>
          </w:p>
        </w:tc>
        <w:tc>
          <w:tcPr>
            <w:tcW w:w="8527" w:type="dxa"/>
            <w:tcBorders>
              <w:top w:val="nil"/>
            </w:tcBorders>
          </w:tcPr>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rPr>
                <w:b/>
                <w:sz w:val="26"/>
              </w:rPr>
            </w:pPr>
          </w:p>
          <w:p>
            <w:pPr>
              <w:pStyle w:val="TableParagraph"/>
              <w:spacing w:before="7"/>
              <w:rPr>
                <w:b/>
                <w:sz w:val="21"/>
              </w:rPr>
            </w:pPr>
          </w:p>
          <w:p>
            <w:pPr>
              <w:pStyle w:val="TableParagraph"/>
              <w:ind w:left="587" w:right="-29"/>
              <w:rPr>
                <w:sz w:val="24"/>
              </w:rPr>
            </w:pPr>
            <w:r>
              <w:rPr>
                <w:spacing w:val="-4"/>
                <w:position w:val="2"/>
                <w:sz w:val="24"/>
              </w:rPr>
              <w:t xml:space="preserve">根据监测数据，项目所在区域 </w:t>
            </w:r>
            <w:r>
              <w:rPr>
                <w:rFonts w:ascii="Times New Roman" w:eastAsia="Times New Roman"/>
                <w:position w:val="2"/>
                <w:sz w:val="24"/>
              </w:rPr>
              <w:t>SO</w:t>
            </w:r>
            <w:r>
              <w:rPr>
                <w:rFonts w:ascii="Times New Roman" w:eastAsia="Times New Roman"/>
                <w:position w:val="2"/>
                <w:sz w:val="24"/>
                <w:vertAlign w:val="subscript"/>
              </w:rPr>
              <w:t>2</w:t>
            </w:r>
            <w:r>
              <w:rPr>
                <w:spacing w:val="-22"/>
                <w:position w:val="2"/>
                <w:sz w:val="24"/>
                <w:vertAlign w:val="baseline"/>
              </w:rPr>
              <w:t>、</w:t>
            </w:r>
            <w:r>
              <w:rPr>
                <w:rFonts w:ascii="Times New Roman" w:eastAsia="Times New Roman"/>
                <w:position w:val="2"/>
                <w:sz w:val="24"/>
                <w:vertAlign w:val="baseline"/>
              </w:rPr>
              <w:t>NO</w:t>
            </w:r>
            <w:r>
              <w:rPr>
                <w:rFonts w:ascii="Times New Roman" w:eastAsia="Times New Roman"/>
                <w:position w:val="2"/>
                <w:sz w:val="24"/>
                <w:vertAlign w:val="subscript"/>
              </w:rPr>
              <w:t>2</w:t>
            </w:r>
            <w:r>
              <w:rPr>
                <w:spacing w:val="-24"/>
                <w:position w:val="2"/>
                <w:sz w:val="24"/>
                <w:vertAlign w:val="baseline"/>
              </w:rPr>
              <w:t>、</w:t>
            </w:r>
            <w:r>
              <w:rPr>
                <w:rFonts w:ascii="Times New Roman" w:eastAsia="Times New Roman"/>
                <w:position w:val="2"/>
                <w:sz w:val="24"/>
                <w:vertAlign w:val="baseline"/>
              </w:rPr>
              <w:t xml:space="preserve">CO </w:t>
            </w:r>
            <w:r>
              <w:rPr>
                <w:spacing w:val="-6"/>
                <w:position w:val="2"/>
                <w:sz w:val="24"/>
                <w:vertAlign w:val="baseline"/>
              </w:rPr>
              <w:t>均满足《环境空气质量标准》</w:t>
            </w:r>
          </w:p>
        </w:tc>
      </w:tr>
    </w:tbl>
    <w:p>
      <w:pPr>
        <w:spacing w:after="0"/>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https://d.book118.com/216052132042010054</w:t>
        </w:r>
      </w:hyperlink>
    </w:p>
    <w:p>
      <w:pPr>
        <w:spacing w:after="0"/>
        <w:rPr>
          <w:sz w:val="24"/>
        </w:rPr>
      </w:pPr>
    </w:p>
    <w:sectPr>
      <w:footerReference w:type="default" r:id="rId25"/>
      <w:pgSz w:w="11910" w:h="16840"/>
      <w:pgMar w:top="1500" w:right="980" w:bottom="1100" w:left="1040" w:header="0" w:footer="909" w:gutter="0"/>
      <w:pgNumType w:start="19"/>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MS Gothic">
    <w:panose1 w:val="020B0609070205080204"/>
    <w:charset w:val="80"/>
    <w:family w:val="modern"/>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 w:name="MT Extra">
    <w:panose1 w:val="05050102010205020202"/>
    <w:charset w:val="02"/>
    <w:family w:val="roman"/>
    <w:pitch w:val="default"/>
    <w:sig w:usb0="8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49" type="#_x0000_t202" style="width:8.5pt;height:12pt;margin-top:774.35pt;margin-left:293.4pt;mso-height-relative:page;mso-position-horizontal-relative:page;mso-position-vertical-relative:page;mso-width-relative:page;position:absolute;z-index:-25165824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0" type="#_x0000_t202" style="width:8.5pt;height:12pt;margin-top:774.35pt;margin-left:293.4pt;mso-height-relative:page;mso-position-horizontal-relative:page;mso-position-vertical-relative:page;mso-width-relative:page;position:absolute;z-index:-25165721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1" type="#_x0000_t202" style="width:8.5pt;height:12pt;margin-top:774.35pt;margin-left:293.4pt;mso-height-relative:page;mso-position-horizontal-relative:page;mso-position-vertical-relative:page;mso-width-relative:page;position:absolute;z-index:-25165619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3</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2" type="#_x0000_t202" style="width:8.5pt;height:12pt;margin-top:774.35pt;margin-left:293.4pt;mso-height-relative:page;mso-position-horizontal-relative:page;mso-position-vertical-relative:page;mso-width-relative:page;position:absolute;z-index:-25165516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3" type="#_x0000_t202" style="width:8.5pt;height:12pt;margin-top:774.35pt;margin-left:293.4pt;mso-height-relative:page;mso-position-horizontal-relative:page;mso-position-vertical-relative:page;mso-width-relative:page;position:absolute;z-index:-25165414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4" type="#_x0000_t202" style="width:8.5pt;height:12pt;margin-top:774.35pt;margin-left:293.4pt;mso-height-relative:page;mso-position-horizontal-relative:page;mso-position-vertical-relative:page;mso-width-relative:page;position:absolute;z-index:-25165312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6</w:t>
                </w:r>
                <w: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5" type="#_x0000_t202" style="width:8.5pt;height:12pt;margin-top:774.35pt;margin-left:293.4pt;mso-height-relative:page;mso-position-horizontal-relative:page;mso-position-vertical-relative:page;mso-width-relative:page;position:absolute;z-index:-25165209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7</w:t>
                </w:r>
                <w: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6" type="#_x0000_t202" style="width:8.5pt;height:12pt;margin-top:774.35pt;margin-left:293.4pt;mso-height-relative:page;mso-position-horizontal-relative:page;mso-position-vertical-relative:page;mso-width-relative:page;position:absolute;z-index:-25165107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8</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49" o:spid="_x0000_s2057" type="#_x0000_t202" style="width:8.5pt;height:12pt;margin-top:774.35pt;margin-left:293.4pt;mso-height-relative:page;mso-position-horizontal-relative:page;mso-position-vertical-relative:page;mso-width-relative:page;position:absolute;z-index:-25165004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9</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8" type="#_x0000_t202" style="width:13.1pt;height:12pt;margin-top:774.35pt;margin-left:291.15pt;mso-height-relative:page;mso-position-horizontal-relative:page;mso-position-vertical-relative:page;mso-width-relative:page;position:absolute;z-index:-25164902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10</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59" type="#_x0000_t202" style="width:13.1pt;height:12pt;margin-top:774.35pt;margin-left:291.15pt;mso-height-relative:page;mso-position-horizontal-relative:page;mso-position-vertical-relative:page;mso-width-relative:page;position:absolute;z-index:-25164800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11</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0" type="#_x0000_t202" style="width:13.1pt;height:12pt;margin-top:774.35pt;margin-left:291.15pt;mso-height-relative:page;mso-position-horizontal-relative:page;mso-position-vertical-relative:page;mso-width-relative:page;position:absolute;z-index:-25164697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12</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61" type="#_x0000_t202" style="width:13.1pt;height:12pt;margin-top:774.35pt;margin-left:291.15pt;mso-height-relative:page;mso-position-horizontal-relative:page;mso-position-vertical-relative:page;mso-width-relative:page;position:absolute;z-index:-25164595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2" type="#_x0000_t202" style="width:13.1pt;height:12pt;margin-top:781.45pt;margin-left:291.15pt;mso-height-relative:page;mso-position-horizontal-relative:page;mso-position-vertical-relative:page;mso-width-relative:page;position:absolute;z-index:-25164492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3" type="#_x0000_t202" style="width:13.1pt;height:12pt;margin-top:781.45pt;margin-left:291.15pt;mso-height-relative:page;mso-position-horizontal-relative:page;mso-position-vertical-relative:page;mso-width-relative:page;position:absolute;z-index:-251643904"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15</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4" type="#_x0000_t202" style="width:13.1pt;height:12pt;margin-top:781.45pt;margin-left:291.15pt;mso-height-relative:page;mso-position-horizontal-relative:page;mso-position-vertical-relative:page;mso-width-relative:page;position:absolute;z-index:-251642880"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16</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5" type="#_x0000_t202" style="width:13.1pt;height:12pt;margin-top:781.45pt;margin-left:291.15pt;mso-height-relative:page;mso-position-horizontal-relative:page;mso-position-vertical-relative:page;mso-width-relative:page;position:absolute;z-index:-251641856"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17</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6" type="#_x0000_t202" style="width:13.1pt;height:12pt;margin-top:781.45pt;margin-left:291.15pt;mso-height-relative:page;mso-position-horizontal-relative:page;mso-position-vertical-relative:page;mso-width-relative:page;position:absolute;z-index:-251640832"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12"/>
      </w:rPr>
    </w:pPr>
    <w:r>
      <w:pict>
        <v:shapetype id="_x0000_t202" coordsize="21600,21600" o:spt="202" path="m,l,21600r21600,l21600,xe">
          <v:stroke joinstyle="miter"/>
          <v:path gradientshapeok="t" o:connecttype="rect"/>
        </v:shapetype>
        <v:shape id="_x0000_s2051" o:spid="_x0000_s2067" type="#_x0000_t202" style="width:13.1pt;height:12pt;margin-top:781.45pt;margin-left:291.15pt;mso-height-relative:page;mso-position-horizontal-relative:page;mso-position-vertical-relative:page;mso-width-relative:page;position:absolute;z-index:-251639808" coordsize="21600,21600" filled="f" stroked="f">
          <v:stroke joinstyle="miter"/>
          <v:textbox inset="0,0,0,0">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19</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106" w:hanging="527"/>
        <w:jc w:val="left"/>
      </w:pPr>
      <w:rPr>
        <w:rFonts w:ascii="宋体" w:eastAsia="宋体" w:hAnsi="宋体" w:cs="宋体" w:hint="default"/>
        <w:spacing w:val="-29"/>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
    <w:nsid w:val="B5E306ED"/>
    <w:multiLevelType w:val="multilevel"/>
    <w:tmpl w:val="B5E306ED"/>
    <w:lvl w:ilvl="0">
      <w:start w:val="1"/>
      <w:numFmt w:val="decimal"/>
      <w:lvlText w:val="%1."/>
      <w:lvlJc w:val="left"/>
      <w:pPr>
        <w:ind w:left="767" w:hanging="181"/>
        <w:jc w:val="left"/>
      </w:pPr>
      <w:rPr>
        <w:rFonts w:ascii="Times New Roman" w:eastAsia="Times New Roman" w:hAnsi="Times New Roman" w:cs="Times New Roman" w:hint="default"/>
        <w:b/>
        <w:bCs/>
        <w:w w:val="100"/>
        <w:sz w:val="22"/>
        <w:szCs w:val="22"/>
        <w:lang w:val="zh-CN" w:eastAsia="zh-CN" w:bidi="zh-CN"/>
      </w:rPr>
    </w:lvl>
    <w:lvl w:ilvl="1">
      <w:start w:val="0"/>
      <w:numFmt w:val="bullet"/>
      <w:lvlText w:val="•"/>
      <w:lvlJc w:val="left"/>
      <w:pPr>
        <w:ind w:left="1536" w:hanging="181"/>
      </w:pPr>
      <w:rPr>
        <w:rFonts w:hint="default"/>
        <w:lang w:val="zh-CN" w:eastAsia="zh-CN" w:bidi="zh-CN"/>
      </w:rPr>
    </w:lvl>
    <w:lvl w:ilvl="2">
      <w:start w:val="0"/>
      <w:numFmt w:val="bullet"/>
      <w:lvlText w:val="•"/>
      <w:lvlJc w:val="left"/>
      <w:pPr>
        <w:ind w:left="2313" w:hanging="181"/>
      </w:pPr>
      <w:rPr>
        <w:rFonts w:hint="default"/>
        <w:lang w:val="zh-CN" w:eastAsia="zh-CN" w:bidi="zh-CN"/>
      </w:rPr>
    </w:lvl>
    <w:lvl w:ilvl="3">
      <w:start w:val="0"/>
      <w:numFmt w:val="bullet"/>
      <w:lvlText w:val="•"/>
      <w:lvlJc w:val="left"/>
      <w:pPr>
        <w:ind w:left="3090" w:hanging="181"/>
      </w:pPr>
      <w:rPr>
        <w:rFonts w:hint="default"/>
        <w:lang w:val="zh-CN" w:eastAsia="zh-CN" w:bidi="zh-CN"/>
      </w:rPr>
    </w:lvl>
    <w:lvl w:ilvl="4">
      <w:start w:val="0"/>
      <w:numFmt w:val="bullet"/>
      <w:lvlText w:val="•"/>
      <w:lvlJc w:val="left"/>
      <w:pPr>
        <w:ind w:left="3867" w:hanging="181"/>
      </w:pPr>
      <w:rPr>
        <w:rFonts w:hint="default"/>
        <w:lang w:val="zh-CN" w:eastAsia="zh-CN" w:bidi="zh-CN"/>
      </w:rPr>
    </w:lvl>
    <w:lvl w:ilvl="5">
      <w:start w:val="0"/>
      <w:numFmt w:val="bullet"/>
      <w:lvlText w:val="•"/>
      <w:lvlJc w:val="left"/>
      <w:pPr>
        <w:ind w:left="4644" w:hanging="181"/>
      </w:pPr>
      <w:rPr>
        <w:rFonts w:hint="default"/>
        <w:lang w:val="zh-CN" w:eastAsia="zh-CN" w:bidi="zh-CN"/>
      </w:rPr>
    </w:lvl>
    <w:lvl w:ilvl="6">
      <w:start w:val="0"/>
      <w:numFmt w:val="bullet"/>
      <w:lvlText w:val="•"/>
      <w:lvlJc w:val="left"/>
      <w:pPr>
        <w:ind w:left="5420" w:hanging="181"/>
      </w:pPr>
      <w:rPr>
        <w:rFonts w:hint="default"/>
        <w:lang w:val="zh-CN" w:eastAsia="zh-CN" w:bidi="zh-CN"/>
      </w:rPr>
    </w:lvl>
    <w:lvl w:ilvl="7">
      <w:start w:val="0"/>
      <w:numFmt w:val="bullet"/>
      <w:lvlText w:val="•"/>
      <w:lvlJc w:val="left"/>
      <w:pPr>
        <w:ind w:left="6197" w:hanging="181"/>
      </w:pPr>
      <w:rPr>
        <w:rFonts w:hint="default"/>
        <w:lang w:val="zh-CN" w:eastAsia="zh-CN" w:bidi="zh-CN"/>
      </w:rPr>
    </w:lvl>
    <w:lvl w:ilvl="8">
      <w:start w:val="0"/>
      <w:numFmt w:val="bullet"/>
      <w:lvlText w:val="•"/>
      <w:lvlJc w:val="left"/>
      <w:pPr>
        <w:ind w:left="6974" w:hanging="181"/>
      </w:pPr>
      <w:rPr>
        <w:rFonts w:hint="default"/>
        <w:lang w:val="zh-CN" w:eastAsia="zh-CN" w:bidi="zh-CN"/>
      </w:rPr>
    </w:lvl>
  </w:abstractNum>
  <w:abstractNum w:abstractNumId="2">
    <w:nsid w:val="BF205925"/>
    <w:multiLevelType w:val="multilevel"/>
    <w:tmpl w:val="BF205925"/>
    <w:lvl w:ilvl="0">
      <w:start w:val="1"/>
      <w:numFmt w:val="decimal"/>
      <w:lvlText w:val="（%1）"/>
      <w:lvlJc w:val="left"/>
      <w:pPr>
        <w:ind w:left="118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180" w:hanging="601"/>
      </w:pPr>
      <w:rPr>
        <w:rFonts w:hint="default"/>
        <w:lang w:val="zh-CN" w:eastAsia="zh-CN" w:bidi="zh-CN"/>
      </w:rPr>
    </w:lvl>
    <w:lvl w:ilvl="2">
      <w:start w:val="0"/>
      <w:numFmt w:val="bullet"/>
      <w:lvlText w:val="•"/>
      <w:lvlJc w:val="left"/>
      <w:pPr>
        <w:ind w:left="1996" w:hanging="601"/>
      </w:pPr>
      <w:rPr>
        <w:rFonts w:hint="default"/>
        <w:lang w:val="zh-CN" w:eastAsia="zh-CN" w:bidi="zh-CN"/>
      </w:rPr>
    </w:lvl>
    <w:lvl w:ilvl="3">
      <w:start w:val="0"/>
      <w:numFmt w:val="bullet"/>
      <w:lvlText w:val="•"/>
      <w:lvlJc w:val="left"/>
      <w:pPr>
        <w:ind w:left="2812" w:hanging="601"/>
      </w:pPr>
      <w:rPr>
        <w:rFonts w:hint="default"/>
        <w:lang w:val="zh-CN" w:eastAsia="zh-CN" w:bidi="zh-CN"/>
      </w:rPr>
    </w:lvl>
    <w:lvl w:ilvl="4">
      <w:start w:val="0"/>
      <w:numFmt w:val="bullet"/>
      <w:lvlText w:val="•"/>
      <w:lvlJc w:val="left"/>
      <w:pPr>
        <w:ind w:left="3629" w:hanging="601"/>
      </w:pPr>
      <w:rPr>
        <w:rFonts w:hint="default"/>
        <w:lang w:val="zh-CN" w:eastAsia="zh-CN" w:bidi="zh-CN"/>
      </w:rPr>
    </w:lvl>
    <w:lvl w:ilvl="5">
      <w:start w:val="0"/>
      <w:numFmt w:val="bullet"/>
      <w:lvlText w:val="•"/>
      <w:lvlJc w:val="left"/>
      <w:pPr>
        <w:ind w:left="4445" w:hanging="601"/>
      </w:pPr>
      <w:rPr>
        <w:rFonts w:hint="default"/>
        <w:lang w:val="zh-CN" w:eastAsia="zh-CN" w:bidi="zh-CN"/>
      </w:rPr>
    </w:lvl>
    <w:lvl w:ilvl="6">
      <w:start w:val="0"/>
      <w:numFmt w:val="bullet"/>
      <w:lvlText w:val="•"/>
      <w:lvlJc w:val="left"/>
      <w:pPr>
        <w:ind w:left="5262" w:hanging="601"/>
      </w:pPr>
      <w:rPr>
        <w:rFonts w:hint="default"/>
        <w:lang w:val="zh-CN" w:eastAsia="zh-CN" w:bidi="zh-CN"/>
      </w:rPr>
    </w:lvl>
    <w:lvl w:ilvl="7">
      <w:start w:val="0"/>
      <w:numFmt w:val="bullet"/>
      <w:lvlText w:val="•"/>
      <w:lvlJc w:val="left"/>
      <w:pPr>
        <w:ind w:left="6078" w:hanging="601"/>
      </w:pPr>
      <w:rPr>
        <w:rFonts w:hint="default"/>
        <w:lang w:val="zh-CN" w:eastAsia="zh-CN" w:bidi="zh-CN"/>
      </w:rPr>
    </w:lvl>
    <w:lvl w:ilvl="8">
      <w:start w:val="0"/>
      <w:numFmt w:val="bullet"/>
      <w:lvlText w:val="•"/>
      <w:lvlJc w:val="left"/>
      <w:pPr>
        <w:ind w:left="6895" w:hanging="601"/>
      </w:pPr>
      <w:rPr>
        <w:rFonts w:hint="default"/>
        <w:lang w:val="zh-CN" w:eastAsia="zh-CN" w:bidi="zh-CN"/>
      </w:rPr>
    </w:lvl>
  </w:abstractNum>
  <w:abstractNum w:abstractNumId="3">
    <w:nsid w:val="C8879AEF"/>
    <w:multiLevelType w:val="multilevel"/>
    <w:tmpl w:val="C8879AEF"/>
    <w:lvl w:ilvl="0">
      <w:start w:val="1"/>
      <w:numFmt w:val="decimal"/>
      <w:lvlText w:val="%1."/>
      <w:lvlJc w:val="left"/>
      <w:pPr>
        <w:ind w:left="2370"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3130" w:hanging="159"/>
      </w:pPr>
      <w:rPr>
        <w:rFonts w:hint="default"/>
        <w:lang w:val="zh-CN" w:eastAsia="zh-CN" w:bidi="zh-CN"/>
      </w:rPr>
    </w:lvl>
    <w:lvl w:ilvl="2">
      <w:start w:val="0"/>
      <w:numFmt w:val="bullet"/>
      <w:lvlText w:val="•"/>
      <w:lvlJc w:val="left"/>
      <w:pPr>
        <w:ind w:left="3881" w:hanging="159"/>
      </w:pPr>
      <w:rPr>
        <w:rFonts w:hint="default"/>
        <w:lang w:val="zh-CN" w:eastAsia="zh-CN" w:bidi="zh-CN"/>
      </w:rPr>
    </w:lvl>
    <w:lvl w:ilvl="3">
      <w:start w:val="0"/>
      <w:numFmt w:val="bullet"/>
      <w:lvlText w:val="•"/>
      <w:lvlJc w:val="left"/>
      <w:pPr>
        <w:ind w:left="4631" w:hanging="159"/>
      </w:pPr>
      <w:rPr>
        <w:rFonts w:hint="default"/>
        <w:lang w:val="zh-CN" w:eastAsia="zh-CN" w:bidi="zh-CN"/>
      </w:rPr>
    </w:lvl>
    <w:lvl w:ilvl="4">
      <w:start w:val="0"/>
      <w:numFmt w:val="bullet"/>
      <w:lvlText w:val="•"/>
      <w:lvlJc w:val="left"/>
      <w:pPr>
        <w:ind w:left="5382" w:hanging="159"/>
      </w:pPr>
      <w:rPr>
        <w:rFonts w:hint="default"/>
        <w:lang w:val="zh-CN" w:eastAsia="zh-CN" w:bidi="zh-CN"/>
      </w:rPr>
    </w:lvl>
    <w:lvl w:ilvl="5">
      <w:start w:val="0"/>
      <w:numFmt w:val="bullet"/>
      <w:lvlText w:val="•"/>
      <w:lvlJc w:val="left"/>
      <w:pPr>
        <w:ind w:left="6133" w:hanging="159"/>
      </w:pPr>
      <w:rPr>
        <w:rFonts w:hint="default"/>
        <w:lang w:val="zh-CN" w:eastAsia="zh-CN" w:bidi="zh-CN"/>
      </w:rPr>
    </w:lvl>
    <w:lvl w:ilvl="6">
      <w:start w:val="0"/>
      <w:numFmt w:val="bullet"/>
      <w:lvlText w:val="•"/>
      <w:lvlJc w:val="left"/>
      <w:pPr>
        <w:ind w:left="6883" w:hanging="159"/>
      </w:pPr>
      <w:rPr>
        <w:rFonts w:hint="default"/>
        <w:lang w:val="zh-CN" w:eastAsia="zh-CN" w:bidi="zh-CN"/>
      </w:rPr>
    </w:lvl>
    <w:lvl w:ilvl="7">
      <w:start w:val="0"/>
      <w:numFmt w:val="bullet"/>
      <w:lvlText w:val="•"/>
      <w:lvlJc w:val="left"/>
      <w:pPr>
        <w:ind w:left="7634" w:hanging="159"/>
      </w:pPr>
      <w:rPr>
        <w:rFonts w:hint="default"/>
        <w:lang w:val="zh-CN" w:eastAsia="zh-CN" w:bidi="zh-CN"/>
      </w:rPr>
    </w:lvl>
    <w:lvl w:ilvl="8">
      <w:start w:val="0"/>
      <w:numFmt w:val="bullet"/>
      <w:lvlText w:val="•"/>
      <w:lvlJc w:val="left"/>
      <w:pPr>
        <w:ind w:left="8384" w:hanging="159"/>
      </w:pPr>
      <w:rPr>
        <w:rFonts w:hint="default"/>
        <w:lang w:val="zh-CN" w:eastAsia="zh-CN" w:bidi="zh-CN"/>
      </w:rPr>
    </w:lvl>
  </w:abstractNum>
  <w:abstractNum w:abstractNumId="4">
    <w:nsid w:val="CF092B84"/>
    <w:multiLevelType w:val="multilevel"/>
    <w:tmpl w:val="CF092B84"/>
    <w:lvl w:ilvl="0">
      <w:start w:val="1"/>
      <w:numFmt w:val="decimal"/>
      <w:lvlText w:val="（%1）"/>
      <w:lvlJc w:val="left"/>
      <w:pPr>
        <w:ind w:left="360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4228" w:hanging="601"/>
      </w:pPr>
      <w:rPr>
        <w:rFonts w:hint="default"/>
        <w:lang w:val="zh-CN" w:eastAsia="zh-CN" w:bidi="zh-CN"/>
      </w:rPr>
    </w:lvl>
    <w:lvl w:ilvl="2">
      <w:start w:val="0"/>
      <w:numFmt w:val="bullet"/>
      <w:lvlText w:val="•"/>
      <w:lvlJc w:val="left"/>
      <w:pPr>
        <w:ind w:left="4857" w:hanging="601"/>
      </w:pPr>
      <w:rPr>
        <w:rFonts w:hint="default"/>
        <w:lang w:val="zh-CN" w:eastAsia="zh-CN" w:bidi="zh-CN"/>
      </w:rPr>
    </w:lvl>
    <w:lvl w:ilvl="3">
      <w:start w:val="0"/>
      <w:numFmt w:val="bullet"/>
      <w:lvlText w:val="•"/>
      <w:lvlJc w:val="left"/>
      <w:pPr>
        <w:ind w:left="5485" w:hanging="601"/>
      </w:pPr>
      <w:rPr>
        <w:rFonts w:hint="default"/>
        <w:lang w:val="zh-CN" w:eastAsia="zh-CN" w:bidi="zh-CN"/>
      </w:rPr>
    </w:lvl>
    <w:lvl w:ilvl="4">
      <w:start w:val="0"/>
      <w:numFmt w:val="bullet"/>
      <w:lvlText w:val="•"/>
      <w:lvlJc w:val="left"/>
      <w:pPr>
        <w:ind w:left="6114" w:hanging="601"/>
      </w:pPr>
      <w:rPr>
        <w:rFonts w:hint="default"/>
        <w:lang w:val="zh-CN" w:eastAsia="zh-CN" w:bidi="zh-CN"/>
      </w:rPr>
    </w:lvl>
    <w:lvl w:ilvl="5">
      <w:start w:val="0"/>
      <w:numFmt w:val="bullet"/>
      <w:lvlText w:val="•"/>
      <w:lvlJc w:val="left"/>
      <w:pPr>
        <w:ind w:left="6743" w:hanging="601"/>
      </w:pPr>
      <w:rPr>
        <w:rFonts w:hint="default"/>
        <w:lang w:val="zh-CN" w:eastAsia="zh-CN" w:bidi="zh-CN"/>
      </w:rPr>
    </w:lvl>
    <w:lvl w:ilvl="6">
      <w:start w:val="0"/>
      <w:numFmt w:val="bullet"/>
      <w:lvlText w:val="•"/>
      <w:lvlJc w:val="left"/>
      <w:pPr>
        <w:ind w:left="7371" w:hanging="601"/>
      </w:pPr>
      <w:rPr>
        <w:rFonts w:hint="default"/>
        <w:lang w:val="zh-CN" w:eastAsia="zh-CN" w:bidi="zh-CN"/>
      </w:rPr>
    </w:lvl>
    <w:lvl w:ilvl="7">
      <w:start w:val="0"/>
      <w:numFmt w:val="bullet"/>
      <w:lvlText w:val="•"/>
      <w:lvlJc w:val="left"/>
      <w:pPr>
        <w:ind w:left="8000" w:hanging="601"/>
      </w:pPr>
      <w:rPr>
        <w:rFonts w:hint="default"/>
        <w:lang w:val="zh-CN" w:eastAsia="zh-CN" w:bidi="zh-CN"/>
      </w:rPr>
    </w:lvl>
    <w:lvl w:ilvl="8">
      <w:start w:val="0"/>
      <w:numFmt w:val="bullet"/>
      <w:lvlText w:val="•"/>
      <w:lvlJc w:val="left"/>
      <w:pPr>
        <w:ind w:left="8628" w:hanging="601"/>
      </w:pPr>
      <w:rPr>
        <w:rFonts w:hint="default"/>
        <w:lang w:val="zh-CN" w:eastAsia="zh-CN" w:bidi="zh-CN"/>
      </w:rPr>
    </w:lvl>
  </w:abstractNum>
  <w:abstractNum w:abstractNumId="5">
    <w:nsid w:val="D7F9FE59"/>
    <w:multiLevelType w:val="multilevel"/>
    <w:tmpl w:val="D7F9FE59"/>
    <w:lvl w:ilvl="0">
      <w:start w:val="1"/>
      <w:numFmt w:val="decimal"/>
      <w:lvlText w:val="（%1）"/>
      <w:lvlJc w:val="left"/>
      <w:pPr>
        <w:ind w:left="148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320" w:hanging="601"/>
      </w:pPr>
      <w:rPr>
        <w:rFonts w:hint="default"/>
        <w:lang w:val="zh-CN" w:eastAsia="zh-CN" w:bidi="zh-CN"/>
      </w:rPr>
    </w:lvl>
    <w:lvl w:ilvl="2">
      <w:start w:val="0"/>
      <w:numFmt w:val="bullet"/>
      <w:lvlText w:val="•"/>
      <w:lvlJc w:val="left"/>
      <w:pPr>
        <w:ind w:left="3161" w:hanging="601"/>
      </w:pPr>
      <w:rPr>
        <w:rFonts w:hint="default"/>
        <w:lang w:val="zh-CN" w:eastAsia="zh-CN" w:bidi="zh-CN"/>
      </w:rPr>
    </w:lvl>
    <w:lvl w:ilvl="3">
      <w:start w:val="0"/>
      <w:numFmt w:val="bullet"/>
      <w:lvlText w:val="•"/>
      <w:lvlJc w:val="left"/>
      <w:pPr>
        <w:ind w:left="4001" w:hanging="601"/>
      </w:pPr>
      <w:rPr>
        <w:rFonts w:hint="default"/>
        <w:lang w:val="zh-CN" w:eastAsia="zh-CN" w:bidi="zh-CN"/>
      </w:rPr>
    </w:lvl>
    <w:lvl w:ilvl="4">
      <w:start w:val="0"/>
      <w:numFmt w:val="bullet"/>
      <w:lvlText w:val="•"/>
      <w:lvlJc w:val="left"/>
      <w:pPr>
        <w:ind w:left="4842" w:hanging="601"/>
      </w:pPr>
      <w:rPr>
        <w:rFonts w:hint="default"/>
        <w:lang w:val="zh-CN" w:eastAsia="zh-CN" w:bidi="zh-CN"/>
      </w:rPr>
    </w:lvl>
    <w:lvl w:ilvl="5">
      <w:start w:val="0"/>
      <w:numFmt w:val="bullet"/>
      <w:lvlText w:val="•"/>
      <w:lvlJc w:val="left"/>
      <w:pPr>
        <w:ind w:left="5683" w:hanging="601"/>
      </w:pPr>
      <w:rPr>
        <w:rFonts w:hint="default"/>
        <w:lang w:val="zh-CN" w:eastAsia="zh-CN" w:bidi="zh-CN"/>
      </w:rPr>
    </w:lvl>
    <w:lvl w:ilvl="6">
      <w:start w:val="0"/>
      <w:numFmt w:val="bullet"/>
      <w:lvlText w:val="•"/>
      <w:lvlJc w:val="left"/>
      <w:pPr>
        <w:ind w:left="6523" w:hanging="601"/>
      </w:pPr>
      <w:rPr>
        <w:rFonts w:hint="default"/>
        <w:lang w:val="zh-CN" w:eastAsia="zh-CN" w:bidi="zh-CN"/>
      </w:rPr>
    </w:lvl>
    <w:lvl w:ilvl="7">
      <w:start w:val="0"/>
      <w:numFmt w:val="bullet"/>
      <w:lvlText w:val="•"/>
      <w:lvlJc w:val="left"/>
      <w:pPr>
        <w:ind w:left="7364" w:hanging="601"/>
      </w:pPr>
      <w:rPr>
        <w:rFonts w:hint="default"/>
        <w:lang w:val="zh-CN" w:eastAsia="zh-CN" w:bidi="zh-CN"/>
      </w:rPr>
    </w:lvl>
    <w:lvl w:ilvl="8">
      <w:start w:val="0"/>
      <w:numFmt w:val="bullet"/>
      <w:lvlText w:val="•"/>
      <w:lvlJc w:val="left"/>
      <w:pPr>
        <w:ind w:left="8204" w:hanging="601"/>
      </w:pPr>
      <w:rPr>
        <w:rFonts w:hint="default"/>
        <w:lang w:val="zh-CN" w:eastAsia="zh-CN" w:bidi="zh-CN"/>
      </w:rPr>
    </w:lvl>
  </w:abstractNum>
  <w:abstractNum w:abstractNumId="6">
    <w:nsid w:val="DCBA6B53"/>
    <w:multiLevelType w:val="multilevel"/>
    <w:tmpl w:val="DCBA6B53"/>
    <w:lvl w:ilvl="0">
      <w:start w:val="1"/>
      <w:numFmt w:val="decimal"/>
      <w:lvlText w:val="%1."/>
      <w:lvlJc w:val="left"/>
      <w:pPr>
        <w:ind w:left="1061" w:hanging="181"/>
        <w:jc w:val="left"/>
      </w:pPr>
      <w:rPr>
        <w:rFonts w:ascii="Times New Roman" w:eastAsia="Times New Roman" w:hAnsi="Times New Roman" w:cs="Times New Roman" w:hint="default"/>
        <w:b/>
        <w:bCs/>
        <w:w w:val="100"/>
        <w:sz w:val="22"/>
        <w:szCs w:val="22"/>
        <w:lang w:val="zh-CN" w:eastAsia="zh-CN" w:bidi="zh-CN"/>
      </w:rPr>
    </w:lvl>
    <w:lvl w:ilvl="1">
      <w:start w:val="0"/>
      <w:numFmt w:val="bullet"/>
      <w:lvlText w:val="•"/>
      <w:lvlJc w:val="left"/>
      <w:pPr>
        <w:ind w:left="1942" w:hanging="181"/>
      </w:pPr>
      <w:rPr>
        <w:rFonts w:hint="default"/>
        <w:lang w:val="zh-CN" w:eastAsia="zh-CN" w:bidi="zh-CN"/>
      </w:rPr>
    </w:lvl>
    <w:lvl w:ilvl="2">
      <w:start w:val="0"/>
      <w:numFmt w:val="bullet"/>
      <w:lvlText w:val="•"/>
      <w:lvlJc w:val="left"/>
      <w:pPr>
        <w:ind w:left="2825" w:hanging="181"/>
      </w:pPr>
      <w:rPr>
        <w:rFonts w:hint="default"/>
        <w:lang w:val="zh-CN" w:eastAsia="zh-CN" w:bidi="zh-CN"/>
      </w:rPr>
    </w:lvl>
    <w:lvl w:ilvl="3">
      <w:start w:val="0"/>
      <w:numFmt w:val="bullet"/>
      <w:lvlText w:val="•"/>
      <w:lvlJc w:val="left"/>
      <w:pPr>
        <w:ind w:left="3707" w:hanging="181"/>
      </w:pPr>
      <w:rPr>
        <w:rFonts w:hint="default"/>
        <w:lang w:val="zh-CN" w:eastAsia="zh-CN" w:bidi="zh-CN"/>
      </w:rPr>
    </w:lvl>
    <w:lvl w:ilvl="4">
      <w:start w:val="0"/>
      <w:numFmt w:val="bullet"/>
      <w:lvlText w:val="•"/>
      <w:lvlJc w:val="left"/>
      <w:pPr>
        <w:ind w:left="4590" w:hanging="181"/>
      </w:pPr>
      <w:rPr>
        <w:rFonts w:hint="default"/>
        <w:lang w:val="zh-CN" w:eastAsia="zh-CN" w:bidi="zh-CN"/>
      </w:rPr>
    </w:lvl>
    <w:lvl w:ilvl="5">
      <w:start w:val="0"/>
      <w:numFmt w:val="bullet"/>
      <w:lvlText w:val="•"/>
      <w:lvlJc w:val="left"/>
      <w:pPr>
        <w:ind w:left="5473" w:hanging="181"/>
      </w:pPr>
      <w:rPr>
        <w:rFonts w:hint="default"/>
        <w:lang w:val="zh-CN" w:eastAsia="zh-CN" w:bidi="zh-CN"/>
      </w:rPr>
    </w:lvl>
    <w:lvl w:ilvl="6">
      <w:start w:val="0"/>
      <w:numFmt w:val="bullet"/>
      <w:lvlText w:val="•"/>
      <w:lvlJc w:val="left"/>
      <w:pPr>
        <w:ind w:left="6355" w:hanging="181"/>
      </w:pPr>
      <w:rPr>
        <w:rFonts w:hint="default"/>
        <w:lang w:val="zh-CN" w:eastAsia="zh-CN" w:bidi="zh-CN"/>
      </w:rPr>
    </w:lvl>
    <w:lvl w:ilvl="7">
      <w:start w:val="0"/>
      <w:numFmt w:val="bullet"/>
      <w:lvlText w:val="•"/>
      <w:lvlJc w:val="left"/>
      <w:pPr>
        <w:ind w:left="7238" w:hanging="181"/>
      </w:pPr>
      <w:rPr>
        <w:rFonts w:hint="default"/>
        <w:lang w:val="zh-CN" w:eastAsia="zh-CN" w:bidi="zh-CN"/>
      </w:rPr>
    </w:lvl>
    <w:lvl w:ilvl="8">
      <w:start w:val="0"/>
      <w:numFmt w:val="bullet"/>
      <w:lvlText w:val="•"/>
      <w:lvlJc w:val="left"/>
      <w:pPr>
        <w:ind w:left="8120" w:hanging="181"/>
      </w:pPr>
      <w:rPr>
        <w:rFonts w:hint="default"/>
        <w:lang w:val="zh-CN" w:eastAsia="zh-CN" w:bidi="zh-CN"/>
      </w:rPr>
    </w:lvl>
  </w:abstractNum>
  <w:abstractNum w:abstractNumId="7">
    <w:nsid w:val="F4B5D9F5"/>
    <w:multiLevelType w:val="multilevel"/>
    <w:tmpl w:val="F4B5D9F5"/>
    <w:lvl w:ilvl="0">
      <w:start w:val="1"/>
      <w:numFmt w:val="decimal"/>
      <w:lvlText w:val="（%1）"/>
      <w:lvlJc w:val="left"/>
      <w:pPr>
        <w:ind w:left="1792" w:hanging="527"/>
        <w:jc w:val="left"/>
      </w:pPr>
      <w:rPr>
        <w:rFonts w:ascii="宋体" w:eastAsia="宋体" w:hAnsi="宋体" w:cs="宋体" w:hint="default"/>
        <w:spacing w:val="-20"/>
        <w:w w:val="99"/>
        <w:sz w:val="19"/>
        <w:szCs w:val="19"/>
        <w:lang w:val="zh-CN" w:eastAsia="zh-CN" w:bidi="zh-CN"/>
      </w:rPr>
    </w:lvl>
    <w:lvl w:ilvl="1">
      <w:start w:val="0"/>
      <w:numFmt w:val="bullet"/>
      <w:lvlText w:val="•"/>
      <w:lvlJc w:val="left"/>
      <w:pPr>
        <w:ind w:left="2608" w:hanging="527"/>
      </w:pPr>
      <w:rPr>
        <w:rFonts w:hint="default"/>
        <w:lang w:val="zh-CN" w:eastAsia="zh-CN" w:bidi="zh-CN"/>
      </w:rPr>
    </w:lvl>
    <w:lvl w:ilvl="2">
      <w:start w:val="0"/>
      <w:numFmt w:val="bullet"/>
      <w:lvlText w:val="•"/>
      <w:lvlJc w:val="left"/>
      <w:pPr>
        <w:ind w:left="3417" w:hanging="527"/>
      </w:pPr>
      <w:rPr>
        <w:rFonts w:hint="default"/>
        <w:lang w:val="zh-CN" w:eastAsia="zh-CN" w:bidi="zh-CN"/>
      </w:rPr>
    </w:lvl>
    <w:lvl w:ilvl="3">
      <w:start w:val="0"/>
      <w:numFmt w:val="bullet"/>
      <w:lvlText w:val="•"/>
      <w:lvlJc w:val="left"/>
      <w:pPr>
        <w:ind w:left="4225" w:hanging="527"/>
      </w:pPr>
      <w:rPr>
        <w:rFonts w:hint="default"/>
        <w:lang w:val="zh-CN" w:eastAsia="zh-CN" w:bidi="zh-CN"/>
      </w:rPr>
    </w:lvl>
    <w:lvl w:ilvl="4">
      <w:start w:val="0"/>
      <w:numFmt w:val="bullet"/>
      <w:lvlText w:val="•"/>
      <w:lvlJc w:val="left"/>
      <w:pPr>
        <w:ind w:left="5034" w:hanging="527"/>
      </w:pPr>
      <w:rPr>
        <w:rFonts w:hint="default"/>
        <w:lang w:val="zh-CN" w:eastAsia="zh-CN" w:bidi="zh-CN"/>
      </w:rPr>
    </w:lvl>
    <w:lvl w:ilvl="5">
      <w:start w:val="0"/>
      <w:numFmt w:val="bullet"/>
      <w:lvlText w:val="•"/>
      <w:lvlJc w:val="left"/>
      <w:pPr>
        <w:ind w:left="5843" w:hanging="527"/>
      </w:pPr>
      <w:rPr>
        <w:rFonts w:hint="default"/>
        <w:lang w:val="zh-CN" w:eastAsia="zh-CN" w:bidi="zh-CN"/>
      </w:rPr>
    </w:lvl>
    <w:lvl w:ilvl="6">
      <w:start w:val="0"/>
      <w:numFmt w:val="bullet"/>
      <w:lvlText w:val="•"/>
      <w:lvlJc w:val="left"/>
      <w:pPr>
        <w:ind w:left="6651" w:hanging="527"/>
      </w:pPr>
      <w:rPr>
        <w:rFonts w:hint="default"/>
        <w:lang w:val="zh-CN" w:eastAsia="zh-CN" w:bidi="zh-CN"/>
      </w:rPr>
    </w:lvl>
    <w:lvl w:ilvl="7">
      <w:start w:val="0"/>
      <w:numFmt w:val="bullet"/>
      <w:lvlText w:val="•"/>
      <w:lvlJc w:val="left"/>
      <w:pPr>
        <w:ind w:left="7460" w:hanging="527"/>
      </w:pPr>
      <w:rPr>
        <w:rFonts w:hint="default"/>
        <w:lang w:val="zh-CN" w:eastAsia="zh-CN" w:bidi="zh-CN"/>
      </w:rPr>
    </w:lvl>
    <w:lvl w:ilvl="8">
      <w:start w:val="0"/>
      <w:numFmt w:val="bullet"/>
      <w:lvlText w:val="•"/>
      <w:lvlJc w:val="left"/>
      <w:pPr>
        <w:ind w:left="8268" w:hanging="527"/>
      </w:pPr>
      <w:rPr>
        <w:rFonts w:hint="default"/>
        <w:lang w:val="zh-CN" w:eastAsia="zh-CN" w:bidi="zh-CN"/>
      </w:rPr>
    </w:lvl>
  </w:abstractNum>
  <w:abstractNum w:abstractNumId="8">
    <w:nsid w:val="0053208E"/>
    <w:multiLevelType w:val="multilevel"/>
    <w:tmpl w:val="0053208E"/>
    <w:lvl w:ilvl="0">
      <w:start w:val="2"/>
      <w:numFmt w:val="decimal"/>
      <w:lvlText w:val="%1）"/>
      <w:lvlJc w:val="left"/>
      <w:pPr>
        <w:ind w:left="3367" w:hanging="361"/>
        <w:jc w:val="left"/>
      </w:pPr>
      <w:rPr>
        <w:rFonts w:ascii="Times New Roman" w:eastAsia="Times New Roman" w:hAnsi="Times New Roman" w:cs="Times New Roman" w:hint="default"/>
        <w:b/>
        <w:bCs/>
        <w:w w:val="99"/>
        <w:sz w:val="22"/>
        <w:szCs w:val="22"/>
        <w:lang w:val="zh-CN" w:eastAsia="zh-CN" w:bidi="zh-CN"/>
      </w:rPr>
    </w:lvl>
    <w:lvl w:ilvl="1">
      <w:start w:val="0"/>
      <w:numFmt w:val="bullet"/>
      <w:lvlText w:val="•"/>
      <w:lvlJc w:val="left"/>
      <w:pPr>
        <w:ind w:left="4012" w:hanging="361"/>
      </w:pPr>
      <w:rPr>
        <w:rFonts w:hint="default"/>
        <w:lang w:val="zh-CN" w:eastAsia="zh-CN" w:bidi="zh-CN"/>
      </w:rPr>
    </w:lvl>
    <w:lvl w:ilvl="2">
      <w:start w:val="0"/>
      <w:numFmt w:val="bullet"/>
      <w:lvlText w:val="•"/>
      <w:lvlJc w:val="left"/>
      <w:pPr>
        <w:ind w:left="4665" w:hanging="361"/>
      </w:pPr>
      <w:rPr>
        <w:rFonts w:hint="default"/>
        <w:lang w:val="zh-CN" w:eastAsia="zh-CN" w:bidi="zh-CN"/>
      </w:rPr>
    </w:lvl>
    <w:lvl w:ilvl="3">
      <w:start w:val="0"/>
      <w:numFmt w:val="bullet"/>
      <w:lvlText w:val="•"/>
      <w:lvlJc w:val="left"/>
      <w:pPr>
        <w:ind w:left="5317" w:hanging="361"/>
      </w:pPr>
      <w:rPr>
        <w:rFonts w:hint="default"/>
        <w:lang w:val="zh-CN" w:eastAsia="zh-CN" w:bidi="zh-CN"/>
      </w:rPr>
    </w:lvl>
    <w:lvl w:ilvl="4">
      <w:start w:val="0"/>
      <w:numFmt w:val="bullet"/>
      <w:lvlText w:val="•"/>
      <w:lvlJc w:val="left"/>
      <w:pPr>
        <w:ind w:left="5970" w:hanging="361"/>
      </w:pPr>
      <w:rPr>
        <w:rFonts w:hint="default"/>
        <w:lang w:val="zh-CN" w:eastAsia="zh-CN" w:bidi="zh-CN"/>
      </w:rPr>
    </w:lvl>
    <w:lvl w:ilvl="5">
      <w:start w:val="0"/>
      <w:numFmt w:val="bullet"/>
      <w:lvlText w:val="•"/>
      <w:lvlJc w:val="left"/>
      <w:pPr>
        <w:ind w:left="6623" w:hanging="361"/>
      </w:pPr>
      <w:rPr>
        <w:rFonts w:hint="default"/>
        <w:lang w:val="zh-CN" w:eastAsia="zh-CN" w:bidi="zh-CN"/>
      </w:rPr>
    </w:lvl>
    <w:lvl w:ilvl="6">
      <w:start w:val="0"/>
      <w:numFmt w:val="bullet"/>
      <w:lvlText w:val="•"/>
      <w:lvlJc w:val="left"/>
      <w:pPr>
        <w:ind w:left="7275" w:hanging="361"/>
      </w:pPr>
      <w:rPr>
        <w:rFonts w:hint="default"/>
        <w:lang w:val="zh-CN" w:eastAsia="zh-CN" w:bidi="zh-CN"/>
      </w:rPr>
    </w:lvl>
    <w:lvl w:ilvl="7">
      <w:start w:val="0"/>
      <w:numFmt w:val="bullet"/>
      <w:lvlText w:val="•"/>
      <w:lvlJc w:val="left"/>
      <w:pPr>
        <w:ind w:left="7928" w:hanging="361"/>
      </w:pPr>
      <w:rPr>
        <w:rFonts w:hint="default"/>
        <w:lang w:val="zh-CN" w:eastAsia="zh-CN" w:bidi="zh-CN"/>
      </w:rPr>
    </w:lvl>
    <w:lvl w:ilvl="8">
      <w:start w:val="0"/>
      <w:numFmt w:val="bullet"/>
      <w:lvlText w:val="•"/>
      <w:lvlJc w:val="left"/>
      <w:pPr>
        <w:ind w:left="8580" w:hanging="361"/>
      </w:pPr>
      <w:rPr>
        <w:rFonts w:hint="default"/>
        <w:lang w:val="zh-CN" w:eastAsia="zh-CN" w:bidi="zh-CN"/>
      </w:rPr>
    </w:lvl>
  </w:abstractNum>
  <w:abstractNum w:abstractNumId="9">
    <w:nsid w:val="0248C179"/>
    <w:multiLevelType w:val="multilevel"/>
    <w:tmpl w:val="0248C179"/>
    <w:lvl w:ilvl="0">
      <w:start w:val="1"/>
      <w:numFmt w:val="decimal"/>
      <w:lvlText w:val="（%1）"/>
      <w:lvlJc w:val="left"/>
      <w:pPr>
        <w:ind w:left="106" w:hanging="527"/>
        <w:jc w:val="left"/>
      </w:pPr>
      <w:rPr>
        <w:rFonts w:ascii="宋体" w:eastAsia="宋体" w:hAnsi="宋体" w:cs="宋体" w:hint="default"/>
        <w:spacing w:val="-15"/>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0">
    <w:nsid w:val="03D62ECE"/>
    <w:multiLevelType w:val="multilevel"/>
    <w:tmpl w:val="03D62ECE"/>
    <w:lvl w:ilvl="0">
      <w:start w:val="1"/>
      <w:numFmt w:val="decimal"/>
      <w:lvlText w:val="（%1）"/>
      <w:lvlJc w:val="left"/>
      <w:pPr>
        <w:ind w:left="118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4" w:hanging="601"/>
      </w:pPr>
      <w:rPr>
        <w:rFonts w:hint="default"/>
        <w:lang w:val="zh-CN" w:eastAsia="zh-CN" w:bidi="zh-CN"/>
      </w:rPr>
    </w:lvl>
    <w:lvl w:ilvl="2">
      <w:start w:val="0"/>
      <w:numFmt w:val="bullet"/>
      <w:lvlText w:val="•"/>
      <w:lvlJc w:val="left"/>
      <w:pPr>
        <w:ind w:left="2649" w:hanging="601"/>
      </w:pPr>
      <w:rPr>
        <w:rFonts w:hint="default"/>
        <w:lang w:val="zh-CN" w:eastAsia="zh-CN" w:bidi="zh-CN"/>
      </w:rPr>
    </w:lvl>
    <w:lvl w:ilvl="3">
      <w:start w:val="0"/>
      <w:numFmt w:val="bullet"/>
      <w:lvlText w:val="•"/>
      <w:lvlJc w:val="left"/>
      <w:pPr>
        <w:ind w:left="3384" w:hanging="601"/>
      </w:pPr>
      <w:rPr>
        <w:rFonts w:hint="default"/>
        <w:lang w:val="zh-CN" w:eastAsia="zh-CN" w:bidi="zh-CN"/>
      </w:rPr>
    </w:lvl>
    <w:lvl w:ilvl="4">
      <w:start w:val="0"/>
      <w:numFmt w:val="bullet"/>
      <w:lvlText w:val="•"/>
      <w:lvlJc w:val="left"/>
      <w:pPr>
        <w:ind w:left="4119" w:hanging="601"/>
      </w:pPr>
      <w:rPr>
        <w:rFonts w:hint="default"/>
        <w:lang w:val="zh-CN" w:eastAsia="zh-CN" w:bidi="zh-CN"/>
      </w:rPr>
    </w:lvl>
    <w:lvl w:ilvl="5">
      <w:start w:val="0"/>
      <w:numFmt w:val="bullet"/>
      <w:lvlText w:val="•"/>
      <w:lvlJc w:val="left"/>
      <w:pPr>
        <w:ind w:left="4854" w:hanging="601"/>
      </w:pPr>
      <w:rPr>
        <w:rFonts w:hint="default"/>
        <w:lang w:val="zh-CN" w:eastAsia="zh-CN" w:bidi="zh-CN"/>
      </w:rPr>
    </w:lvl>
    <w:lvl w:ilvl="6">
      <w:start w:val="0"/>
      <w:numFmt w:val="bullet"/>
      <w:lvlText w:val="•"/>
      <w:lvlJc w:val="left"/>
      <w:pPr>
        <w:ind w:left="5588" w:hanging="601"/>
      </w:pPr>
      <w:rPr>
        <w:rFonts w:hint="default"/>
        <w:lang w:val="zh-CN" w:eastAsia="zh-CN" w:bidi="zh-CN"/>
      </w:rPr>
    </w:lvl>
    <w:lvl w:ilvl="7">
      <w:start w:val="0"/>
      <w:numFmt w:val="bullet"/>
      <w:lvlText w:val="•"/>
      <w:lvlJc w:val="left"/>
      <w:pPr>
        <w:ind w:left="6323" w:hanging="601"/>
      </w:pPr>
      <w:rPr>
        <w:rFonts w:hint="default"/>
        <w:lang w:val="zh-CN" w:eastAsia="zh-CN" w:bidi="zh-CN"/>
      </w:rPr>
    </w:lvl>
    <w:lvl w:ilvl="8">
      <w:start w:val="0"/>
      <w:numFmt w:val="bullet"/>
      <w:lvlText w:val="•"/>
      <w:lvlJc w:val="left"/>
      <w:pPr>
        <w:ind w:left="7058" w:hanging="601"/>
      </w:pPr>
      <w:rPr>
        <w:rFonts w:hint="default"/>
        <w:lang w:val="zh-CN" w:eastAsia="zh-CN" w:bidi="zh-CN"/>
      </w:rPr>
    </w:lvl>
  </w:abstractNum>
  <w:abstractNum w:abstractNumId="11">
    <w:nsid w:val="2470EC97"/>
    <w:multiLevelType w:val="multilevel"/>
    <w:tmpl w:val="2470EC97"/>
    <w:lvl w:ilvl="0">
      <w:start w:val="2"/>
      <w:numFmt w:val="decimal"/>
      <w:lvlText w:val="（%1）"/>
      <w:lvlJc w:val="left"/>
      <w:pPr>
        <w:ind w:left="1792" w:hanging="527"/>
        <w:jc w:val="left"/>
      </w:pPr>
      <w:rPr>
        <w:rFonts w:ascii="宋体" w:eastAsia="宋体" w:hAnsi="宋体" w:cs="宋体" w:hint="default"/>
        <w:spacing w:val="-29"/>
        <w:w w:val="99"/>
        <w:sz w:val="19"/>
        <w:szCs w:val="19"/>
        <w:lang w:val="zh-CN" w:eastAsia="zh-CN" w:bidi="zh-CN"/>
      </w:rPr>
    </w:lvl>
    <w:lvl w:ilvl="1">
      <w:start w:val="0"/>
      <w:numFmt w:val="bullet"/>
      <w:lvlText w:val="•"/>
      <w:lvlJc w:val="left"/>
      <w:pPr>
        <w:ind w:left="2608" w:hanging="527"/>
      </w:pPr>
      <w:rPr>
        <w:rFonts w:hint="default"/>
        <w:lang w:val="zh-CN" w:eastAsia="zh-CN" w:bidi="zh-CN"/>
      </w:rPr>
    </w:lvl>
    <w:lvl w:ilvl="2">
      <w:start w:val="0"/>
      <w:numFmt w:val="bullet"/>
      <w:lvlText w:val="•"/>
      <w:lvlJc w:val="left"/>
      <w:pPr>
        <w:ind w:left="3417" w:hanging="527"/>
      </w:pPr>
      <w:rPr>
        <w:rFonts w:hint="default"/>
        <w:lang w:val="zh-CN" w:eastAsia="zh-CN" w:bidi="zh-CN"/>
      </w:rPr>
    </w:lvl>
    <w:lvl w:ilvl="3">
      <w:start w:val="0"/>
      <w:numFmt w:val="bullet"/>
      <w:lvlText w:val="•"/>
      <w:lvlJc w:val="left"/>
      <w:pPr>
        <w:ind w:left="4225" w:hanging="527"/>
      </w:pPr>
      <w:rPr>
        <w:rFonts w:hint="default"/>
        <w:lang w:val="zh-CN" w:eastAsia="zh-CN" w:bidi="zh-CN"/>
      </w:rPr>
    </w:lvl>
    <w:lvl w:ilvl="4">
      <w:start w:val="0"/>
      <w:numFmt w:val="bullet"/>
      <w:lvlText w:val="•"/>
      <w:lvlJc w:val="left"/>
      <w:pPr>
        <w:ind w:left="5034" w:hanging="527"/>
      </w:pPr>
      <w:rPr>
        <w:rFonts w:hint="default"/>
        <w:lang w:val="zh-CN" w:eastAsia="zh-CN" w:bidi="zh-CN"/>
      </w:rPr>
    </w:lvl>
    <w:lvl w:ilvl="5">
      <w:start w:val="0"/>
      <w:numFmt w:val="bullet"/>
      <w:lvlText w:val="•"/>
      <w:lvlJc w:val="left"/>
      <w:pPr>
        <w:ind w:left="5843" w:hanging="527"/>
      </w:pPr>
      <w:rPr>
        <w:rFonts w:hint="default"/>
        <w:lang w:val="zh-CN" w:eastAsia="zh-CN" w:bidi="zh-CN"/>
      </w:rPr>
    </w:lvl>
    <w:lvl w:ilvl="6">
      <w:start w:val="0"/>
      <w:numFmt w:val="bullet"/>
      <w:lvlText w:val="•"/>
      <w:lvlJc w:val="left"/>
      <w:pPr>
        <w:ind w:left="6651" w:hanging="527"/>
      </w:pPr>
      <w:rPr>
        <w:rFonts w:hint="default"/>
        <w:lang w:val="zh-CN" w:eastAsia="zh-CN" w:bidi="zh-CN"/>
      </w:rPr>
    </w:lvl>
    <w:lvl w:ilvl="7">
      <w:start w:val="0"/>
      <w:numFmt w:val="bullet"/>
      <w:lvlText w:val="•"/>
      <w:lvlJc w:val="left"/>
      <w:pPr>
        <w:ind w:left="7460" w:hanging="527"/>
      </w:pPr>
      <w:rPr>
        <w:rFonts w:hint="default"/>
        <w:lang w:val="zh-CN" w:eastAsia="zh-CN" w:bidi="zh-CN"/>
      </w:rPr>
    </w:lvl>
    <w:lvl w:ilvl="8">
      <w:start w:val="0"/>
      <w:numFmt w:val="bullet"/>
      <w:lvlText w:val="•"/>
      <w:lvlJc w:val="left"/>
      <w:pPr>
        <w:ind w:left="8268" w:hanging="527"/>
      </w:pPr>
      <w:rPr>
        <w:rFonts w:hint="default"/>
        <w:lang w:val="zh-CN" w:eastAsia="zh-CN" w:bidi="zh-CN"/>
      </w:rPr>
    </w:lvl>
  </w:abstractNum>
  <w:abstractNum w:abstractNumId="12">
    <w:nsid w:val="25B654F3"/>
    <w:multiLevelType w:val="multilevel"/>
    <w:tmpl w:val="25B654F3"/>
    <w:lvl w:ilvl="0">
      <w:start w:val="1"/>
      <w:numFmt w:val="decimal"/>
      <w:lvlText w:val="（%1）"/>
      <w:lvlJc w:val="left"/>
      <w:pPr>
        <w:ind w:left="2205"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968" w:hanging="601"/>
      </w:pPr>
      <w:rPr>
        <w:rFonts w:hint="default"/>
        <w:lang w:val="zh-CN" w:eastAsia="zh-CN" w:bidi="zh-CN"/>
      </w:rPr>
    </w:lvl>
    <w:lvl w:ilvl="2">
      <w:start w:val="0"/>
      <w:numFmt w:val="bullet"/>
      <w:lvlText w:val="•"/>
      <w:lvlJc w:val="left"/>
      <w:pPr>
        <w:ind w:left="3737" w:hanging="601"/>
      </w:pPr>
      <w:rPr>
        <w:rFonts w:hint="default"/>
        <w:lang w:val="zh-CN" w:eastAsia="zh-CN" w:bidi="zh-CN"/>
      </w:rPr>
    </w:lvl>
    <w:lvl w:ilvl="3">
      <w:start w:val="0"/>
      <w:numFmt w:val="bullet"/>
      <w:lvlText w:val="•"/>
      <w:lvlJc w:val="left"/>
      <w:pPr>
        <w:ind w:left="4505" w:hanging="601"/>
      </w:pPr>
      <w:rPr>
        <w:rFonts w:hint="default"/>
        <w:lang w:val="zh-CN" w:eastAsia="zh-CN" w:bidi="zh-CN"/>
      </w:rPr>
    </w:lvl>
    <w:lvl w:ilvl="4">
      <w:start w:val="0"/>
      <w:numFmt w:val="bullet"/>
      <w:lvlText w:val="•"/>
      <w:lvlJc w:val="left"/>
      <w:pPr>
        <w:ind w:left="5274" w:hanging="601"/>
      </w:pPr>
      <w:rPr>
        <w:rFonts w:hint="default"/>
        <w:lang w:val="zh-CN" w:eastAsia="zh-CN" w:bidi="zh-CN"/>
      </w:rPr>
    </w:lvl>
    <w:lvl w:ilvl="5">
      <w:start w:val="0"/>
      <w:numFmt w:val="bullet"/>
      <w:lvlText w:val="•"/>
      <w:lvlJc w:val="left"/>
      <w:pPr>
        <w:ind w:left="6043" w:hanging="601"/>
      </w:pPr>
      <w:rPr>
        <w:rFonts w:hint="default"/>
        <w:lang w:val="zh-CN" w:eastAsia="zh-CN" w:bidi="zh-CN"/>
      </w:rPr>
    </w:lvl>
    <w:lvl w:ilvl="6">
      <w:start w:val="0"/>
      <w:numFmt w:val="bullet"/>
      <w:lvlText w:val="•"/>
      <w:lvlJc w:val="left"/>
      <w:pPr>
        <w:ind w:left="6811" w:hanging="601"/>
      </w:pPr>
      <w:rPr>
        <w:rFonts w:hint="default"/>
        <w:lang w:val="zh-CN" w:eastAsia="zh-CN" w:bidi="zh-CN"/>
      </w:rPr>
    </w:lvl>
    <w:lvl w:ilvl="7">
      <w:start w:val="0"/>
      <w:numFmt w:val="bullet"/>
      <w:lvlText w:val="•"/>
      <w:lvlJc w:val="left"/>
      <w:pPr>
        <w:ind w:left="7580" w:hanging="601"/>
      </w:pPr>
      <w:rPr>
        <w:rFonts w:hint="default"/>
        <w:lang w:val="zh-CN" w:eastAsia="zh-CN" w:bidi="zh-CN"/>
      </w:rPr>
    </w:lvl>
    <w:lvl w:ilvl="8">
      <w:start w:val="0"/>
      <w:numFmt w:val="bullet"/>
      <w:lvlText w:val="•"/>
      <w:lvlJc w:val="left"/>
      <w:pPr>
        <w:ind w:left="8348" w:hanging="601"/>
      </w:pPr>
      <w:rPr>
        <w:rFonts w:hint="default"/>
        <w:lang w:val="zh-CN" w:eastAsia="zh-CN" w:bidi="zh-CN"/>
      </w:rPr>
    </w:lvl>
  </w:abstractNum>
  <w:abstractNum w:abstractNumId="13">
    <w:nsid w:val="2A8F537B"/>
    <w:multiLevelType w:val="multilevel"/>
    <w:tmpl w:val="2A8F537B"/>
    <w:lvl w:ilvl="0">
      <w:start w:val="1"/>
      <w:numFmt w:val="decimal"/>
      <w:lvlText w:val="（%1）"/>
      <w:lvlJc w:val="left"/>
      <w:pPr>
        <w:ind w:left="106" w:hanging="527"/>
        <w:jc w:val="left"/>
      </w:pPr>
      <w:rPr>
        <w:rFonts w:ascii="宋体" w:eastAsia="宋体" w:hAnsi="宋体" w:cs="宋体" w:hint="default"/>
        <w:spacing w:val="-20"/>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abstractNum w:abstractNumId="14">
    <w:nsid w:val="4D4DC07F"/>
    <w:multiLevelType w:val="multilevel"/>
    <w:tmpl w:val="4D4DC07F"/>
    <w:lvl w:ilvl="0">
      <w:start w:val="1"/>
      <w:numFmt w:val="decimal"/>
      <w:lvlText w:val="（%1）"/>
      <w:lvlJc w:val="left"/>
      <w:pPr>
        <w:ind w:left="2739" w:hanging="528"/>
        <w:jc w:val="left"/>
      </w:pPr>
      <w:rPr>
        <w:rFonts w:ascii="宋体" w:eastAsia="宋体" w:hAnsi="宋体" w:cs="宋体" w:hint="default"/>
        <w:spacing w:val="1"/>
        <w:w w:val="99"/>
        <w:sz w:val="19"/>
        <w:szCs w:val="19"/>
        <w:lang w:val="zh-CN" w:eastAsia="zh-CN" w:bidi="zh-CN"/>
      </w:rPr>
    </w:lvl>
    <w:lvl w:ilvl="1">
      <w:start w:val="0"/>
      <w:numFmt w:val="bullet"/>
      <w:lvlText w:val="•"/>
      <w:lvlJc w:val="left"/>
      <w:pPr>
        <w:ind w:left="3454" w:hanging="528"/>
      </w:pPr>
      <w:rPr>
        <w:rFonts w:hint="default"/>
        <w:lang w:val="zh-CN" w:eastAsia="zh-CN" w:bidi="zh-CN"/>
      </w:rPr>
    </w:lvl>
    <w:lvl w:ilvl="2">
      <w:start w:val="0"/>
      <w:numFmt w:val="bullet"/>
      <w:lvlText w:val="•"/>
      <w:lvlJc w:val="left"/>
      <w:pPr>
        <w:ind w:left="4169" w:hanging="528"/>
      </w:pPr>
      <w:rPr>
        <w:rFonts w:hint="default"/>
        <w:lang w:val="zh-CN" w:eastAsia="zh-CN" w:bidi="zh-CN"/>
      </w:rPr>
    </w:lvl>
    <w:lvl w:ilvl="3">
      <w:start w:val="0"/>
      <w:numFmt w:val="bullet"/>
      <w:lvlText w:val="•"/>
      <w:lvlJc w:val="left"/>
      <w:pPr>
        <w:ind w:left="4883" w:hanging="528"/>
      </w:pPr>
      <w:rPr>
        <w:rFonts w:hint="default"/>
        <w:lang w:val="zh-CN" w:eastAsia="zh-CN" w:bidi="zh-CN"/>
      </w:rPr>
    </w:lvl>
    <w:lvl w:ilvl="4">
      <w:start w:val="0"/>
      <w:numFmt w:val="bullet"/>
      <w:lvlText w:val="•"/>
      <w:lvlJc w:val="left"/>
      <w:pPr>
        <w:ind w:left="5598" w:hanging="528"/>
      </w:pPr>
      <w:rPr>
        <w:rFonts w:hint="default"/>
        <w:lang w:val="zh-CN" w:eastAsia="zh-CN" w:bidi="zh-CN"/>
      </w:rPr>
    </w:lvl>
    <w:lvl w:ilvl="5">
      <w:start w:val="0"/>
      <w:numFmt w:val="bullet"/>
      <w:lvlText w:val="•"/>
      <w:lvlJc w:val="left"/>
      <w:pPr>
        <w:ind w:left="6313" w:hanging="528"/>
      </w:pPr>
      <w:rPr>
        <w:rFonts w:hint="default"/>
        <w:lang w:val="zh-CN" w:eastAsia="zh-CN" w:bidi="zh-CN"/>
      </w:rPr>
    </w:lvl>
    <w:lvl w:ilvl="6">
      <w:start w:val="0"/>
      <w:numFmt w:val="bullet"/>
      <w:lvlText w:val="•"/>
      <w:lvlJc w:val="left"/>
      <w:pPr>
        <w:ind w:left="7027" w:hanging="528"/>
      </w:pPr>
      <w:rPr>
        <w:rFonts w:hint="default"/>
        <w:lang w:val="zh-CN" w:eastAsia="zh-CN" w:bidi="zh-CN"/>
      </w:rPr>
    </w:lvl>
    <w:lvl w:ilvl="7">
      <w:start w:val="0"/>
      <w:numFmt w:val="bullet"/>
      <w:lvlText w:val="•"/>
      <w:lvlJc w:val="left"/>
      <w:pPr>
        <w:ind w:left="7742" w:hanging="528"/>
      </w:pPr>
      <w:rPr>
        <w:rFonts w:hint="default"/>
        <w:lang w:val="zh-CN" w:eastAsia="zh-CN" w:bidi="zh-CN"/>
      </w:rPr>
    </w:lvl>
    <w:lvl w:ilvl="8">
      <w:start w:val="0"/>
      <w:numFmt w:val="bullet"/>
      <w:lvlText w:val="•"/>
      <w:lvlJc w:val="left"/>
      <w:pPr>
        <w:ind w:left="8456" w:hanging="528"/>
      </w:pPr>
      <w:rPr>
        <w:rFonts w:hint="default"/>
        <w:lang w:val="zh-CN" w:eastAsia="zh-CN" w:bidi="zh-CN"/>
      </w:rPr>
    </w:lvl>
  </w:abstractNum>
  <w:abstractNum w:abstractNumId="15">
    <w:nsid w:val="59ADCABA"/>
    <w:multiLevelType w:val="multilevel"/>
    <w:tmpl w:val="59ADCABA"/>
    <w:lvl w:ilvl="0">
      <w:start w:val="1"/>
      <w:numFmt w:val="decimal"/>
      <w:lvlText w:val="（%1）"/>
      <w:lvlJc w:val="left"/>
      <w:pPr>
        <w:ind w:left="118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1914" w:hanging="601"/>
      </w:pPr>
      <w:rPr>
        <w:rFonts w:hint="default"/>
        <w:lang w:val="zh-CN" w:eastAsia="zh-CN" w:bidi="zh-CN"/>
      </w:rPr>
    </w:lvl>
    <w:lvl w:ilvl="2">
      <w:start w:val="0"/>
      <w:numFmt w:val="bullet"/>
      <w:lvlText w:val="•"/>
      <w:lvlJc w:val="left"/>
      <w:pPr>
        <w:ind w:left="2649" w:hanging="601"/>
      </w:pPr>
      <w:rPr>
        <w:rFonts w:hint="default"/>
        <w:lang w:val="zh-CN" w:eastAsia="zh-CN" w:bidi="zh-CN"/>
      </w:rPr>
    </w:lvl>
    <w:lvl w:ilvl="3">
      <w:start w:val="0"/>
      <w:numFmt w:val="bullet"/>
      <w:lvlText w:val="•"/>
      <w:lvlJc w:val="left"/>
      <w:pPr>
        <w:ind w:left="3384" w:hanging="601"/>
      </w:pPr>
      <w:rPr>
        <w:rFonts w:hint="default"/>
        <w:lang w:val="zh-CN" w:eastAsia="zh-CN" w:bidi="zh-CN"/>
      </w:rPr>
    </w:lvl>
    <w:lvl w:ilvl="4">
      <w:start w:val="0"/>
      <w:numFmt w:val="bullet"/>
      <w:lvlText w:val="•"/>
      <w:lvlJc w:val="left"/>
      <w:pPr>
        <w:ind w:left="4119" w:hanging="601"/>
      </w:pPr>
      <w:rPr>
        <w:rFonts w:hint="default"/>
        <w:lang w:val="zh-CN" w:eastAsia="zh-CN" w:bidi="zh-CN"/>
      </w:rPr>
    </w:lvl>
    <w:lvl w:ilvl="5">
      <w:start w:val="0"/>
      <w:numFmt w:val="bullet"/>
      <w:lvlText w:val="•"/>
      <w:lvlJc w:val="left"/>
      <w:pPr>
        <w:ind w:left="4854" w:hanging="601"/>
      </w:pPr>
      <w:rPr>
        <w:rFonts w:hint="default"/>
        <w:lang w:val="zh-CN" w:eastAsia="zh-CN" w:bidi="zh-CN"/>
      </w:rPr>
    </w:lvl>
    <w:lvl w:ilvl="6">
      <w:start w:val="0"/>
      <w:numFmt w:val="bullet"/>
      <w:lvlText w:val="•"/>
      <w:lvlJc w:val="left"/>
      <w:pPr>
        <w:ind w:left="5588" w:hanging="601"/>
      </w:pPr>
      <w:rPr>
        <w:rFonts w:hint="default"/>
        <w:lang w:val="zh-CN" w:eastAsia="zh-CN" w:bidi="zh-CN"/>
      </w:rPr>
    </w:lvl>
    <w:lvl w:ilvl="7">
      <w:start w:val="0"/>
      <w:numFmt w:val="bullet"/>
      <w:lvlText w:val="•"/>
      <w:lvlJc w:val="left"/>
      <w:pPr>
        <w:ind w:left="6323" w:hanging="601"/>
      </w:pPr>
      <w:rPr>
        <w:rFonts w:hint="default"/>
        <w:lang w:val="zh-CN" w:eastAsia="zh-CN" w:bidi="zh-CN"/>
      </w:rPr>
    </w:lvl>
    <w:lvl w:ilvl="8">
      <w:start w:val="0"/>
      <w:numFmt w:val="bullet"/>
      <w:lvlText w:val="•"/>
      <w:lvlJc w:val="left"/>
      <w:pPr>
        <w:ind w:left="7058" w:hanging="601"/>
      </w:pPr>
      <w:rPr>
        <w:rFonts w:hint="default"/>
        <w:lang w:val="zh-CN" w:eastAsia="zh-CN" w:bidi="zh-CN"/>
      </w:rPr>
    </w:lvl>
  </w:abstractNum>
  <w:abstractNum w:abstractNumId="16">
    <w:nsid w:val="5A241D34"/>
    <w:multiLevelType w:val="multilevel"/>
    <w:tmpl w:val="5A241D34"/>
    <w:lvl w:ilvl="0">
      <w:start w:val="1"/>
      <w:numFmt w:val="decimal"/>
      <w:lvlText w:val="%1）"/>
      <w:lvlJc w:val="left"/>
      <w:pPr>
        <w:ind w:left="1792" w:hanging="316"/>
        <w:jc w:val="left"/>
      </w:pPr>
      <w:rPr>
        <w:rFonts w:ascii="Times New Roman" w:eastAsia="Times New Roman" w:hAnsi="Times New Roman" w:cs="Times New Roman" w:hint="default"/>
        <w:spacing w:val="-1"/>
        <w:w w:val="99"/>
        <w:sz w:val="19"/>
        <w:szCs w:val="19"/>
        <w:lang w:val="zh-CN" w:eastAsia="zh-CN" w:bidi="zh-CN"/>
      </w:rPr>
    </w:lvl>
    <w:lvl w:ilvl="1">
      <w:start w:val="0"/>
      <w:numFmt w:val="bullet"/>
      <w:lvlText w:val="•"/>
      <w:lvlJc w:val="left"/>
      <w:pPr>
        <w:ind w:left="2608" w:hanging="316"/>
      </w:pPr>
      <w:rPr>
        <w:rFonts w:hint="default"/>
        <w:lang w:val="zh-CN" w:eastAsia="zh-CN" w:bidi="zh-CN"/>
      </w:rPr>
    </w:lvl>
    <w:lvl w:ilvl="2">
      <w:start w:val="0"/>
      <w:numFmt w:val="bullet"/>
      <w:lvlText w:val="•"/>
      <w:lvlJc w:val="left"/>
      <w:pPr>
        <w:ind w:left="3417" w:hanging="316"/>
      </w:pPr>
      <w:rPr>
        <w:rFonts w:hint="default"/>
        <w:lang w:val="zh-CN" w:eastAsia="zh-CN" w:bidi="zh-CN"/>
      </w:rPr>
    </w:lvl>
    <w:lvl w:ilvl="3">
      <w:start w:val="0"/>
      <w:numFmt w:val="bullet"/>
      <w:lvlText w:val="•"/>
      <w:lvlJc w:val="left"/>
      <w:pPr>
        <w:ind w:left="4225" w:hanging="316"/>
      </w:pPr>
      <w:rPr>
        <w:rFonts w:hint="default"/>
        <w:lang w:val="zh-CN" w:eastAsia="zh-CN" w:bidi="zh-CN"/>
      </w:rPr>
    </w:lvl>
    <w:lvl w:ilvl="4">
      <w:start w:val="0"/>
      <w:numFmt w:val="bullet"/>
      <w:lvlText w:val="•"/>
      <w:lvlJc w:val="left"/>
      <w:pPr>
        <w:ind w:left="5034" w:hanging="316"/>
      </w:pPr>
      <w:rPr>
        <w:rFonts w:hint="default"/>
        <w:lang w:val="zh-CN" w:eastAsia="zh-CN" w:bidi="zh-CN"/>
      </w:rPr>
    </w:lvl>
    <w:lvl w:ilvl="5">
      <w:start w:val="0"/>
      <w:numFmt w:val="bullet"/>
      <w:lvlText w:val="•"/>
      <w:lvlJc w:val="left"/>
      <w:pPr>
        <w:ind w:left="5843" w:hanging="316"/>
      </w:pPr>
      <w:rPr>
        <w:rFonts w:hint="default"/>
        <w:lang w:val="zh-CN" w:eastAsia="zh-CN" w:bidi="zh-CN"/>
      </w:rPr>
    </w:lvl>
    <w:lvl w:ilvl="6">
      <w:start w:val="0"/>
      <w:numFmt w:val="bullet"/>
      <w:lvlText w:val="•"/>
      <w:lvlJc w:val="left"/>
      <w:pPr>
        <w:ind w:left="6651" w:hanging="316"/>
      </w:pPr>
      <w:rPr>
        <w:rFonts w:hint="default"/>
        <w:lang w:val="zh-CN" w:eastAsia="zh-CN" w:bidi="zh-CN"/>
      </w:rPr>
    </w:lvl>
    <w:lvl w:ilvl="7">
      <w:start w:val="0"/>
      <w:numFmt w:val="bullet"/>
      <w:lvlText w:val="•"/>
      <w:lvlJc w:val="left"/>
      <w:pPr>
        <w:ind w:left="7460" w:hanging="316"/>
      </w:pPr>
      <w:rPr>
        <w:rFonts w:hint="default"/>
        <w:lang w:val="zh-CN" w:eastAsia="zh-CN" w:bidi="zh-CN"/>
      </w:rPr>
    </w:lvl>
    <w:lvl w:ilvl="8">
      <w:start w:val="0"/>
      <w:numFmt w:val="bullet"/>
      <w:lvlText w:val="•"/>
      <w:lvlJc w:val="left"/>
      <w:pPr>
        <w:ind w:left="8268" w:hanging="316"/>
      </w:pPr>
      <w:rPr>
        <w:rFonts w:hint="default"/>
        <w:lang w:val="zh-CN" w:eastAsia="zh-CN" w:bidi="zh-CN"/>
      </w:rPr>
    </w:lvl>
  </w:abstractNum>
  <w:abstractNum w:abstractNumId="17">
    <w:nsid w:val="72183CF9"/>
    <w:multiLevelType w:val="multilevel"/>
    <w:tmpl w:val="72183CF9"/>
    <w:lvl w:ilvl="0">
      <w:start w:val="1"/>
      <w:numFmt w:val="decimal"/>
      <w:lvlText w:val="（%1）"/>
      <w:lvlJc w:val="left"/>
      <w:pPr>
        <w:ind w:left="106" w:hanging="527"/>
        <w:jc w:val="left"/>
      </w:pPr>
      <w:rPr>
        <w:rFonts w:ascii="宋体" w:eastAsia="宋体" w:hAnsi="宋体" w:cs="宋体" w:hint="default"/>
        <w:spacing w:val="-20"/>
        <w:w w:val="99"/>
        <w:sz w:val="19"/>
        <w:szCs w:val="19"/>
        <w:lang w:val="zh-CN" w:eastAsia="zh-CN" w:bidi="zh-CN"/>
      </w:rPr>
    </w:lvl>
    <w:lvl w:ilvl="1">
      <w:start w:val="0"/>
      <w:numFmt w:val="bullet"/>
      <w:lvlText w:val="•"/>
      <w:lvlJc w:val="left"/>
      <w:pPr>
        <w:ind w:left="892" w:hanging="527"/>
      </w:pPr>
      <w:rPr>
        <w:rFonts w:hint="default"/>
        <w:lang w:val="zh-CN" w:eastAsia="zh-CN" w:bidi="zh-CN"/>
      </w:rPr>
    </w:lvl>
    <w:lvl w:ilvl="2">
      <w:start w:val="0"/>
      <w:numFmt w:val="bullet"/>
      <w:lvlText w:val="•"/>
      <w:lvlJc w:val="left"/>
      <w:pPr>
        <w:ind w:left="1684" w:hanging="527"/>
      </w:pPr>
      <w:rPr>
        <w:rFonts w:hint="default"/>
        <w:lang w:val="zh-CN" w:eastAsia="zh-CN" w:bidi="zh-CN"/>
      </w:rPr>
    </w:lvl>
    <w:lvl w:ilvl="3">
      <w:start w:val="0"/>
      <w:numFmt w:val="bullet"/>
      <w:lvlText w:val="•"/>
      <w:lvlJc w:val="left"/>
      <w:pPr>
        <w:ind w:left="2476" w:hanging="527"/>
      </w:pPr>
      <w:rPr>
        <w:rFonts w:hint="default"/>
        <w:lang w:val="zh-CN" w:eastAsia="zh-CN" w:bidi="zh-CN"/>
      </w:rPr>
    </w:lvl>
    <w:lvl w:ilvl="4">
      <w:start w:val="0"/>
      <w:numFmt w:val="bullet"/>
      <w:lvlText w:val="•"/>
      <w:lvlJc w:val="left"/>
      <w:pPr>
        <w:ind w:left="3269" w:hanging="527"/>
      </w:pPr>
      <w:rPr>
        <w:rFonts w:hint="default"/>
        <w:lang w:val="zh-CN" w:eastAsia="zh-CN" w:bidi="zh-CN"/>
      </w:rPr>
    </w:lvl>
    <w:lvl w:ilvl="5">
      <w:start w:val="0"/>
      <w:numFmt w:val="bullet"/>
      <w:lvlText w:val="•"/>
      <w:lvlJc w:val="left"/>
      <w:pPr>
        <w:ind w:left="4061" w:hanging="527"/>
      </w:pPr>
      <w:rPr>
        <w:rFonts w:hint="default"/>
        <w:lang w:val="zh-CN" w:eastAsia="zh-CN" w:bidi="zh-CN"/>
      </w:rPr>
    </w:lvl>
    <w:lvl w:ilvl="6">
      <w:start w:val="0"/>
      <w:numFmt w:val="bullet"/>
      <w:lvlText w:val="•"/>
      <w:lvlJc w:val="left"/>
      <w:pPr>
        <w:ind w:left="4853" w:hanging="527"/>
      </w:pPr>
      <w:rPr>
        <w:rFonts w:hint="default"/>
        <w:lang w:val="zh-CN" w:eastAsia="zh-CN" w:bidi="zh-CN"/>
      </w:rPr>
    </w:lvl>
    <w:lvl w:ilvl="7">
      <w:start w:val="0"/>
      <w:numFmt w:val="bullet"/>
      <w:lvlText w:val="•"/>
      <w:lvlJc w:val="left"/>
      <w:pPr>
        <w:ind w:left="5646" w:hanging="527"/>
      </w:pPr>
      <w:rPr>
        <w:rFonts w:hint="default"/>
        <w:lang w:val="zh-CN" w:eastAsia="zh-CN" w:bidi="zh-CN"/>
      </w:rPr>
    </w:lvl>
    <w:lvl w:ilvl="8">
      <w:start w:val="0"/>
      <w:numFmt w:val="bullet"/>
      <w:lvlText w:val="•"/>
      <w:lvlJc w:val="left"/>
      <w:pPr>
        <w:ind w:left="6438" w:hanging="527"/>
      </w:pPr>
      <w:rPr>
        <w:rFonts w:hint="default"/>
        <w:lang w:val="zh-CN" w:eastAsia="zh-CN" w:bidi="zh-CN"/>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AC7098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30"/>
      <w:ind w:left="653" w:right="708"/>
      <w:jc w:val="center"/>
      <w:outlineLvl w:val="0"/>
    </w:pPr>
    <w:rPr>
      <w:rFonts w:ascii="宋体" w:eastAsia="宋体" w:hAnsi="宋体" w:cs="宋体"/>
      <w:b/>
      <w:bCs/>
      <w:sz w:val="32"/>
      <w:szCs w:val="32"/>
      <w:lang w:val="zh-CN" w:eastAsia="zh-CN" w:bidi="zh-CN"/>
    </w:rPr>
  </w:style>
  <w:style w:type="paragraph" w:styleId="Heading2">
    <w:name w:val="heading 2"/>
    <w:basedOn w:val="Normal"/>
    <w:next w:val="Normal"/>
    <w:uiPriority w:val="1"/>
    <w:qFormat/>
    <w:pPr>
      <w:ind w:left="3367"/>
      <w:outlineLvl w:val="1"/>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792" w:firstLine="420"/>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image" Target="media/image1.png"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hyperlink" Target="https://d.book118.com/216052132042010054" TargetMode="External" /><Relationship Id="rId25" Type="http://schemas.openxmlformats.org/officeDocument/2006/relationships/footer" Target="footer1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8"/>
    <customShpInfo spid="_x0000_s1039"/>
    <customShpInfo spid="_x0000_s1040"/>
    <customShpInfo spid="_x0000_s1041"/>
    <customShpInfo spid="_x0000_s1037"/>
    <customShpInfo spid="_x0000_s1042"/>
    <customShpInfo spid="_x0000_s1043"/>
    <customShpInfo spid="_x0000_s1044"/>
    <customShpInfo spid="_x0000_s1045"/>
    <customShpInfo spid="_x0000_s1046"/>
    <customShpInfo spid="_x0000_s1047"/>
    <customShpInfo spid="_x0000_s1049"/>
    <customShpInfo spid="_x0000_s1050"/>
    <customShpInfo spid="_x0000_s1051"/>
    <customShpInfo spid="_x0000_s1052"/>
    <customShpInfo spid="_x0000_s1048"/>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金萌萌</dc:creator>
  <cp:lastModifiedBy>龙风呈祥</cp:lastModifiedBy>
  <cp:revision>0</cp:revision>
  <dcterms:created xsi:type="dcterms:W3CDTF">2024-03-02T03:20:00Z</dcterms:created>
  <dcterms:modified xsi:type="dcterms:W3CDTF">2024-03-02T03:22:18Z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2022-06-15T00:00:00Z</vt:filetime>
  </property>
  <property fmtid="{D5CDD505-2E9C-101B-9397-08002B2CF9AE}" pid="3" name="Creator">
    <vt:lpwstr>WPS 文字</vt:lpwstr>
  </property>
  <property fmtid="{D5CDD505-2E9C-101B-9397-08002B2CF9AE}" pid="4" name="ICV">
    <vt:lpwstr>EDBBF79FB87645D99D7E5C61C6848DA5</vt:lpwstr>
  </property>
  <property fmtid="{D5CDD505-2E9C-101B-9397-08002B2CF9AE}" pid="5" name="KSOProductBuildVer">
    <vt:lpwstr>2052-11.1.0.10463</vt:lpwstr>
  </property>
  <property fmtid="{D5CDD505-2E9C-101B-9397-08002B2CF9AE}" pid="6" name="LastSaved">
    <vt:filetime>2024-03-02T00:00:00Z</vt:filetime>
  </property>
</Properties>
</file>