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368" w:lineRule="exact"/>
        <w:ind w:firstLine="5931"/>
      </w:pPr>
      <w:r>
        <w:rPr>
          <w:position w:val="-27"/>
        </w:rPr>
        <w:drawing>
          <wp:inline distT="0" distB="0" distL="0" distR="0">
            <wp:extent cx="2087879" cy="86868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87879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6" w:lineRule="auto"/>
      </w:pPr>
    </w:p>
    <w:p>
      <w:pPr>
        <w:spacing w:before="226" w:line="199" w:lineRule="auto"/>
        <w:ind w:left="567"/>
        <w:outlineLvl w:val="0"/>
        <w:rPr>
          <w:rFonts w:ascii="Arial Unicode MS" w:eastAsia="Arial Unicode MS" w:hAnsi="Arial Unicode MS" w:cs="Arial Unicode MS"/>
          <w:sz w:val="52"/>
          <w:szCs w:val="52"/>
        </w:rPr>
      </w:pPr>
      <w:r>
        <w:rPr>
          <w:rFonts w:ascii="Arial Unicode MS" w:eastAsia="Arial Unicode MS" w:hAnsi="Arial Unicode MS" w:cs="Arial Unicode MS"/>
          <w:spacing w:val="-11"/>
          <w:sz w:val="52"/>
          <w:szCs w:val="52"/>
        </w:rPr>
        <w:t>北  京  市  地  方</w:t>
      </w:r>
      <w:r>
        <w:rPr>
          <w:rFonts w:ascii="Arial Unicode MS" w:eastAsia="Arial Unicode MS" w:hAnsi="Arial Unicode MS" w:cs="Arial Unicode MS"/>
          <w:spacing w:val="5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1"/>
          <w:sz w:val="52"/>
          <w:szCs w:val="52"/>
        </w:rPr>
        <w:t>计</w:t>
      </w:r>
      <w:r>
        <w:rPr>
          <w:rFonts w:ascii="Arial Unicode MS" w:eastAsia="Arial Unicode MS" w:hAnsi="Arial Unicode MS" w:cs="Arial Unicode MS"/>
          <w:spacing w:val="143"/>
          <w:sz w:val="52"/>
          <w:szCs w:val="52"/>
        </w:rPr>
        <w:t xml:space="preserve"> </w:t>
      </w:r>
      <w:r>
        <w:rPr>
          <w:rFonts w:ascii="Arial Unicode MS" w:eastAsia="Arial Unicode MS" w:hAnsi="Arial Unicode MS" w:cs="Arial Unicode MS"/>
          <w:spacing w:val="-11"/>
          <w:sz w:val="52"/>
          <w:szCs w:val="52"/>
        </w:rPr>
        <w:t>量  技  术  规  范</w:t>
      </w:r>
    </w:p>
    <w:p>
      <w:pPr>
        <w:spacing w:before="23" w:line="220" w:lineRule="auto"/>
        <w:ind w:left="5172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JJF（京）91-2022</w:t>
      </w:r>
    </w:p>
    <w:p>
      <w:pPr>
        <w:pStyle w:val="BodyText"/>
        <w:spacing w:line="439" w:lineRule="auto"/>
      </w:pPr>
    </w:p>
    <w:p>
      <w:pPr>
        <w:spacing w:line="30" w:lineRule="exact"/>
        <w:ind w:firstLine="35"/>
      </w:pPr>
      <w:r>
        <w:pict>
          <v:shape id="_x0000_i1025" style="width:467.7pt;height:1.5pt;mso-position-horizontal-relative:char;mso-position-vertical-relative:line" coordorigin="0,0" coordsize="9354,30" path="m,15l9353,15e" filled="f" strokecolor="black" strokeweight="1.5pt">
            <w10:wrap type="none"/>
          </v:shape>
        </w:pic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69" w:line="219" w:lineRule="auto"/>
        <w:ind w:left="2501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3"/>
          <w:sz w:val="52"/>
          <w:szCs w:val="52"/>
        </w:rPr>
        <w:t>微波消解仪校准规范</w:t>
      </w:r>
    </w:p>
    <w:p>
      <w:pPr>
        <w:pStyle w:val="BodyText"/>
        <w:spacing w:line="295" w:lineRule="auto"/>
      </w:pPr>
    </w:p>
    <w:p>
      <w:pPr>
        <w:spacing w:before="91" w:line="216" w:lineRule="auto"/>
        <w:ind w:left="558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Calibration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Specification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for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Microwave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Digestion</w:t>
      </w:r>
      <w:r>
        <w:rPr>
          <w:rFonts w:ascii="SimHei" w:eastAsia="SimHei" w:hAnsi="SimHei" w:cs="SimHei"/>
          <w:spacing w:val="56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Instru</w:t>
      </w:r>
      <w:r>
        <w:rPr>
          <w:rFonts w:ascii="SimHei" w:eastAsia="SimHei" w:hAnsi="SimHei" w:cs="SimHei"/>
          <w:spacing w:val="-2"/>
          <w:sz w:val="28"/>
          <w:szCs w:val="28"/>
        </w:rPr>
        <w:t>ments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  <w:sectPr>
          <w:pgSz w:w="11907" w:h="16839"/>
          <w:pgMar w:top="639" w:right="1099" w:bottom="0" w:left="1417" w:header="0" w:footer="0" w:gutter="0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91" w:line="210" w:lineRule="auto"/>
        <w:ind w:left="29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position w:val="1"/>
          <w:sz w:val="28"/>
          <w:szCs w:val="28"/>
        </w:rPr>
        <w:t>2022-04-08</w:t>
      </w:r>
      <w:r>
        <w:rPr>
          <w:rFonts w:ascii="SimHei" w:eastAsia="SimHei" w:hAnsi="SimHei" w:cs="SimHei"/>
          <w:spacing w:val="-48"/>
          <w:position w:val="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position w:val="1"/>
          <w:sz w:val="28"/>
          <w:szCs w:val="28"/>
        </w:rPr>
        <w:t>发布</w:t>
      </w:r>
      <w:r>
        <w:rPr>
          <w:rFonts w:ascii="SimHei" w:eastAsia="SimHei" w:hAnsi="SimHei" w:cs="SimHei"/>
          <w:spacing w:val="-1"/>
          <w:position w:val="1"/>
          <w:sz w:val="28"/>
          <w:szCs w:val="28"/>
        </w:rPr>
        <w:t xml:space="preserve">                                  </w:t>
      </w:r>
      <w:r>
        <w:rPr>
          <w:rFonts w:ascii="SimHei" w:eastAsia="SimHei" w:hAnsi="SimHei" w:cs="SimHei"/>
          <w:spacing w:val="-1"/>
          <w:position w:val="-1"/>
          <w:sz w:val="28"/>
          <w:szCs w:val="28"/>
        </w:rPr>
        <w:t>2022-05-08</w:t>
      </w:r>
      <w:r>
        <w:rPr>
          <w:rFonts w:ascii="SimHei" w:eastAsia="SimHei" w:hAnsi="SimHei" w:cs="SimHei"/>
          <w:spacing w:val="-53"/>
          <w:position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position w:val="-1"/>
          <w:sz w:val="28"/>
          <w:szCs w:val="28"/>
        </w:rPr>
        <w:t>实施</w:t>
      </w:r>
    </w:p>
    <w:p>
      <w:pPr>
        <w:spacing w:line="30" w:lineRule="exact"/>
      </w:pPr>
      <w:r>
        <w:pict>
          <v:shape id="_x0000_i1026" style="width:467.7pt;height:1.5pt;mso-position-horizontal-relative:char;mso-position-vertical-relative:line" coordorigin="0,0" coordsize="9354,30" path="m,15l9353,15e" filled="f" strokecolor="black" strokeweight="1.5pt">
            <w10:wrap type="none"/>
          </v:shape>
        </w:pict>
      </w:r>
    </w:p>
    <w:p>
      <w:pPr>
        <w:pStyle w:val="BodyText"/>
        <w:spacing w:line="334" w:lineRule="auto"/>
      </w:pPr>
    </w:p>
    <w:p>
      <w:pPr>
        <w:spacing w:before="189" w:line="188" w:lineRule="auto"/>
        <w:ind w:left="1891"/>
        <w:rPr>
          <w:rFonts w:ascii="SimHei" w:eastAsia="SimHei" w:hAnsi="SimHei" w:cs="SimHei"/>
          <w:sz w:val="28"/>
          <w:szCs w:val="28"/>
        </w:rPr>
      </w:pPr>
      <w:r>
        <w:rPr>
          <w:rFonts w:ascii="Arial Unicode MS" w:eastAsia="Arial Unicode MS" w:hAnsi="Arial Unicode MS" w:cs="Arial Unicode MS"/>
          <w:spacing w:val="7"/>
          <w:sz w:val="43"/>
          <w:szCs w:val="43"/>
        </w:rPr>
        <w:t>北京市市场监督管理局</w:t>
      </w:r>
      <w:r>
        <w:rPr>
          <w:rFonts w:ascii="Arial Unicode MS" w:eastAsia="Arial Unicode MS" w:hAnsi="Arial Unicode MS" w:cs="Arial Unicode MS"/>
          <w:spacing w:val="28"/>
          <w:sz w:val="43"/>
          <w:szCs w:val="43"/>
        </w:rPr>
        <w:t xml:space="preserve">    </w:t>
      </w:r>
      <w:r>
        <w:rPr>
          <w:rFonts w:ascii="SimHei" w:eastAsia="SimHei" w:hAnsi="SimHei" w:cs="SimHei"/>
          <w:spacing w:val="7"/>
          <w:position w:val="6"/>
          <w:sz w:val="28"/>
          <w:szCs w:val="28"/>
        </w:rPr>
        <w:t>发</w:t>
      </w:r>
      <w:r>
        <w:rPr>
          <w:rFonts w:ascii="SimHei" w:eastAsia="SimHei" w:hAnsi="SimHei" w:cs="SimHei"/>
          <w:spacing w:val="7"/>
          <w:position w:val="6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7"/>
          <w:position w:val="6"/>
          <w:sz w:val="28"/>
          <w:szCs w:val="28"/>
        </w:rPr>
        <w:t>布</w:t>
      </w:r>
    </w:p>
    <w:p>
      <w:pPr>
        <w:spacing w:line="188" w:lineRule="auto"/>
        <w:rPr>
          <w:rFonts w:ascii="SimHei" w:eastAsia="SimHei" w:hAnsi="SimHei" w:cs="SimHei"/>
          <w:sz w:val="28"/>
          <w:szCs w:val="28"/>
        </w:rPr>
        <w:sectPr>
          <w:type w:val="nextPage"/>
          <w:pgSz w:w="11907" w:h="16839"/>
          <w:pgMar w:top="639" w:right="1099" w:bottom="0" w:left="1417" w:header="0" w:footer="0" w:gutter="0"/>
          <w:pgNumType w:start="2"/>
          <w:cols w:space="708"/>
          <w:titlePg w:val="0"/>
        </w:sectPr>
      </w:pPr>
    </w:p>
    <w:p>
      <w:pPr>
        <w:pStyle w:val="BodyText"/>
      </w:pPr>
    </w:p>
    <w:p>
      <w:pPr>
        <w:sectPr>
          <w:headerReference w:type="default" r:id="rId5"/>
          <w:footerReference w:type="default" r:id="rId6"/>
          <w:pgSz w:w="11907" w:h="16839"/>
          <w:pgMar w:top="0" w:right="0" w:bottom="0" w:left="0" w:header="0" w:footer="0" w:gutter="0"/>
          <w:pgNumType w:start="3"/>
          <w:cols w:space="708"/>
        </w:sectPr>
      </w:pPr>
    </w:p>
    <w:p>
      <w:pPr>
        <w:pStyle w:val="BodyText"/>
        <w:spacing w:line="288" w:lineRule="auto"/>
      </w:pPr>
    </w:p>
    <w:p>
      <w:pPr>
        <w:pStyle w:val="BodyText"/>
        <w:spacing w:line="289" w:lineRule="auto"/>
      </w:pPr>
    </w:p>
    <w:p>
      <w:pPr>
        <w:pStyle w:val="BodyText"/>
        <w:spacing w:line="1279" w:lineRule="exact"/>
        <w:ind w:firstLine="6011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199pt;height:87.1pt;margin-top:2.95pt;margin-left:47.46pt;position:absolute;z-index:251658240" filled="f" stroked="f">
            <o:lock v:ext="edit" aspectratio="f"/>
            <v:textbox inset="0,0,0,0">
              <w:txbxContent>
                <w:p>
                  <w:pPr>
                    <w:spacing w:before="19" w:line="223" w:lineRule="auto"/>
                    <w:ind w:left="20"/>
                    <w:rPr>
                      <w:rFonts w:ascii="SimHei" w:eastAsia="SimHei" w:hAnsi="SimHei" w:cs="SimHei"/>
                      <w:sz w:val="43"/>
                      <w:szCs w:val="43"/>
                    </w:rPr>
                  </w:pPr>
                  <w:r>
                    <w:rPr>
                      <w:rFonts w:ascii="SimHei" w:eastAsia="SimHei" w:hAnsi="SimHei" w:cs="SimHei"/>
                      <w:spacing w:val="7"/>
                      <w:sz w:val="43"/>
                      <w:szCs w:val="43"/>
                    </w:rPr>
                    <w:t>微波消解仪校准规范</w:t>
                  </w:r>
                </w:p>
                <w:p>
                  <w:pPr>
                    <w:spacing w:before="64" w:line="182" w:lineRule="auto"/>
                    <w:ind w:left="238"/>
                    <w:rPr>
                      <w:rFonts w:ascii="SimHei" w:eastAsia="SimHei" w:hAnsi="SimHei" w:cs="SimHei"/>
                      <w:sz w:val="28"/>
                      <w:szCs w:val="28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>Calibration</w:t>
                  </w: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>Specification</w:t>
                  </w:r>
                </w:p>
                <w:p>
                  <w:pPr>
                    <w:spacing w:before="77" w:line="216" w:lineRule="auto"/>
                    <w:ind w:left="382"/>
                    <w:rPr>
                      <w:rFonts w:ascii="SimHei" w:eastAsia="SimHei" w:hAnsi="SimHei" w:cs="SimHei"/>
                      <w:sz w:val="28"/>
                      <w:szCs w:val="28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>for</w:t>
                  </w: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>Microwave</w:t>
                  </w: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>Digestion</w:t>
                  </w:r>
                </w:p>
                <w:p>
                  <w:pPr>
                    <w:spacing w:before="71" w:line="241" w:lineRule="auto"/>
                    <w:ind w:left="1266"/>
                    <w:rPr>
                      <w:rFonts w:ascii="SimHei" w:eastAsia="SimHei" w:hAnsi="SimHei" w:cs="SimHei"/>
                      <w:sz w:val="28"/>
                      <w:szCs w:val="28"/>
                    </w:rPr>
                  </w:pPr>
                  <w:r>
                    <w:rPr>
                      <w:rFonts w:ascii="SimHei" w:eastAsia="SimHei" w:hAnsi="SimHei" w:cs="SimHei"/>
                      <w:spacing w:val="-5"/>
                      <w:sz w:val="28"/>
                      <w:szCs w:val="28"/>
                    </w:rPr>
                    <w:t>Instruments</w:t>
                  </w:r>
                </w:p>
              </w:txbxContent>
            </v:textbox>
          </v:shape>
        </w:pict>
      </w:r>
      <w:r>
        <w:rPr>
          <w:position w:val="-25"/>
        </w:rPr>
        <w:pict>
          <v:roundrect id="_x0000_i1028" style="width:144.75pt;height:62.5pt;mso-position-horizontal-relative:char;mso-position-vertical-relative:line" arcsize="12206f" filled="f" strokecolor="black" strokeweight="1.5pt">
            <v:stroke joinstyle="miter"/>
            <o:lock v:ext="edit" aspectratio="f"/>
            <v:textbox inset="0,0,0,0">
              <w:txbxContent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91" w:line="220" w:lineRule="auto"/>
                    <w:ind w:left="164"/>
                    <w:rPr>
                      <w:rFonts w:ascii="SimHei" w:eastAsia="SimHei" w:hAnsi="SimHei" w:cs="SimHei"/>
                      <w:sz w:val="28"/>
                      <w:szCs w:val="28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>JJF(京)</w:t>
                  </w: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>91-2022</w:t>
                  </w:r>
                </w:p>
              </w:txbxContent>
            </v:textbox>
            <w10:wrap type="none"/>
          </v:roundrect>
        </w:pic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line="30" w:lineRule="exact"/>
        <w:ind w:firstLine="27"/>
      </w:pPr>
      <w:r>
        <w:pict>
          <v:shape id="_x0000_i1029" style="width:467.7pt;height:1.5pt;mso-position-horizontal-relative:char;mso-position-vertical-relative:line" coordorigin="0,0" coordsize="9354,30" path="m,15l9353,15e" filled="f" strokecolor="black" strokeweight="1.5pt">
            <w10:wrap type="none"/>
          </v:shape>
        </w:pict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91" w:line="219" w:lineRule="auto"/>
        <w:ind w:left="88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4"/>
          <w:sz w:val="28"/>
          <w:szCs w:val="28"/>
        </w:rPr>
        <w:t>归</w:t>
      </w:r>
      <w:r>
        <w:rPr>
          <w:rFonts w:ascii="SimHei" w:eastAsia="SimHei" w:hAnsi="SimHei" w:cs="SimHei"/>
          <w:spacing w:val="67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4"/>
          <w:sz w:val="28"/>
          <w:szCs w:val="28"/>
        </w:rPr>
        <w:t>口</w:t>
      </w:r>
      <w:r>
        <w:rPr>
          <w:rFonts w:ascii="SimHei" w:eastAsia="SimHei" w:hAnsi="SimHei" w:cs="SimHei"/>
          <w:spacing w:val="44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4"/>
          <w:sz w:val="28"/>
          <w:szCs w:val="28"/>
        </w:rPr>
        <w:t>单</w:t>
      </w:r>
      <w:r>
        <w:rPr>
          <w:rFonts w:ascii="SimHei" w:eastAsia="SimHei" w:hAnsi="SimHei" w:cs="SimHei"/>
          <w:spacing w:val="4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4"/>
          <w:sz w:val="28"/>
          <w:szCs w:val="28"/>
        </w:rPr>
        <w:t>位：北京市市场监督管理局</w:t>
      </w:r>
    </w:p>
    <w:p>
      <w:pPr>
        <w:spacing w:before="291" w:line="219" w:lineRule="auto"/>
        <w:ind w:left="88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z w:val="28"/>
          <w:szCs w:val="28"/>
        </w:rPr>
        <w:t>主要起草单位：北京市计量检测科学研究院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  <w:sectPr>
          <w:headerReference w:type="default" r:id="rId7"/>
          <w:footerReference w:type="default" r:id="rId8"/>
          <w:pgSz w:w="11907" w:h="16839"/>
          <w:pgMar w:top="1740" w:right="1102" w:bottom="400" w:left="1390" w:header="1431" w:footer="0" w:gutter="0"/>
          <w:pgNumType w:start="4"/>
          <w:cols w:space="708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91" w:line="219" w:lineRule="auto"/>
        <w:ind w:left="74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本规范委托北京市计量检测科学研究院负责解释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headerReference w:type="default" r:id="rId9"/>
          <w:footerReference w:type="default" r:id="rId10"/>
          <w:type w:val="nextPage"/>
          <w:pgSz w:w="11907" w:h="16839"/>
          <w:pgMar w:top="1740" w:right="1102" w:bottom="400" w:left="1390" w:header="1431" w:footer="0" w:gutter="0"/>
          <w:pgNumType w:start="5"/>
          <w:cols w:space="708"/>
          <w:titlePg w:val="0"/>
        </w:sectPr>
      </w:pPr>
    </w:p>
    <w:p>
      <w:pPr>
        <w:spacing w:before="303" w:line="220" w:lineRule="auto"/>
        <w:ind w:left="46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6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本规范主要起草人：</w:t>
      </w:r>
    </w:p>
    <w:p>
      <w:pPr>
        <w:pStyle w:val="BodyText"/>
      </w:pPr>
    </w:p>
    <w:p>
      <w:pPr>
        <w:spacing w:before="91" w:line="457" w:lineRule="auto"/>
        <w:ind w:left="1903" w:right="2761" w:firstLine="9"/>
        <w:jc w:val="both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徐</w:t>
      </w:r>
      <w:r>
        <w:rPr>
          <w:rFonts w:ascii="SimHei" w:eastAsia="SimHei" w:hAnsi="SimHei" w:cs="SimHei"/>
          <w:spacing w:val="-2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2"/>
          <w:sz w:val="28"/>
          <w:szCs w:val="28"/>
        </w:rPr>
        <w:t>建（北京市计量检测科学研究院）</w:t>
      </w:r>
      <w:r>
        <w:rPr>
          <w:rFonts w:ascii="SimHei" w:eastAsia="SimHei" w:hAnsi="SimHei" w:cs="SimHei"/>
          <w:spacing w:val="14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孙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1"/>
          <w:sz w:val="28"/>
          <w:szCs w:val="28"/>
        </w:rPr>
        <w:t>晨（北京市计量检测科学研究院）</w:t>
      </w:r>
      <w:r>
        <w:rPr>
          <w:rFonts w:ascii="SimHei" w:eastAsia="SimHei" w:hAnsi="SimHei" w:cs="SimHei"/>
          <w:spacing w:val="6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"/>
          <w:sz w:val="28"/>
          <w:szCs w:val="28"/>
        </w:rPr>
        <w:t>滕梓洁（北京市计量检测科学研究院）</w:t>
      </w:r>
      <w:r>
        <w:rPr>
          <w:rFonts w:ascii="SimHei" w:eastAsia="SimHei" w:hAnsi="SimHei" w:cs="SimHei"/>
          <w:spacing w:val="10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"/>
          <w:sz w:val="28"/>
          <w:szCs w:val="28"/>
        </w:rPr>
        <w:t>崔莉霞（北京市计量检测科学研究院）</w:t>
      </w:r>
    </w:p>
    <w:p>
      <w:pPr>
        <w:spacing w:before="3" w:line="221" w:lineRule="auto"/>
        <w:ind w:left="1297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7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参加起草人：</w:t>
      </w:r>
    </w:p>
    <w:p>
      <w:pPr>
        <w:spacing w:before="328" w:line="458" w:lineRule="auto"/>
        <w:ind w:left="1905" w:right="2752" w:firstLine="56"/>
        <w:jc w:val="both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4"/>
          <w:sz w:val="28"/>
          <w:szCs w:val="28"/>
        </w:rPr>
        <w:t>吴</w:t>
      </w:r>
      <w:r>
        <w:rPr>
          <w:rFonts w:ascii="SimHei" w:eastAsia="SimHei" w:hAnsi="SimHei" w:cs="SimHei"/>
          <w:spacing w:val="-4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4"/>
          <w:sz w:val="28"/>
          <w:szCs w:val="28"/>
        </w:rPr>
        <w:t>健（北京市计量检测科学研究院）</w:t>
      </w:r>
      <w:r>
        <w:rPr>
          <w:rFonts w:ascii="SimHei" w:eastAsia="SimHei" w:hAnsi="SimHei" w:cs="SimHei"/>
          <w:spacing w:val="1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"/>
          <w:sz w:val="28"/>
          <w:szCs w:val="28"/>
        </w:rPr>
        <w:t>李</w:t>
      </w:r>
      <w:r>
        <w:rPr>
          <w:rFonts w:ascii="SimHei" w:eastAsia="SimHei" w:hAnsi="SimHei" w:cs="SimHei"/>
          <w:spacing w:val="-2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2"/>
          <w:sz w:val="28"/>
          <w:szCs w:val="28"/>
        </w:rPr>
        <w:t>颖（北京市计量检测科学研究院）</w:t>
      </w:r>
      <w:r>
        <w:rPr>
          <w:rFonts w:ascii="SimHei" w:eastAsia="SimHei" w:hAnsi="SimHei" w:cs="SimHei"/>
          <w:spacing w:val="1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"/>
          <w:sz w:val="28"/>
          <w:szCs w:val="28"/>
        </w:rPr>
        <w:t>李</w:t>
      </w:r>
      <w:r>
        <w:rPr>
          <w:rFonts w:ascii="SimHei" w:eastAsia="SimHei" w:hAnsi="SimHei" w:cs="SimHei"/>
          <w:spacing w:val="-2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2"/>
          <w:sz w:val="28"/>
          <w:szCs w:val="28"/>
        </w:rPr>
        <w:t>崴（北京市计量检测科学研究院）</w:t>
      </w:r>
      <w:r>
        <w:rPr>
          <w:rFonts w:ascii="SimHei" w:eastAsia="SimHei" w:hAnsi="SimHei" w:cs="SimHei"/>
          <w:spacing w:val="8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"/>
          <w:sz w:val="28"/>
          <w:szCs w:val="28"/>
        </w:rPr>
        <w:t>瞿</w:t>
      </w:r>
      <w:r>
        <w:rPr>
          <w:rFonts w:ascii="SimHei" w:eastAsia="SimHei" w:hAnsi="SimHei" w:cs="SimHei"/>
          <w:spacing w:val="-2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2"/>
          <w:sz w:val="28"/>
          <w:szCs w:val="28"/>
        </w:rPr>
        <w:t>蒙（北京市计量检测科学研究院）</w:t>
      </w:r>
    </w:p>
    <w:p>
      <w:pPr>
        <w:spacing w:line="458" w:lineRule="auto"/>
        <w:rPr>
          <w:rFonts w:ascii="SimHei" w:eastAsia="SimHei" w:hAnsi="SimHei" w:cs="SimHei"/>
          <w:sz w:val="28"/>
          <w:szCs w:val="28"/>
        </w:rPr>
        <w:sectPr>
          <w:headerReference w:type="default" r:id="rId11"/>
          <w:footerReference w:type="default" r:id="rId12"/>
          <w:pgSz w:w="11907" w:h="16839"/>
          <w:pgMar w:top="1740" w:right="1387" w:bottom="400" w:left="1104" w:header="1431" w:footer="0" w:gutter="0"/>
          <w:pgNumType w:start="6"/>
          <w:cols w:space="708"/>
        </w:sectPr>
      </w:pPr>
    </w:p>
    <w:sdt>
      <w:sdtPr>
        <w:rPr>
          <w:rFonts w:ascii="SimHei" w:eastAsia="SimHei" w:hAnsi="SimHei" w:cs="SimHei"/>
          <w:sz w:val="43"/>
          <w:szCs w:val="43"/>
        </w:rPr>
        <w:id w:val="937333489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4"/>
          <w:szCs w:val="24"/>
        </w:rPr>
      </w:sdtEndPr>
      <w:sdtContent>
        <w:p>
          <w:pPr>
            <w:spacing w:before="222" w:line="223" w:lineRule="auto"/>
            <w:ind w:left="4018"/>
            <w:rPr>
              <w:rFonts w:ascii="SimHei" w:eastAsia="SimHei" w:hAnsi="SimHei" w:cs="SimHei"/>
              <w:sz w:val="43"/>
              <w:szCs w:val="43"/>
            </w:rPr>
          </w:pPr>
          <w:r>
            <w:rPr>
              <w:rFonts w:ascii="SimHei" w:eastAsia="SimHei" w:hAnsi="SimHei" w:cs="SimHei"/>
              <w:spacing w:val="-32"/>
              <w:sz w:val="43"/>
              <w:szCs w:val="43"/>
            </w:rPr>
            <w:t>目</w:t>
          </w:r>
          <w:r>
            <w:rPr>
              <w:rFonts w:ascii="SimHei" w:eastAsia="SimHei" w:hAnsi="SimHei" w:cs="SimHei"/>
              <w:spacing w:val="5"/>
              <w:sz w:val="43"/>
              <w:szCs w:val="43"/>
            </w:rPr>
            <w:t xml:space="preserve">   </w:t>
          </w:r>
          <w:r>
            <w:rPr>
              <w:rFonts w:ascii="SimHei" w:eastAsia="SimHei" w:hAnsi="SimHei" w:cs="SimHei"/>
              <w:spacing w:val="-32"/>
              <w:sz w:val="43"/>
              <w:szCs w:val="43"/>
            </w:rPr>
            <w:t>录</w:t>
          </w:r>
        </w:p>
        <w:p>
          <w:pPr>
            <w:pStyle w:val="BodyText"/>
            <w:spacing w:line="256" w:lineRule="auto"/>
          </w:pPr>
        </w:p>
        <w:p>
          <w:pPr>
            <w:pStyle w:val="BodyText"/>
            <w:spacing w:line="257" w:lineRule="auto"/>
          </w:pPr>
        </w:p>
        <w:p>
          <w:pPr>
            <w:tabs>
              <w:tab w:val="right" w:leader="dot" w:pos="9382"/>
            </w:tabs>
            <w:spacing w:before="78" w:line="185" w:lineRule="auto"/>
            <w:ind w:left="55"/>
            <w:rPr>
              <w:rFonts w:ascii="SimSun" w:eastAsia="SimSun" w:hAnsi="SimSun" w:cs="SimSun"/>
              <w:sz w:val="24"/>
              <w:szCs w:val="24"/>
            </w:rPr>
          </w:pPr>
          <w:hyperlink w:anchor="bookmark1" w:history="1">
            <w:r>
              <w:rPr>
                <w:rFonts w:ascii="SimSun" w:eastAsia="SimSun" w:hAnsi="SimSun" w:cs="SimSun"/>
                <w:spacing w:val="-14"/>
                <w:sz w:val="24"/>
                <w:szCs w:val="24"/>
              </w:rPr>
              <w:t>引      言</w:t>
            </w:r>
            <w:r>
              <w:rPr>
                <w:rFonts w:ascii="SimSun" w:eastAsia="SimSun" w:hAnsi="SimSun" w:cs="SimSu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 xml:space="preserve"> II</w:t>
            </w:r>
          </w:hyperlink>
        </w:p>
        <w:p>
          <w:pPr>
            <w:tabs>
              <w:tab w:val="right" w:leader="dot" w:pos="9382"/>
            </w:tabs>
            <w:spacing w:before="227" w:line="185" w:lineRule="auto"/>
            <w:ind w:left="55"/>
            <w:rPr>
              <w:rFonts w:ascii="SimSun" w:eastAsia="SimSun" w:hAnsi="SimSun" w:cs="SimSun"/>
              <w:sz w:val="24"/>
              <w:szCs w:val="24"/>
            </w:rPr>
          </w:pPr>
          <w:hyperlink w:anchor="bookmark2" w:history="1"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范围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9382"/>
            </w:tabs>
            <w:spacing w:before="227" w:line="185" w:lineRule="auto"/>
            <w:ind w:left="41"/>
            <w:rPr>
              <w:rFonts w:ascii="SimSun" w:eastAsia="SimSun" w:hAnsi="SimSun" w:cs="SimSun"/>
              <w:sz w:val="24"/>
              <w:szCs w:val="24"/>
            </w:rPr>
          </w:pPr>
          <w:hyperlink w:anchor="bookmark3" w:history="1"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2</w:t>
            </w:r>
            <w:r>
              <w:rPr>
                <w:rFonts w:ascii="SimSun" w:eastAsia="SimSun" w:hAnsi="SimSun" w:cs="SimSun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引用文件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9382"/>
            </w:tabs>
            <w:spacing w:before="227" w:line="185" w:lineRule="auto"/>
            <w:ind w:left="42"/>
            <w:rPr>
              <w:rFonts w:ascii="SimSun" w:eastAsia="SimSun" w:hAnsi="SimSun" w:cs="SimSun"/>
              <w:sz w:val="24"/>
              <w:szCs w:val="24"/>
            </w:rPr>
          </w:pPr>
          <w:hyperlink w:anchor="bookmark4" w:history="1">
            <w:r>
              <w:rPr>
                <w:rFonts w:ascii="SimSun" w:eastAsia="SimSun" w:hAnsi="SimSun" w:cs="SimSun"/>
                <w:spacing w:val="-9"/>
                <w:sz w:val="24"/>
                <w:szCs w:val="24"/>
              </w:rPr>
              <w:t>3</w:t>
            </w:r>
            <w:r>
              <w:rPr>
                <w:rFonts w:ascii="SimSun" w:eastAsia="SimSun" w:hAnsi="SimSun" w:cs="SimSun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4"/>
                <w:szCs w:val="24"/>
              </w:rPr>
              <w:t>术语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9382"/>
            </w:tabs>
            <w:spacing w:before="228" w:line="185" w:lineRule="auto"/>
            <w:ind w:left="42"/>
            <w:rPr>
              <w:rFonts w:ascii="SimSun" w:eastAsia="SimSun" w:hAnsi="SimSun" w:cs="SimSun"/>
              <w:sz w:val="24"/>
              <w:szCs w:val="24"/>
            </w:rPr>
          </w:pPr>
          <w:hyperlink w:anchor="bookmark5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3.1 微波消解法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9382"/>
            </w:tabs>
            <w:spacing w:before="228" w:line="185" w:lineRule="auto"/>
            <w:ind w:left="42"/>
            <w:rPr>
              <w:rFonts w:ascii="SimSun" w:eastAsia="SimSun" w:hAnsi="SimSun" w:cs="SimSun"/>
              <w:sz w:val="24"/>
              <w:szCs w:val="24"/>
            </w:rPr>
          </w:pPr>
          <w:hyperlink w:anchor="bookmark6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3.2 标称温度值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9382"/>
            </w:tabs>
            <w:spacing w:before="227" w:line="185" w:lineRule="auto"/>
            <w:ind w:left="42"/>
            <w:rPr>
              <w:rFonts w:ascii="SimSun" w:eastAsia="SimSun" w:hAnsi="SimSun" w:cs="SimSun"/>
              <w:sz w:val="24"/>
              <w:szCs w:val="24"/>
            </w:rPr>
          </w:pPr>
          <w:hyperlink w:anchor="bookmark7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3.3 稳定状态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9382"/>
            </w:tabs>
            <w:spacing w:before="228" w:line="185" w:lineRule="auto"/>
            <w:ind w:left="42"/>
            <w:rPr>
              <w:rFonts w:ascii="SimSun" w:eastAsia="SimSun" w:hAnsi="SimSun" w:cs="SimSun"/>
              <w:sz w:val="24"/>
              <w:szCs w:val="24"/>
            </w:rPr>
          </w:pPr>
          <w:hyperlink w:anchor="bookmark8" w:history="1"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3.4</w:t>
            </w:r>
            <w:r>
              <w:rPr>
                <w:rFonts w:ascii="SimSun" w:eastAsia="SimSun" w:hAnsi="SimSun" w:cs="SimSun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温度偏差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9382"/>
            </w:tabs>
            <w:spacing w:before="227" w:line="185" w:lineRule="auto"/>
            <w:ind w:left="42"/>
            <w:rPr>
              <w:rFonts w:ascii="SimSun" w:eastAsia="SimSun" w:hAnsi="SimSun" w:cs="SimSun"/>
              <w:sz w:val="24"/>
              <w:szCs w:val="24"/>
            </w:rPr>
          </w:pPr>
          <w:hyperlink w:anchor="bookmark9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3.5 温度均匀度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9382"/>
            </w:tabs>
            <w:spacing w:before="228" w:line="185" w:lineRule="auto"/>
            <w:ind w:left="42"/>
            <w:rPr>
              <w:rFonts w:ascii="SimSun" w:eastAsia="SimSun" w:hAnsi="SimSun" w:cs="SimSun"/>
              <w:sz w:val="24"/>
              <w:szCs w:val="24"/>
            </w:rPr>
          </w:pPr>
          <w:hyperlink w:anchor="bookmark10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3.6 温度波动度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9382"/>
            </w:tabs>
            <w:spacing w:before="227" w:line="185" w:lineRule="auto"/>
            <w:ind w:left="37"/>
            <w:rPr>
              <w:rFonts w:ascii="SimSun" w:eastAsia="SimSun" w:hAnsi="SimSun" w:cs="SimSun"/>
              <w:sz w:val="24"/>
              <w:szCs w:val="24"/>
            </w:rPr>
          </w:pPr>
          <w:hyperlink w:anchor="bookmark11" w:history="1"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4</w:t>
            </w:r>
            <w:r>
              <w:rPr>
                <w:rFonts w:ascii="SimSun" w:eastAsia="SimSun" w:hAnsi="SimSun" w:cs="SimSun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概述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2</w:t>
            </w:r>
          </w:hyperlink>
        </w:p>
        <w:p>
          <w:pPr>
            <w:tabs>
              <w:tab w:val="right" w:leader="dot" w:pos="9382"/>
            </w:tabs>
            <w:spacing w:before="228" w:line="185" w:lineRule="auto"/>
            <w:ind w:left="42"/>
            <w:rPr>
              <w:rFonts w:ascii="SimSun" w:eastAsia="SimSun" w:hAnsi="SimSun" w:cs="SimSun"/>
              <w:sz w:val="24"/>
              <w:szCs w:val="24"/>
            </w:rPr>
          </w:pPr>
          <w:hyperlink w:anchor="bookmark12" w:history="1"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5</w:t>
            </w:r>
            <w:r>
              <w:rPr>
                <w:rFonts w:ascii="SimSun" w:eastAsia="SimSun" w:hAnsi="SimSun" w:cs="SimSun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计量特性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2</w:t>
            </w:r>
          </w:hyperlink>
        </w:p>
        <w:p>
          <w:pPr>
            <w:tabs>
              <w:tab w:val="right" w:leader="dot" w:pos="9382"/>
            </w:tabs>
            <w:spacing w:before="227" w:line="185" w:lineRule="auto"/>
            <w:ind w:left="40"/>
            <w:rPr>
              <w:rFonts w:ascii="SimSun" w:eastAsia="SimSun" w:hAnsi="SimSun" w:cs="SimSun"/>
              <w:sz w:val="24"/>
              <w:szCs w:val="24"/>
            </w:rPr>
          </w:pPr>
          <w:hyperlink w:anchor="bookmark13" w:history="1"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6</w:t>
            </w:r>
            <w:r>
              <w:rPr>
                <w:rFonts w:ascii="SimSun" w:eastAsia="SimSun" w:hAnsi="SimSun" w:cs="SimSun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校准条件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2</w:t>
            </w:r>
          </w:hyperlink>
        </w:p>
        <w:p>
          <w:pPr>
            <w:tabs>
              <w:tab w:val="right" w:leader="dot" w:pos="9382"/>
            </w:tabs>
            <w:spacing w:before="228" w:line="185" w:lineRule="auto"/>
            <w:ind w:left="40"/>
            <w:rPr>
              <w:rFonts w:ascii="SimSun" w:eastAsia="SimSun" w:hAnsi="SimSun" w:cs="SimSun"/>
              <w:sz w:val="24"/>
              <w:szCs w:val="24"/>
            </w:rPr>
          </w:pPr>
          <w:hyperlink w:anchor="bookmark14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6.1 环境条件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2</w:t>
            </w:r>
          </w:hyperlink>
        </w:p>
        <w:p>
          <w:pPr>
            <w:tabs>
              <w:tab w:val="right" w:leader="dot" w:pos="9382"/>
            </w:tabs>
            <w:spacing w:before="227" w:line="185" w:lineRule="auto"/>
            <w:ind w:left="40"/>
            <w:rPr>
              <w:rFonts w:ascii="SimSun" w:eastAsia="SimSun" w:hAnsi="SimSun" w:cs="SimSun"/>
              <w:sz w:val="24"/>
              <w:szCs w:val="24"/>
            </w:rPr>
          </w:pPr>
          <w:hyperlink w:anchor="bookmark15" w:history="1"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6.2 测量标准及其他设备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9382"/>
            </w:tabs>
            <w:spacing w:before="228" w:line="185" w:lineRule="auto"/>
            <w:ind w:left="43"/>
            <w:rPr>
              <w:rFonts w:ascii="SimSun" w:eastAsia="SimSun" w:hAnsi="SimSun" w:cs="SimSun"/>
              <w:sz w:val="24"/>
              <w:szCs w:val="24"/>
            </w:rPr>
          </w:pPr>
          <w:hyperlink w:anchor="bookmark16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7 校准项目和校准方法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9382"/>
            </w:tabs>
            <w:spacing w:before="227" w:line="185" w:lineRule="auto"/>
            <w:ind w:left="43"/>
            <w:rPr>
              <w:rFonts w:ascii="SimSun" w:eastAsia="SimSun" w:hAnsi="SimSun" w:cs="SimSun"/>
              <w:sz w:val="24"/>
              <w:szCs w:val="24"/>
            </w:rPr>
          </w:pPr>
          <w:hyperlink w:anchor="bookmark17" w:history="1"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7.1</w:t>
            </w:r>
            <w:r>
              <w:rPr>
                <w:rFonts w:ascii="SimSun" w:eastAsia="SimSun" w:hAnsi="SimSun" w:cs="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校准项目</w:t>
            </w:r>
            <w:r>
              <w:rPr>
                <w:rFonts w:ascii="SimSun" w:eastAsia="SimSun" w:hAnsi="SimSun" w:cs="SimSun"/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9382"/>
            </w:tabs>
            <w:spacing w:before="228" w:line="185" w:lineRule="auto"/>
            <w:ind w:left="43"/>
            <w:rPr>
              <w:rFonts w:ascii="SimSun" w:eastAsia="SimSun" w:hAnsi="SimSun" w:cs="SimSun"/>
              <w:sz w:val="24"/>
              <w:szCs w:val="24"/>
            </w:rPr>
          </w:pPr>
          <w:hyperlink w:anchor="bookmark18" w:history="1"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7.2</w:t>
            </w:r>
            <w:r>
              <w:rPr>
                <w:rFonts w:ascii="SimSun" w:eastAsia="SimSun" w:hAnsi="SimSun" w:cs="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校准方法</w:t>
            </w:r>
            <w:r>
              <w:rPr>
                <w:rFonts w:ascii="SimSun" w:eastAsia="SimSun" w:hAnsi="SimSun" w:cs="SimSun"/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4</w:t>
            </w:r>
          </w:hyperlink>
        </w:p>
        <w:p>
          <w:pPr>
            <w:tabs>
              <w:tab w:val="right" w:leader="dot" w:pos="9382"/>
            </w:tabs>
            <w:spacing w:before="228" w:line="185" w:lineRule="auto"/>
            <w:ind w:left="43"/>
            <w:rPr>
              <w:rFonts w:ascii="SimSun" w:eastAsia="SimSun" w:hAnsi="SimSun" w:cs="SimSun"/>
              <w:sz w:val="24"/>
              <w:szCs w:val="24"/>
            </w:rPr>
          </w:pPr>
          <w:hyperlink w:anchor="bookmark19" w:history="1"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7.3</w:t>
            </w:r>
            <w:r>
              <w:rPr>
                <w:rFonts w:ascii="SimSun" w:eastAsia="SimSun" w:hAnsi="SimSun" w:cs="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数据处理</w:t>
            </w:r>
            <w:r>
              <w:rPr>
                <w:rFonts w:ascii="SimSun" w:eastAsia="SimSun" w:hAnsi="SimSun" w:cs="SimSun"/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4</w:t>
            </w:r>
          </w:hyperlink>
        </w:p>
        <w:p>
          <w:pPr>
            <w:tabs>
              <w:tab w:val="right" w:leader="dot" w:pos="9382"/>
            </w:tabs>
            <w:spacing w:before="228" w:line="185" w:lineRule="auto"/>
            <w:ind w:left="39"/>
            <w:rPr>
              <w:rFonts w:ascii="SimSun" w:eastAsia="SimSun" w:hAnsi="SimSun" w:cs="SimSun"/>
              <w:sz w:val="24"/>
              <w:szCs w:val="24"/>
            </w:rPr>
          </w:pPr>
          <w:hyperlink w:anchor="bookmark20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8 校准结果的表达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6</w:t>
            </w:r>
          </w:hyperlink>
        </w:p>
        <w:p>
          <w:pPr>
            <w:tabs>
              <w:tab w:val="right" w:leader="dot" w:pos="9382"/>
            </w:tabs>
            <w:spacing w:before="227" w:line="185" w:lineRule="auto"/>
            <w:ind w:left="39"/>
            <w:rPr>
              <w:rFonts w:ascii="SimSun" w:eastAsia="SimSun" w:hAnsi="SimSun" w:cs="SimSun"/>
              <w:sz w:val="24"/>
              <w:szCs w:val="24"/>
            </w:rPr>
          </w:pPr>
          <w:hyperlink w:anchor="bookmark21" w:history="1"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9</w:t>
            </w:r>
            <w:r>
              <w:rPr>
                <w:rFonts w:ascii="SimSun" w:eastAsia="SimSun" w:hAnsi="SimSun" w:cs="SimSun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复校时间间隔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6</w:t>
            </w:r>
          </w:hyperlink>
        </w:p>
        <w:p>
          <w:pPr>
            <w:tabs>
              <w:tab w:val="right" w:leader="dot" w:pos="9382"/>
            </w:tabs>
            <w:spacing w:before="228" w:line="185" w:lineRule="auto"/>
            <w:ind w:left="56"/>
            <w:rPr>
              <w:rFonts w:ascii="SimSun" w:eastAsia="SimSun" w:hAnsi="SimSun" w:cs="SimSun"/>
              <w:sz w:val="24"/>
              <w:szCs w:val="24"/>
            </w:rPr>
          </w:pPr>
          <w:hyperlink w:anchor="bookmark22" w:history="1"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附</w:t>
            </w:r>
            <w:r>
              <w:rPr>
                <w:rFonts w:ascii="SimSun" w:eastAsia="SimSun" w:hAnsi="SimSun" w:cs="SimSun"/>
                <w:spacing w:val="9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录</w:t>
            </w:r>
            <w:r>
              <w:rPr>
                <w:rFonts w:ascii="SimSun" w:eastAsia="SimSun" w:hAnsi="SimSun" w:cs="SimSun"/>
                <w:spacing w:val="36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A</w:t>
            </w:r>
            <w:r>
              <w:rPr>
                <w:rFonts w:ascii="SimSun" w:eastAsia="SimSun" w:hAnsi="SimSun" w:cs="SimSun"/>
                <w:spacing w:val="10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校准原始记录（参考格式）</w:t>
            </w:r>
            <w:r>
              <w:rPr>
                <w:rFonts w:ascii="SimSun" w:eastAsia="SimSun" w:hAnsi="SimSun" w:cs="SimSun"/>
                <w:spacing w:val="-8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7</w:t>
            </w:r>
          </w:hyperlink>
        </w:p>
        <w:p>
          <w:pPr>
            <w:tabs>
              <w:tab w:val="right" w:leader="dot" w:pos="9382"/>
            </w:tabs>
            <w:spacing w:before="227" w:line="185" w:lineRule="auto"/>
            <w:ind w:left="56"/>
            <w:rPr>
              <w:rFonts w:ascii="SimSun" w:eastAsia="SimSun" w:hAnsi="SimSun" w:cs="SimSun"/>
              <w:sz w:val="24"/>
              <w:szCs w:val="24"/>
            </w:rPr>
          </w:pPr>
          <w:hyperlink w:anchor="bookmark23" w:history="1"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附</w:t>
            </w:r>
            <w:r>
              <w:rPr>
                <w:rFonts w:ascii="SimSun" w:eastAsia="SimSun" w:hAnsi="SimSun" w:cs="SimSun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录</w:t>
            </w:r>
            <w:r>
              <w:rPr>
                <w:rFonts w:ascii="SimSun" w:eastAsia="SimSun" w:hAnsi="SimSun" w:cs="SimSun"/>
                <w:spacing w:val="37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B</w:t>
            </w:r>
            <w:r>
              <w:rPr>
                <w:rFonts w:ascii="SimSun" w:eastAsia="SimSun" w:hAnsi="SimSun" w:cs="SimSun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微波消解仪校准证书内页参考格式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8</w:t>
            </w:r>
          </w:hyperlink>
        </w:p>
        <w:p>
          <w:pPr>
            <w:tabs>
              <w:tab w:val="right" w:leader="dot" w:pos="9382"/>
            </w:tabs>
            <w:spacing w:before="228" w:line="219" w:lineRule="auto"/>
            <w:ind w:left="56"/>
            <w:rPr>
              <w:rFonts w:ascii="SimSun" w:eastAsia="SimSun" w:hAnsi="SimSun" w:cs="SimSun"/>
              <w:sz w:val="24"/>
              <w:szCs w:val="24"/>
            </w:rPr>
          </w:pPr>
          <w:hyperlink w:anchor="bookmark24" w:history="1"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附</w:t>
            </w:r>
            <w:r>
              <w:rPr>
                <w:rFonts w:ascii="SimSun" w:eastAsia="SimSun" w:hAnsi="SimSun" w:cs="SimSun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录</w:t>
            </w:r>
            <w:r>
              <w:rPr>
                <w:rFonts w:ascii="SimSun" w:eastAsia="SimSun" w:hAnsi="SimSun" w:cs="SimSun"/>
                <w:spacing w:val="38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C</w:t>
            </w:r>
            <w:r>
              <w:rPr>
                <w:rFonts w:ascii="SimSun" w:eastAsia="SimSun" w:hAnsi="SimSun" w:cs="SimSun"/>
                <w:spacing w:val="10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微波消解仪温度上偏差校准结果不确定度评定示例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9</w:t>
            </w:r>
          </w:hyperlink>
        </w:p>
      </w:sdtContent>
    </w:sdt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3"/>
          <w:footerReference w:type="default" r:id="rId14"/>
          <w:pgSz w:w="11907" w:h="16839"/>
          <w:pgMar w:top="1740" w:right="1102" w:bottom="1340" w:left="1390" w:header="1431" w:footer="1107" w:gutter="0"/>
          <w:pgNumType w:start="7"/>
          <w:cols w:space="708"/>
        </w:sectPr>
      </w:pPr>
    </w:p>
    <w:p>
      <w:pPr>
        <w:pStyle w:val="BodyText"/>
        <w:spacing w:line="309" w:lineRule="auto"/>
      </w:pPr>
    </w:p>
    <w:p>
      <w:pPr>
        <w:pStyle w:val="BodyText"/>
        <w:spacing w:line="310" w:lineRule="auto"/>
      </w:pPr>
    </w:p>
    <w:p>
      <w:pPr>
        <w:spacing w:before="140" w:line="224" w:lineRule="auto"/>
        <w:ind w:left="4001"/>
        <w:outlineLvl w:val="0"/>
        <w:rPr>
          <w:rFonts w:ascii="SimHei" w:eastAsia="SimHei" w:hAnsi="SimHei" w:cs="SimHei"/>
          <w:sz w:val="43"/>
          <w:szCs w:val="43"/>
        </w:rPr>
      </w:pPr>
      <w:bookmarkStart w:id="0" w:name="bookmark1"/>
      <w:bookmarkEnd w:id="0"/>
      <w:r>
        <w:rPr>
          <w:rFonts w:ascii="SimHei" w:eastAsia="SimHei" w:hAnsi="SimHei" w:cs="SimHei"/>
          <w:spacing w:val="-23"/>
          <w:sz w:val="43"/>
          <w:szCs w:val="43"/>
        </w:rPr>
        <w:t>引</w:t>
      </w:r>
      <w:r>
        <w:rPr>
          <w:rFonts w:ascii="SimHei" w:eastAsia="SimHei" w:hAnsi="SimHei" w:cs="SimHei"/>
          <w:spacing w:val="10"/>
          <w:sz w:val="43"/>
          <w:szCs w:val="43"/>
        </w:rPr>
        <w:t xml:space="preserve">   </w:t>
      </w:r>
      <w:r>
        <w:rPr>
          <w:rFonts w:ascii="SimHei" w:eastAsia="SimHei" w:hAnsi="SimHei" w:cs="SimHei"/>
          <w:spacing w:val="-23"/>
          <w:sz w:val="43"/>
          <w:szCs w:val="43"/>
        </w:rPr>
        <w:t>言</w:t>
      </w:r>
    </w:p>
    <w:p>
      <w:pPr>
        <w:pStyle w:val="BodyText"/>
        <w:spacing w:line="321" w:lineRule="auto"/>
      </w:pPr>
    </w:p>
    <w:p>
      <w:pPr>
        <w:pStyle w:val="BodyText"/>
        <w:spacing w:line="321" w:lineRule="auto"/>
      </w:pPr>
    </w:p>
    <w:p>
      <w:pPr>
        <w:spacing w:before="78" w:line="351" w:lineRule="auto"/>
        <w:ind w:left="36" w:right="31" w:firstLine="48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本规范参照了国家计量技术规范 JJF1001—2011《通用计量术语及定义》,</w:t>
      </w:r>
      <w:r>
        <w:rPr>
          <w:rFonts w:ascii="SimSun" w:eastAsia="SimSun" w:hAnsi="SimSun" w:cs="SimSun"/>
          <w:spacing w:val="-3"/>
          <w:sz w:val="24"/>
          <w:szCs w:val="24"/>
        </w:rPr>
        <w:t>JJF</w:t>
      </w:r>
      <w:r>
        <w:rPr>
          <w:rFonts w:ascii="SimSun" w:eastAsia="SimSun" w:hAnsi="SimSun" w:cs="SimSun"/>
          <w:spacing w:val="-3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1059.1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— 2012《测量不确定度评定与表示》</w:t>
      </w:r>
      <w:r>
        <w:rPr>
          <w:rFonts w:ascii="SimSun" w:eastAsia="SimSun" w:hAnsi="SimSun" w:cs="SimSun"/>
          <w:spacing w:val="-5"/>
          <w:sz w:val="24"/>
          <w:szCs w:val="24"/>
        </w:rPr>
        <w:t>以及 JJF</w:t>
      </w:r>
      <w:r>
        <w:rPr>
          <w:rFonts w:ascii="SimSun" w:eastAsia="SimSun" w:hAnsi="SimSun" w:cs="SimSun"/>
          <w:spacing w:val="-3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1071—2010《国家计量校准规范编写规则》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中规定的相关术语定义和编写规则。</w:t>
      </w:r>
    </w:p>
    <w:p>
      <w:pPr>
        <w:spacing w:before="35" w:line="351" w:lineRule="auto"/>
        <w:ind w:left="39" w:right="40" w:firstLine="480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本规范部分采纳 GB/T 26814-2011《微波</w:t>
      </w:r>
      <w:r>
        <w:rPr>
          <w:rFonts w:ascii="SimSun" w:eastAsia="SimSun" w:hAnsi="SimSun" w:cs="SimSun"/>
          <w:spacing w:val="-1"/>
          <w:sz w:val="24"/>
          <w:szCs w:val="24"/>
        </w:rPr>
        <w:t>消解装置》、JJF 1101-2019 《环境试验设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备温度、湿度参数校准规范》和</w:t>
      </w:r>
      <w:r>
        <w:rPr>
          <w:rFonts w:ascii="SimSun" w:eastAsia="SimSun" w:hAnsi="SimSun" w:cs="SimSun"/>
          <w:sz w:val="24"/>
          <w:szCs w:val="24"/>
        </w:rPr>
        <w:t>GB</w:t>
      </w:r>
      <w:r>
        <w:rPr>
          <w:rFonts w:ascii="SimSun" w:eastAsia="SimSun" w:hAnsi="SimSun" w:cs="SimSun"/>
          <w:spacing w:val="2"/>
          <w:sz w:val="24"/>
          <w:szCs w:val="24"/>
        </w:rPr>
        <w:t>/T 5170.1-2016 《电工电子产品环境试验设备检验方</w:t>
      </w:r>
      <w:r>
        <w:rPr>
          <w:rFonts w:ascii="SimSun" w:eastAsia="SimSun" w:hAnsi="SimSun" w:cs="SimSun"/>
          <w:spacing w:val="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法第1部分：总则》中规定的相关术语定义和技术内容。</w:t>
      </w:r>
    </w:p>
    <w:p>
      <w:pPr>
        <w:spacing w:before="34" w:line="219" w:lineRule="auto"/>
        <w:ind w:left="51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本规范为首次发布。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5"/>
          <w:footerReference w:type="default" r:id="rId16"/>
          <w:pgSz w:w="11907" w:h="16839"/>
          <w:pgMar w:top="1740" w:right="1387" w:bottom="1340" w:left="1104" w:header="1431" w:footer="1107" w:gutter="0"/>
          <w:pgNumType w:start="8"/>
          <w:cols w:space="708"/>
        </w:sectPr>
      </w:pPr>
    </w:p>
    <w:p>
      <w:pPr>
        <w:pStyle w:val="BodyText"/>
        <w:spacing w:line="319" w:lineRule="auto"/>
      </w:pPr>
    </w:p>
    <w:p>
      <w:pPr>
        <w:pStyle w:val="BodyText"/>
        <w:spacing w:line="320" w:lineRule="auto"/>
      </w:pPr>
    </w:p>
    <w:p>
      <w:pPr>
        <w:spacing w:before="100" w:line="224" w:lineRule="auto"/>
        <w:ind w:left="3698"/>
        <w:outlineLvl w:val="0"/>
        <w:rPr>
          <w:rFonts w:ascii="SimHei" w:eastAsia="SimHei" w:hAnsi="SimHei" w:cs="SimHei"/>
          <w:sz w:val="31"/>
          <w:szCs w:val="31"/>
        </w:rPr>
      </w:pPr>
      <w:bookmarkStart w:id="1" w:name="bookmark2"/>
      <w:bookmarkEnd w:id="1"/>
      <w:r>
        <w:rPr>
          <w:rFonts w:ascii="SimHei" w:eastAsia="SimHei" w:hAnsi="SimHei" w:cs="SimHei"/>
          <w:spacing w:val="8"/>
          <w:sz w:val="31"/>
          <w:szCs w:val="31"/>
        </w:rPr>
        <w:t>微波消解仪校准规范</w:t>
      </w:r>
    </w:p>
    <w:p>
      <w:pPr>
        <w:pStyle w:val="BodyText"/>
        <w:spacing w:line="307" w:lineRule="auto"/>
      </w:pPr>
    </w:p>
    <w:p>
      <w:pPr>
        <w:pStyle w:val="BodyText"/>
        <w:spacing w:line="308" w:lineRule="auto"/>
      </w:pPr>
    </w:p>
    <w:p>
      <w:pPr>
        <w:spacing w:before="78" w:line="220" w:lineRule="auto"/>
        <w:ind w:left="5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0"/>
          <w:sz w:val="24"/>
          <w:szCs w:val="24"/>
        </w:rPr>
        <w:t>1</w:t>
      </w:r>
      <w:r>
        <w:rPr>
          <w:rFonts w:ascii="SimHei" w:eastAsia="SimHei" w:hAnsi="SimHei" w:cs="SimHei"/>
          <w:spacing w:val="6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10"/>
          <w:sz w:val="24"/>
          <w:szCs w:val="24"/>
        </w:rPr>
        <w:t>范围</w:t>
      </w:r>
    </w:p>
    <w:p>
      <w:pPr>
        <w:pStyle w:val="BodyText"/>
        <w:spacing w:line="336" w:lineRule="auto"/>
      </w:pPr>
    </w:p>
    <w:p>
      <w:pPr>
        <w:spacing w:before="78" w:line="219" w:lineRule="auto"/>
        <w:ind w:left="51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本规范适用于实验室用密闭式微波消解仪温度参数的校准。</w:t>
      </w:r>
    </w:p>
    <w:p>
      <w:pPr>
        <w:pStyle w:val="BodyText"/>
        <w:spacing w:line="339" w:lineRule="auto"/>
      </w:pPr>
    </w:p>
    <w:p>
      <w:pPr>
        <w:spacing w:before="78" w:line="219" w:lineRule="auto"/>
        <w:ind w:left="36"/>
        <w:rPr>
          <w:rFonts w:ascii="SimHei" w:eastAsia="SimHei" w:hAnsi="SimHei" w:cs="SimHei"/>
          <w:sz w:val="24"/>
          <w:szCs w:val="24"/>
        </w:rPr>
      </w:pPr>
      <w:bookmarkStart w:id="2" w:name="bookmark3"/>
      <w:bookmarkEnd w:id="2"/>
      <w:r>
        <w:rPr>
          <w:rFonts w:ascii="SimHei" w:eastAsia="SimHei" w:hAnsi="SimHei" w:cs="SimHei"/>
          <w:spacing w:val="-6"/>
          <w:sz w:val="24"/>
          <w:szCs w:val="24"/>
        </w:rPr>
        <w:t>2</w:t>
      </w:r>
      <w:r>
        <w:rPr>
          <w:rFonts w:ascii="SimHei" w:eastAsia="SimHei" w:hAnsi="SimHei" w:cs="SimHei"/>
          <w:spacing w:val="15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6"/>
          <w:sz w:val="24"/>
          <w:szCs w:val="24"/>
        </w:rPr>
        <w:t>引用文件</w:t>
      </w:r>
    </w:p>
    <w:p>
      <w:pPr>
        <w:pStyle w:val="BodyText"/>
        <w:spacing w:line="335" w:lineRule="auto"/>
      </w:pPr>
    </w:p>
    <w:p>
      <w:pPr>
        <w:spacing w:before="78" w:line="220" w:lineRule="auto"/>
        <w:ind w:left="51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GB/T 5170.1-2016</w:t>
      </w:r>
      <w:r>
        <w:rPr>
          <w:rFonts w:ascii="SimSun" w:eastAsia="SimSun" w:hAnsi="SimSun" w:cs="SimSun"/>
          <w:spacing w:val="3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电工电子产品环境试验设备检验方法第</w:t>
      </w:r>
      <w:r>
        <w:rPr>
          <w:rFonts w:ascii="SimSun" w:eastAsia="SimSun" w:hAnsi="SimSun" w:cs="SimSun"/>
          <w:spacing w:val="-2"/>
          <w:sz w:val="24"/>
          <w:szCs w:val="24"/>
        </w:rPr>
        <w:t>1部分：总则</w:t>
      </w:r>
    </w:p>
    <w:p>
      <w:pPr>
        <w:spacing w:before="184" w:line="346" w:lineRule="auto"/>
        <w:ind w:left="39" w:right="21" w:firstLine="48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凡是注日期的引用文件，仅注日期的版本适用于本规范；凡是不注日期的引用文</w:t>
      </w:r>
      <w:r>
        <w:rPr>
          <w:rFonts w:ascii="SimSun" w:eastAsia="SimSun" w:hAnsi="SimSun" w:cs="SimSun"/>
          <w:sz w:val="24"/>
          <w:szCs w:val="24"/>
        </w:rPr>
        <w:t xml:space="preserve">件， </w:t>
      </w:r>
      <w:r>
        <w:rPr>
          <w:rFonts w:ascii="SimSun" w:eastAsia="SimSun" w:hAnsi="SimSun" w:cs="SimSun"/>
          <w:spacing w:val="-2"/>
          <w:sz w:val="24"/>
          <w:szCs w:val="24"/>
        </w:rPr>
        <w:t>其最新版本（包括所有的修改单）适用于本规范。</w:t>
      </w:r>
    </w:p>
    <w:p>
      <w:pPr>
        <w:spacing w:before="270" w:line="220" w:lineRule="auto"/>
        <w:ind w:left="38"/>
        <w:rPr>
          <w:rFonts w:ascii="SimHei" w:eastAsia="SimHei" w:hAnsi="SimHei" w:cs="SimHei"/>
          <w:sz w:val="24"/>
          <w:szCs w:val="24"/>
        </w:rPr>
      </w:pPr>
      <w:bookmarkStart w:id="3" w:name="bookmark4"/>
      <w:bookmarkEnd w:id="3"/>
      <w:r>
        <w:rPr>
          <w:rFonts w:ascii="SimHei" w:eastAsia="SimHei" w:hAnsi="SimHei" w:cs="SimHei"/>
          <w:spacing w:val="-5"/>
          <w:sz w:val="24"/>
          <w:szCs w:val="24"/>
        </w:rPr>
        <w:t>3</w:t>
      </w:r>
      <w:r>
        <w:rPr>
          <w:rFonts w:ascii="SimHei" w:eastAsia="SimHei" w:hAnsi="SimHei" w:cs="SimHei"/>
          <w:spacing w:val="4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5"/>
          <w:sz w:val="24"/>
          <w:szCs w:val="24"/>
        </w:rPr>
        <w:t>术语</w:t>
      </w:r>
    </w:p>
    <w:p>
      <w:pPr>
        <w:pStyle w:val="BodyText"/>
        <w:spacing w:line="335" w:lineRule="auto"/>
      </w:pPr>
    </w:p>
    <w:p>
      <w:pPr>
        <w:spacing w:before="79" w:line="218" w:lineRule="auto"/>
        <w:ind w:left="51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JJF1001-2011、GB/T5170.1-2016界定的及以下术语和定义适用于本规范。</w:t>
      </w:r>
    </w:p>
    <w:p>
      <w:pPr>
        <w:spacing w:before="261" w:line="214" w:lineRule="auto"/>
        <w:ind w:left="42"/>
        <w:rPr>
          <w:rFonts w:ascii="SimSun" w:eastAsia="SimSun" w:hAnsi="SimSun" w:cs="SimSun"/>
          <w:sz w:val="24"/>
          <w:szCs w:val="24"/>
        </w:rPr>
      </w:pPr>
      <w:bookmarkStart w:id="4" w:name="bookmark5"/>
      <w:bookmarkEnd w:id="4"/>
      <w:r>
        <w:rPr>
          <w:rFonts w:ascii="SimSun" w:eastAsia="SimSun" w:hAnsi="SimSun" w:cs="SimSun"/>
          <w:sz w:val="24"/>
          <w:szCs w:val="24"/>
        </w:rPr>
        <w:t>3.1  微波消解法 Microwave Diges</w:t>
      </w:r>
      <w:r>
        <w:rPr>
          <w:rFonts w:ascii="SimSun" w:eastAsia="SimSun" w:hAnsi="SimSun" w:cs="SimSun"/>
          <w:spacing w:val="-1"/>
          <w:sz w:val="24"/>
          <w:szCs w:val="24"/>
        </w:rPr>
        <w:t>tion Technology</w:t>
      </w:r>
    </w:p>
    <w:p>
      <w:pPr>
        <w:spacing w:before="270" w:line="295" w:lineRule="auto"/>
        <w:ind w:left="37" w:right="77" w:firstLine="48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利用微波加热封闭容器中的消解液和试样，从</w:t>
      </w:r>
      <w:r>
        <w:rPr>
          <w:rFonts w:ascii="SimSun" w:eastAsia="SimSun" w:hAnsi="SimSun" w:cs="SimSun"/>
          <w:spacing w:val="-1"/>
          <w:sz w:val="24"/>
          <w:szCs w:val="24"/>
        </w:rPr>
        <w:t>而在高温增压条件下使各种样品快速溶</w:t>
      </w:r>
      <w:r>
        <w:rPr>
          <w:rFonts w:ascii="SimSun" w:eastAsia="SimSun" w:hAnsi="SimSun" w:cs="SimSun"/>
          <w:sz w:val="24"/>
          <w:szCs w:val="24"/>
        </w:rPr>
        <w:t xml:space="preserve"> </w:t>
      </w:r>
      <w:bookmarkStart w:id="5" w:name="bookmark6"/>
      <w:bookmarkEnd w:id="5"/>
      <w:r>
        <w:rPr>
          <w:rFonts w:ascii="SimSun" w:eastAsia="SimSun" w:hAnsi="SimSun" w:cs="SimSun"/>
          <w:spacing w:val="-4"/>
          <w:sz w:val="24"/>
          <w:szCs w:val="24"/>
        </w:rPr>
        <w:t>解的湿法消化的方法。</w:t>
      </w:r>
    </w:p>
    <w:p>
      <w:pPr>
        <w:spacing w:before="110" w:line="220" w:lineRule="auto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3.2  标称值 Nominal Value</w:t>
      </w:r>
      <w:r>
        <w:rPr>
          <w:rFonts w:ascii="SimSun" w:eastAsia="SimSun" w:hAnsi="SimSun" w:cs="SimSun"/>
          <w:spacing w:val="4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[3.1.5 G</w:t>
      </w:r>
      <w:r>
        <w:rPr>
          <w:rFonts w:ascii="SimSun" w:eastAsia="SimSun" w:hAnsi="SimSun" w:cs="SimSun"/>
          <w:spacing w:val="-2"/>
          <w:sz w:val="24"/>
          <w:szCs w:val="24"/>
        </w:rPr>
        <w:t>B/T 5170.1-2016]</w:t>
      </w:r>
    </w:p>
    <w:p>
      <w:pPr>
        <w:spacing w:before="262" w:line="293" w:lineRule="auto"/>
        <w:ind w:left="39" w:right="87" w:firstLine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当检验环境试验设备时,按试验方法要求所规定的环境参数值或按需要预先确定的环</w:t>
      </w:r>
      <w:r>
        <w:rPr>
          <w:rFonts w:ascii="SimSun" w:eastAsia="SimSun" w:hAnsi="SimSun" w:cs="SimSun"/>
          <w:spacing w:val="5"/>
          <w:sz w:val="24"/>
          <w:szCs w:val="24"/>
        </w:rPr>
        <w:t xml:space="preserve"> </w:t>
      </w:r>
      <w:bookmarkStart w:id="6" w:name="bookmark7"/>
      <w:bookmarkEnd w:id="6"/>
      <w:r>
        <w:rPr>
          <w:rFonts w:ascii="SimSun" w:eastAsia="SimSun" w:hAnsi="SimSun" w:cs="SimSun"/>
          <w:spacing w:val="-3"/>
          <w:sz w:val="24"/>
          <w:szCs w:val="24"/>
        </w:rPr>
        <w:t>境参数值。</w:t>
      </w:r>
    </w:p>
    <w:p>
      <w:pPr>
        <w:spacing w:before="115" w:line="215" w:lineRule="auto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3.3  稳定状态 Steady</w:t>
      </w:r>
      <w:r>
        <w:rPr>
          <w:rFonts w:ascii="SimSun" w:eastAsia="SimSun" w:hAnsi="SimSun" w:cs="SimSun"/>
          <w:spacing w:val="2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state</w:t>
      </w:r>
      <w:r>
        <w:rPr>
          <w:rFonts w:ascii="SimSun" w:eastAsia="SimSun" w:hAnsi="SimSun" w:cs="SimSun"/>
          <w:spacing w:val="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of</w:t>
      </w:r>
      <w:r>
        <w:rPr>
          <w:rFonts w:ascii="SimSun" w:eastAsia="SimSun" w:hAnsi="SimSun" w:cs="SimSun"/>
          <w:spacing w:val="1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test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c</w:t>
      </w:r>
      <w:r>
        <w:rPr>
          <w:rFonts w:ascii="SimSun" w:eastAsia="SimSun" w:hAnsi="SimSun" w:cs="SimSun"/>
          <w:spacing w:val="-3"/>
          <w:sz w:val="24"/>
          <w:szCs w:val="24"/>
        </w:rPr>
        <w:t>hamber</w:t>
      </w:r>
    </w:p>
    <w:p>
      <w:pPr>
        <w:spacing w:before="267" w:line="219" w:lineRule="auto"/>
        <w:ind w:left="51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微波消解仪工作区域温度变化量达到设备本</w:t>
      </w:r>
      <w:r>
        <w:rPr>
          <w:rFonts w:ascii="SimSun" w:eastAsia="SimSun" w:hAnsi="SimSun" w:cs="SimSun"/>
          <w:spacing w:val="-2"/>
          <w:sz w:val="24"/>
          <w:szCs w:val="24"/>
        </w:rPr>
        <w:t>身性能指标要求时的状态。</w:t>
      </w:r>
    </w:p>
    <w:p>
      <w:pPr>
        <w:spacing w:before="194" w:line="214" w:lineRule="auto"/>
        <w:ind w:left="42"/>
        <w:rPr>
          <w:rFonts w:ascii="SimSun" w:eastAsia="SimSun" w:hAnsi="SimSun" w:cs="SimSun"/>
          <w:sz w:val="24"/>
          <w:szCs w:val="24"/>
        </w:rPr>
        <w:sectPr>
          <w:headerReference w:type="default" r:id="rId17"/>
          <w:footerReference w:type="default" r:id="rId18"/>
          <w:pgSz w:w="11907" w:h="16839"/>
          <w:pgMar w:top="1740" w:right="1055" w:bottom="1308" w:left="1390" w:header="1431" w:footer="1133" w:gutter="0"/>
          <w:pgNumType w:start="9"/>
          <w:cols w:space="708"/>
        </w:sectPr>
      </w:pPr>
      <w:bookmarkStart w:id="7" w:name="bookmark8"/>
      <w:bookmarkEnd w:id="7"/>
      <w:r>
        <w:rPr>
          <w:rFonts w:ascii="SimSun" w:eastAsia="SimSun" w:hAnsi="SimSun" w:cs="SimSun"/>
          <w:spacing w:val="-1"/>
          <w:sz w:val="24"/>
          <w:szCs w:val="24"/>
        </w:rPr>
        <w:t>3.4  温度偏差 Temperature Deviation</w:t>
      </w:r>
    </w:p>
    <w:p>
      <w:pPr>
        <w:spacing w:before="268" w:line="293" w:lineRule="auto"/>
        <w:ind w:left="38" w:right="77"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微波消解仪达到工作稳定状态时，各测量点在规</w:t>
      </w:r>
      <w:r>
        <w:rPr>
          <w:rFonts w:ascii="SimSun" w:eastAsia="SimSun" w:hAnsi="SimSun" w:cs="SimSun"/>
          <w:spacing w:val="-1"/>
          <w:sz w:val="24"/>
          <w:szCs w:val="24"/>
        </w:rPr>
        <w:t>定时间内实测最高温度和最低温度与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微波消解仪标称温度值的上下偏差。温度偏差包含温度上</w:t>
      </w:r>
      <w:r>
        <w:rPr>
          <w:rFonts w:ascii="SimSun" w:eastAsia="SimSun" w:hAnsi="SimSun" w:cs="SimSun"/>
          <w:spacing w:val="-2"/>
          <w:sz w:val="24"/>
          <w:szCs w:val="24"/>
        </w:rPr>
        <w:t>偏差和温度下偏差。</w:t>
      </w:r>
    </w:p>
    <w:p>
      <w:pPr>
        <w:spacing w:before="115" w:line="214" w:lineRule="auto"/>
        <w:ind w:left="42"/>
        <w:rPr>
          <w:rFonts w:ascii="SimSun" w:eastAsia="SimSun" w:hAnsi="SimSun" w:cs="SimSun"/>
          <w:sz w:val="24"/>
          <w:szCs w:val="24"/>
        </w:rPr>
      </w:pPr>
      <w:bookmarkStart w:id="8" w:name="bookmark9"/>
      <w:bookmarkEnd w:id="8"/>
      <w:r>
        <w:rPr>
          <w:rFonts w:ascii="SimSun" w:eastAsia="SimSun" w:hAnsi="SimSun" w:cs="SimSun"/>
          <w:spacing w:val="-1"/>
          <w:sz w:val="24"/>
          <w:szCs w:val="24"/>
        </w:rPr>
        <w:t>3.5  温度均匀度 Temperature Uniformity</w:t>
      </w:r>
    </w:p>
    <w:p>
      <w:pPr>
        <w:spacing w:before="188" w:line="220" w:lineRule="auto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微波消解仪工作稳定状态下，工作空间内某一瞬时各消</w:t>
      </w:r>
      <w:r>
        <w:rPr>
          <w:rFonts w:ascii="SimSun" w:eastAsia="SimSun" w:hAnsi="SimSun" w:cs="SimSun"/>
          <w:spacing w:val="1"/>
          <w:sz w:val="24"/>
          <w:szCs w:val="24"/>
        </w:rPr>
        <w:t>解罐内实测温度的最大差值。</w:t>
      </w:r>
    </w:p>
    <w:p>
      <w:pPr>
        <w:spacing w:before="184" w:line="214" w:lineRule="auto"/>
        <w:ind w:left="42"/>
        <w:rPr>
          <w:rFonts w:ascii="SimSun" w:eastAsia="SimSun" w:hAnsi="SimSun" w:cs="SimSun"/>
          <w:sz w:val="24"/>
          <w:szCs w:val="24"/>
        </w:rPr>
      </w:pPr>
      <w:bookmarkStart w:id="9" w:name="bookmark10"/>
      <w:bookmarkEnd w:id="9"/>
      <w:r>
        <w:rPr>
          <w:rFonts w:ascii="SimSun" w:eastAsia="SimSun" w:hAnsi="SimSun" w:cs="SimSun"/>
          <w:spacing w:val="-1"/>
          <w:sz w:val="24"/>
          <w:szCs w:val="24"/>
        </w:rPr>
        <w:t>3.6  温度波动度 temperature</w:t>
      </w:r>
      <w:r>
        <w:rPr>
          <w:rFonts w:ascii="SimSun" w:eastAsia="SimSun" w:hAnsi="SimSun" w:cs="SimSun"/>
          <w:spacing w:val="1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fluctuation</w:t>
      </w:r>
    </w:p>
    <w:p>
      <w:pPr>
        <w:spacing w:line="214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9"/>
          <w:footerReference w:type="default" r:id="rId20"/>
          <w:type w:val="nextPage"/>
          <w:pgSz w:w="11907" w:h="16839"/>
          <w:pgMar w:top="1740" w:right="1055" w:bottom="1308" w:left="1390" w:header="1431" w:footer="1133" w:gutter="0"/>
          <w:pgNumType w:start="10"/>
          <w:cols w:space="708"/>
          <w:titlePg w:val="0"/>
        </w:sectPr>
      </w:pPr>
    </w:p>
    <w:p>
      <w:pPr>
        <w:spacing w:before="244" w:line="294" w:lineRule="auto"/>
        <w:ind w:left="140" w:right="113" w:firstLine="46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微波消解仪工作稳定状态下，在规定的时间间隔内</w:t>
      </w:r>
      <w:r>
        <w:rPr>
          <w:rFonts w:ascii="SimSun" w:eastAsia="SimSun" w:hAnsi="SimSun" w:cs="SimSun"/>
          <w:spacing w:val="-1"/>
          <w:sz w:val="24"/>
          <w:szCs w:val="24"/>
        </w:rPr>
        <w:t>，任意一个消解罐内实测温度随时</w:t>
      </w:r>
      <w:r>
        <w:rPr>
          <w:rFonts w:ascii="SimSun" w:eastAsia="SimSun" w:hAnsi="SimSun" w:cs="SimSun"/>
          <w:sz w:val="24"/>
          <w:szCs w:val="24"/>
        </w:rPr>
        <w:t xml:space="preserve"> </w:t>
      </w:r>
      <w:bookmarkStart w:id="10" w:name="bookmark11"/>
      <w:bookmarkEnd w:id="10"/>
      <w:r>
        <w:rPr>
          <w:rFonts w:ascii="SimSun" w:eastAsia="SimSun" w:hAnsi="SimSun" w:cs="SimSun"/>
          <w:spacing w:val="-9"/>
          <w:sz w:val="24"/>
          <w:szCs w:val="24"/>
        </w:rPr>
        <w:t>间的变化量。</w:t>
      </w:r>
    </w:p>
    <w:p>
      <w:pPr>
        <w:spacing w:before="270" w:line="218" w:lineRule="auto"/>
        <w:ind w:left="115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3"/>
          <w:sz w:val="24"/>
          <w:szCs w:val="24"/>
        </w:rPr>
        <w:t>4</w:t>
      </w:r>
      <w:r>
        <w:rPr>
          <w:rFonts w:ascii="SimHei" w:eastAsia="SimHei" w:hAnsi="SimHei" w:cs="SimHei"/>
          <w:spacing w:val="4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3"/>
          <w:sz w:val="24"/>
          <w:szCs w:val="24"/>
        </w:rPr>
        <w:t>概述</w:t>
      </w:r>
    </w:p>
    <w:p>
      <w:pPr>
        <w:pStyle w:val="BodyText"/>
        <w:spacing w:line="334" w:lineRule="auto"/>
      </w:pPr>
    </w:p>
    <w:p>
      <w:pPr>
        <w:spacing w:before="78" w:line="303" w:lineRule="auto"/>
        <w:ind w:left="121" w:right="39" w:firstLine="481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微波消解仪是利用微波的穿透性和激活反应</w:t>
      </w:r>
      <w:r>
        <w:rPr>
          <w:rFonts w:ascii="SimSun" w:eastAsia="SimSun" w:hAnsi="SimSun" w:cs="SimSun"/>
          <w:spacing w:val="-1"/>
          <w:sz w:val="24"/>
          <w:szCs w:val="24"/>
        </w:rPr>
        <w:t>能力加热密闭容器内的试剂和样品，使制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样容器内压力增加，反应温度提高，从而大大提</w:t>
      </w:r>
      <w:r>
        <w:rPr>
          <w:rFonts w:ascii="SimSun" w:eastAsia="SimSun" w:hAnsi="SimSun" w:cs="SimSun"/>
          <w:spacing w:val="1"/>
          <w:sz w:val="24"/>
          <w:szCs w:val="24"/>
        </w:rPr>
        <w:t>高反应速率，缩短样品制备时间的装置。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通常用于原子吸收（AA）、原子荧光（AFS</w:t>
      </w:r>
      <w:r>
        <w:rPr>
          <w:rFonts w:ascii="SimSun" w:eastAsia="SimSun" w:hAnsi="SimSun" w:cs="SimSun"/>
          <w:spacing w:val="-1"/>
          <w:sz w:val="24"/>
          <w:szCs w:val="24"/>
        </w:rPr>
        <w:t>）、电感耦合等离子发射光谱（ICP-OES）、电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感耦合等离子体-质谱（ICP-MS）、气相色谱（</w:t>
      </w:r>
      <w:r>
        <w:rPr>
          <w:rFonts w:ascii="SimSun" w:eastAsia="SimSun" w:hAnsi="SimSun" w:cs="SimSun"/>
          <w:spacing w:val="-1"/>
          <w:sz w:val="24"/>
          <w:szCs w:val="24"/>
        </w:rPr>
        <w:t>GC）、气相色谱质联用仪（GC-MS）及其他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一起的样品制备。</w:t>
      </w:r>
    </w:p>
    <w:p>
      <w:pPr>
        <w:spacing w:before="31" w:line="300" w:lineRule="auto"/>
        <w:ind w:left="122" w:right="115" w:firstLine="480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微波消解仪主要由磁控管、波导管、微波炉</w:t>
      </w:r>
      <w:r>
        <w:rPr>
          <w:rFonts w:ascii="SimSun" w:eastAsia="SimSun" w:hAnsi="SimSun" w:cs="SimSun"/>
          <w:spacing w:val="-1"/>
          <w:sz w:val="24"/>
          <w:szCs w:val="24"/>
        </w:rPr>
        <w:t>腔、能转动的负载盘和样品架、自动控制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系统、排风系统、安全防护门、微波消解罐等组成</w:t>
      </w:r>
      <w:r>
        <w:rPr>
          <w:rFonts w:ascii="SimSun" w:eastAsia="SimSun" w:hAnsi="SimSun" w:cs="SimSun"/>
          <w:spacing w:val="-1"/>
          <w:sz w:val="24"/>
          <w:szCs w:val="24"/>
        </w:rPr>
        <w:t>。消解罐是微波可穿透并用于分解难溶</w:t>
      </w:r>
      <w:r>
        <w:rPr>
          <w:rFonts w:ascii="SimSun" w:eastAsia="SimSun" w:hAnsi="SimSun" w:cs="SimSun"/>
          <w:sz w:val="24"/>
          <w:szCs w:val="24"/>
        </w:rPr>
        <w:t xml:space="preserve"> </w:t>
      </w:r>
      <w:bookmarkStart w:id="11" w:name="bookmark12"/>
      <w:bookmarkEnd w:id="11"/>
      <w:r>
        <w:rPr>
          <w:rFonts w:ascii="SimSun" w:eastAsia="SimSun" w:hAnsi="SimSun" w:cs="SimSun"/>
          <w:spacing w:val="-6"/>
          <w:sz w:val="24"/>
          <w:szCs w:val="24"/>
        </w:rPr>
        <w:t>物质的容器。</w:t>
      </w:r>
    </w:p>
    <w:p>
      <w:pPr>
        <w:spacing w:before="266" w:line="219" w:lineRule="auto"/>
        <w:ind w:left="116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3"/>
          <w:sz w:val="24"/>
          <w:szCs w:val="24"/>
        </w:rPr>
        <w:t>5</w:t>
      </w:r>
      <w:r>
        <w:rPr>
          <w:rFonts w:ascii="SimHei" w:eastAsia="SimHei" w:hAnsi="SimHei" w:cs="SimHei"/>
          <w:spacing w:val="6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3"/>
          <w:sz w:val="24"/>
          <w:szCs w:val="24"/>
        </w:rPr>
        <w:t>计量特性</w:t>
      </w:r>
    </w:p>
    <w:p>
      <w:pPr>
        <w:pStyle w:val="BodyText"/>
        <w:spacing w:line="336" w:lineRule="auto"/>
      </w:pPr>
    </w:p>
    <w:p>
      <w:pPr>
        <w:spacing w:before="78" w:line="310" w:lineRule="auto"/>
        <w:ind w:left="121" w:right="3143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2"/>
          <w:sz w:val="24"/>
          <w:szCs w:val="24"/>
        </w:rPr>
        <w:t>表1规定了微波消解仪的温度参数技术指标，供校准时参考。</w:t>
      </w:r>
      <w:r>
        <w:rPr>
          <w:rFonts w:ascii="SimSun" w:eastAsia="SimSun" w:hAnsi="SimSun" w:cs="SimSun"/>
          <w:spacing w:val="11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表1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微波消解仪温度性能要求</w:t>
      </w:r>
    </w:p>
    <w:tbl>
      <w:tblPr>
        <w:tblStyle w:val="TableNormal0"/>
        <w:tblW w:w="957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194"/>
        <w:gridCol w:w="3188"/>
        <w:gridCol w:w="3195"/>
      </w:tblGrid>
      <w:tr>
        <w:tblPrEx>
          <w:tblW w:w="957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10"/>
        </w:trPr>
        <w:tc>
          <w:tcPr>
            <w:tcW w:w="3194" w:type="dxa"/>
            <w:vAlign w:val="top"/>
          </w:tcPr>
          <w:p>
            <w:pPr>
              <w:pStyle w:val="TableText"/>
              <w:spacing w:before="142" w:line="221" w:lineRule="auto"/>
              <w:ind w:left="957"/>
            </w:pPr>
            <w:r>
              <w:rPr>
                <w:spacing w:val="-2"/>
              </w:rPr>
              <w:t>校准项目</w:t>
            </w:r>
          </w:p>
        </w:tc>
        <w:tc>
          <w:tcPr>
            <w:tcW w:w="3188" w:type="dxa"/>
            <w:vAlign w:val="top"/>
          </w:tcPr>
          <w:p>
            <w:pPr>
              <w:pStyle w:val="TableText"/>
              <w:spacing w:before="142" w:line="221" w:lineRule="auto"/>
              <w:ind w:left="956"/>
            </w:pPr>
            <w:r>
              <w:rPr>
                <w:spacing w:val="-2"/>
              </w:rPr>
              <w:t>温度范围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spacing w:before="141" w:line="221" w:lineRule="auto"/>
              <w:ind w:left="957"/>
            </w:pPr>
            <w:r>
              <w:rPr>
                <w:spacing w:val="-2"/>
              </w:rPr>
              <w:t>技术指标</w:t>
            </w:r>
          </w:p>
        </w:tc>
      </w:tr>
      <w:tr>
        <w:tblPrEx>
          <w:tblW w:w="9577" w:type="dxa"/>
          <w:tblInd w:w="2" w:type="dxa"/>
          <w:tblLayout w:type="fixed"/>
        </w:tblPrEx>
        <w:trPr>
          <w:trHeight w:val="405"/>
        </w:trPr>
        <w:tc>
          <w:tcPr>
            <w:tcW w:w="3194" w:type="dxa"/>
            <w:vMerge w:val="restart"/>
            <w:tcBorders>
              <w:bottom w:val="nil"/>
            </w:tcBorders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958"/>
            </w:pPr>
            <w:r>
              <w:rPr>
                <w:spacing w:val="-2"/>
              </w:rPr>
              <w:t>温度偏差</w:t>
            </w:r>
          </w:p>
        </w:tc>
        <w:tc>
          <w:tcPr>
            <w:tcW w:w="3188" w:type="dxa"/>
            <w:vAlign w:val="top"/>
          </w:tcPr>
          <w:p>
            <w:pPr>
              <w:pStyle w:val="TableText"/>
              <w:spacing w:before="137" w:line="226" w:lineRule="auto"/>
              <w:ind w:left="1182"/>
            </w:pPr>
            <w:r>
              <w:rPr>
                <w:spacing w:val="-1"/>
              </w:rPr>
              <w:t>0℃</w:t>
            </w:r>
            <w:r>
              <w:rPr>
                <w:color w:val="333333"/>
                <w:spacing w:val="-1"/>
              </w:rPr>
              <w:t>＜</w:t>
            </w:r>
            <w:r>
              <w:rPr>
                <w:spacing w:val="-1"/>
              </w:rPr>
              <w:t>t≤50℃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spacing w:before="137" w:line="226" w:lineRule="auto"/>
              <w:ind w:left="1192"/>
            </w:pPr>
            <w:r>
              <w:rPr>
                <w:spacing w:val="-10"/>
              </w:rPr>
              <w:t>±2℃</w:t>
            </w:r>
          </w:p>
        </w:tc>
      </w:tr>
      <w:tr>
        <w:tblPrEx>
          <w:tblW w:w="9577" w:type="dxa"/>
          <w:tblInd w:w="2" w:type="dxa"/>
          <w:tblLayout w:type="fixed"/>
        </w:tblPrEx>
        <w:trPr>
          <w:trHeight w:val="402"/>
        </w:trPr>
        <w:tc>
          <w:tcPr>
            <w:tcW w:w="3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88" w:type="dxa"/>
            <w:vAlign w:val="top"/>
          </w:tcPr>
          <w:p>
            <w:pPr>
              <w:pStyle w:val="TableText"/>
              <w:spacing w:before="138" w:line="223" w:lineRule="auto"/>
              <w:ind w:left="1079"/>
            </w:pPr>
            <w:r>
              <w:rPr>
                <w:spacing w:val="-1"/>
              </w:rPr>
              <w:t>50℃</w:t>
            </w:r>
            <w:r>
              <w:rPr>
                <w:color w:val="333333"/>
                <w:spacing w:val="-1"/>
              </w:rPr>
              <w:t>＜</w:t>
            </w:r>
            <w:r>
              <w:rPr>
                <w:spacing w:val="-1"/>
              </w:rPr>
              <w:t>t≤100℃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spacing w:before="138" w:line="223" w:lineRule="auto"/>
              <w:ind w:left="1192"/>
            </w:pPr>
            <w:r>
              <w:rPr>
                <w:spacing w:val="-10"/>
              </w:rPr>
              <w:t>±3℃</w:t>
            </w:r>
          </w:p>
        </w:tc>
      </w:tr>
      <w:tr>
        <w:tblPrEx>
          <w:tblW w:w="9577" w:type="dxa"/>
          <w:tblInd w:w="2" w:type="dxa"/>
          <w:tblLayout w:type="fixed"/>
        </w:tblPrEx>
        <w:trPr>
          <w:trHeight w:val="405"/>
        </w:trPr>
        <w:tc>
          <w:tcPr>
            <w:tcW w:w="31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88" w:type="dxa"/>
            <w:vAlign w:val="top"/>
          </w:tcPr>
          <w:p>
            <w:pPr>
              <w:pStyle w:val="TableText"/>
              <w:spacing w:before="141" w:line="223" w:lineRule="auto"/>
              <w:ind w:left="1040"/>
            </w:pPr>
            <w:r>
              <w:rPr>
                <w:spacing w:val="-2"/>
              </w:rPr>
              <w:t>100℃</w:t>
            </w:r>
            <w:r>
              <w:rPr>
                <w:color w:val="333333"/>
                <w:spacing w:val="-2"/>
              </w:rPr>
              <w:t>＜</w:t>
            </w:r>
            <w:r>
              <w:rPr>
                <w:spacing w:val="-2"/>
              </w:rPr>
              <w:t>t≤200℃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spacing w:before="141" w:line="223" w:lineRule="auto"/>
              <w:ind w:left="1192"/>
            </w:pPr>
            <w:r>
              <w:rPr>
                <w:spacing w:val="-10"/>
              </w:rPr>
              <w:t>±5℃</w:t>
            </w:r>
          </w:p>
        </w:tc>
      </w:tr>
      <w:tr>
        <w:tblPrEx>
          <w:tblW w:w="9577" w:type="dxa"/>
          <w:tblInd w:w="2" w:type="dxa"/>
          <w:tblLayout w:type="fixed"/>
        </w:tblPrEx>
        <w:trPr>
          <w:trHeight w:val="405"/>
        </w:trPr>
        <w:tc>
          <w:tcPr>
            <w:tcW w:w="3194" w:type="dxa"/>
            <w:vMerge w:val="restart"/>
            <w:tcBorders>
              <w:bottom w:val="nil"/>
            </w:tcBorders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958"/>
            </w:pPr>
            <w:r>
              <w:rPr>
                <w:spacing w:val="-2"/>
              </w:rPr>
              <w:t>温度均匀度</w:t>
            </w:r>
          </w:p>
        </w:tc>
        <w:tc>
          <w:tcPr>
            <w:tcW w:w="3188" w:type="dxa"/>
            <w:vAlign w:val="top"/>
          </w:tcPr>
          <w:p>
            <w:pPr>
              <w:pStyle w:val="TableText"/>
              <w:spacing w:before="139" w:line="225" w:lineRule="auto"/>
              <w:ind w:left="1182"/>
            </w:pPr>
            <w:r>
              <w:rPr>
                <w:spacing w:val="-1"/>
              </w:rPr>
              <w:t>0℃＜t≤50℃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spacing w:before="139" w:line="225" w:lineRule="auto"/>
              <w:ind w:left="1167"/>
            </w:pPr>
            <w:r>
              <w:rPr>
                <w:spacing w:val="-3"/>
              </w:rPr>
              <w:t>4℃</w:t>
            </w:r>
          </w:p>
        </w:tc>
      </w:tr>
      <w:tr>
        <w:tblPrEx>
          <w:tblW w:w="9577" w:type="dxa"/>
          <w:tblInd w:w="2" w:type="dxa"/>
          <w:tblLayout w:type="fixed"/>
        </w:tblPrEx>
        <w:trPr>
          <w:trHeight w:val="405"/>
        </w:trPr>
        <w:tc>
          <w:tcPr>
            <w:tcW w:w="3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88" w:type="dxa"/>
            <w:vAlign w:val="top"/>
          </w:tcPr>
          <w:p>
            <w:pPr>
              <w:pStyle w:val="TableText"/>
              <w:spacing w:before="140" w:line="224" w:lineRule="auto"/>
              <w:ind w:left="1079"/>
            </w:pPr>
            <w:r>
              <w:rPr>
                <w:spacing w:val="-1"/>
              </w:rPr>
              <w:t>50℃＜t≤100℃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spacing w:before="140" w:line="224" w:lineRule="auto"/>
              <w:ind w:left="1169"/>
            </w:pPr>
            <w:r>
              <w:rPr>
                <w:spacing w:val="-5"/>
              </w:rPr>
              <w:t>6℃</w:t>
            </w:r>
          </w:p>
        </w:tc>
      </w:tr>
      <w:tr>
        <w:tblPrEx>
          <w:tblW w:w="9577" w:type="dxa"/>
          <w:tblInd w:w="2" w:type="dxa"/>
          <w:tblLayout w:type="fixed"/>
        </w:tblPrEx>
        <w:trPr>
          <w:trHeight w:val="405"/>
        </w:trPr>
        <w:tc>
          <w:tcPr>
            <w:tcW w:w="31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88" w:type="dxa"/>
            <w:vAlign w:val="top"/>
          </w:tcPr>
          <w:p>
            <w:pPr>
              <w:pStyle w:val="TableText"/>
              <w:spacing w:before="140" w:line="224" w:lineRule="auto"/>
              <w:ind w:left="1040"/>
            </w:pPr>
            <w:r>
              <w:rPr>
                <w:spacing w:val="-2"/>
              </w:rPr>
              <w:t>100℃＜t≤200℃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spacing w:before="140" w:line="224" w:lineRule="auto"/>
              <w:ind w:left="1183"/>
            </w:pPr>
            <w:r>
              <w:rPr>
                <w:spacing w:val="-8"/>
              </w:rPr>
              <w:t>10℃</w:t>
            </w:r>
          </w:p>
        </w:tc>
      </w:tr>
      <w:tr>
        <w:tblPrEx>
          <w:tblW w:w="9577" w:type="dxa"/>
          <w:tblInd w:w="2" w:type="dxa"/>
          <w:tblLayout w:type="fixed"/>
        </w:tblPrEx>
        <w:trPr>
          <w:trHeight w:val="405"/>
        </w:trPr>
        <w:tc>
          <w:tcPr>
            <w:tcW w:w="31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958"/>
            </w:pPr>
            <w:r>
              <w:rPr>
                <w:spacing w:val="-2"/>
              </w:rPr>
              <w:t>温度波动度</w:t>
            </w:r>
          </w:p>
        </w:tc>
        <w:tc>
          <w:tcPr>
            <w:tcW w:w="3188" w:type="dxa"/>
            <w:vAlign w:val="top"/>
          </w:tcPr>
          <w:p>
            <w:pPr>
              <w:pStyle w:val="TableText"/>
              <w:spacing w:before="141" w:line="223" w:lineRule="auto"/>
              <w:ind w:left="1182"/>
            </w:pPr>
            <w:r>
              <w:rPr>
                <w:spacing w:val="-1"/>
              </w:rPr>
              <w:t>0℃</w:t>
            </w:r>
            <w:r>
              <w:rPr>
                <w:color w:val="333333"/>
                <w:spacing w:val="-1"/>
              </w:rPr>
              <w:t>＜</w:t>
            </w:r>
            <w:r>
              <w:rPr>
                <w:spacing w:val="-1"/>
              </w:rPr>
              <w:t>t≤50℃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spacing w:before="141" w:line="223" w:lineRule="auto"/>
              <w:ind w:left="1192"/>
            </w:pPr>
            <w:r>
              <w:rPr>
                <w:spacing w:val="-10"/>
              </w:rPr>
              <w:t>±2℃</w:t>
            </w:r>
          </w:p>
        </w:tc>
      </w:tr>
      <w:tr>
        <w:tblPrEx>
          <w:tblW w:w="9577" w:type="dxa"/>
          <w:tblInd w:w="2" w:type="dxa"/>
          <w:tblLayout w:type="fixed"/>
        </w:tblPrEx>
        <w:trPr>
          <w:trHeight w:val="403"/>
        </w:trPr>
        <w:tc>
          <w:tcPr>
            <w:tcW w:w="31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88" w:type="dxa"/>
            <w:vAlign w:val="top"/>
          </w:tcPr>
          <w:p>
            <w:pPr>
              <w:pStyle w:val="TableText"/>
              <w:spacing w:before="141" w:line="221" w:lineRule="auto"/>
              <w:ind w:left="1079"/>
            </w:pPr>
            <w:r>
              <w:rPr>
                <w:spacing w:val="-1"/>
              </w:rPr>
              <w:t>50℃</w:t>
            </w:r>
            <w:r>
              <w:rPr>
                <w:color w:val="333333"/>
                <w:spacing w:val="-1"/>
              </w:rPr>
              <w:t>＜</w:t>
            </w:r>
            <w:r>
              <w:rPr>
                <w:spacing w:val="-1"/>
              </w:rPr>
              <w:t>t≤100℃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spacing w:before="141" w:line="221" w:lineRule="auto"/>
              <w:ind w:left="1192"/>
            </w:pPr>
            <w:r>
              <w:rPr>
                <w:spacing w:val="-10"/>
              </w:rPr>
              <w:t>±3℃</w:t>
            </w:r>
          </w:p>
        </w:tc>
      </w:tr>
      <w:tr>
        <w:tblPrEx>
          <w:tblW w:w="9577" w:type="dxa"/>
          <w:tblInd w:w="2" w:type="dxa"/>
          <w:tblLayout w:type="fixed"/>
        </w:tblPrEx>
        <w:trPr>
          <w:trHeight w:val="405"/>
        </w:trPr>
        <w:tc>
          <w:tcPr>
            <w:tcW w:w="31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88" w:type="dxa"/>
            <w:vAlign w:val="top"/>
          </w:tcPr>
          <w:p>
            <w:pPr>
              <w:pStyle w:val="TableText"/>
              <w:spacing w:before="143" w:line="221" w:lineRule="auto"/>
              <w:ind w:left="1040"/>
            </w:pPr>
            <w:r>
              <w:rPr>
                <w:spacing w:val="-2"/>
              </w:rPr>
              <w:t>100℃</w:t>
            </w:r>
            <w:r>
              <w:rPr>
                <w:color w:val="333333"/>
                <w:spacing w:val="-2"/>
              </w:rPr>
              <w:t>＜</w:t>
            </w:r>
            <w:r>
              <w:rPr>
                <w:spacing w:val="-2"/>
              </w:rPr>
              <w:t>t≤200℃</w:t>
            </w:r>
          </w:p>
        </w:tc>
        <w:tc>
          <w:tcPr>
            <w:tcW w:w="3195" w:type="dxa"/>
            <w:vAlign w:val="top"/>
          </w:tcPr>
          <w:p>
            <w:pPr>
              <w:pStyle w:val="TableText"/>
              <w:spacing w:before="143" w:line="221" w:lineRule="auto"/>
              <w:ind w:left="1192"/>
            </w:pPr>
            <w:r>
              <w:rPr>
                <w:spacing w:val="-10"/>
              </w:rPr>
              <w:t>±5℃</w:t>
            </w:r>
          </w:p>
        </w:tc>
      </w:tr>
    </w:tbl>
    <w:p>
      <w:pPr>
        <w:sectPr>
          <w:headerReference w:type="default" r:id="rId21"/>
          <w:footerReference w:type="default" r:id="rId22"/>
          <w:pgSz w:w="11907" w:h="16839"/>
          <w:pgMar w:top="1740" w:right="1303" w:bottom="1307" w:left="1020" w:header="1431" w:footer="1133" w:gutter="0"/>
          <w:pgNumType w:start="11"/>
          <w:cols w:space="708"/>
        </w:sectPr>
      </w:pPr>
    </w:p>
    <w:tbl>
      <w:tblPr>
        <w:tblStyle w:val="TableNormal1"/>
        <w:tblW w:w="957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577"/>
      </w:tblGrid>
      <w:tr>
        <w:tblPrEx>
          <w:tblW w:w="957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10"/>
        </w:trPr>
        <w:tc>
          <w:tcPr>
            <w:tcW w:w="9577" w:type="dxa"/>
            <w:vAlign w:val="top"/>
          </w:tcPr>
          <w:p>
            <w:pPr>
              <w:spacing w:before="141" w:line="218" w:lineRule="auto"/>
              <w:ind w:left="548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1"/>
                <w:sz w:val="21"/>
                <w:szCs w:val="21"/>
              </w:rPr>
              <w:t>注1：对温度参数有其他要求的微波消解仪，按有关技术文件规定的要求进行校准。</w:t>
            </w:r>
          </w:p>
          <w:p>
            <w:pPr>
              <w:spacing w:before="153" w:line="217" w:lineRule="auto"/>
              <w:ind w:left="548"/>
              <w:rPr>
                <w:rFonts w:ascii="FangSong" w:eastAsia="FangSong" w:hAnsi="FangSong" w:cs="FangSong"/>
                <w:sz w:val="21"/>
                <w:szCs w:val="21"/>
              </w:rPr>
            </w:pPr>
            <w:r>
              <w:rPr>
                <w:rFonts w:ascii="FangSong" w:eastAsia="FangSong" w:hAnsi="FangSong" w:cs="FangSong"/>
                <w:spacing w:val="-1"/>
                <w:sz w:val="21"/>
                <w:szCs w:val="21"/>
              </w:rPr>
              <w:t>注2：以上指标要求不用于合格性判定，仅供参考</w:t>
            </w:r>
          </w:p>
        </w:tc>
      </w:tr>
    </w:tbl>
    <w:p>
      <w:pPr>
        <w:pStyle w:val="BodyText"/>
        <w:spacing w:line="267" w:lineRule="auto"/>
      </w:pPr>
    </w:p>
    <w:p>
      <w:pPr>
        <w:spacing w:before="78" w:line="220" w:lineRule="auto"/>
        <w:ind w:left="121"/>
        <w:rPr>
          <w:rFonts w:ascii="SimHei" w:eastAsia="SimHei" w:hAnsi="SimHei" w:cs="SimHei"/>
          <w:sz w:val="24"/>
          <w:szCs w:val="24"/>
        </w:rPr>
      </w:pPr>
      <w:bookmarkStart w:id="12" w:name="bookmark13"/>
      <w:bookmarkEnd w:id="12"/>
      <w:r>
        <w:rPr>
          <w:rFonts w:ascii="SimHei" w:eastAsia="SimHei" w:hAnsi="SimHei" w:cs="SimHei"/>
          <w:spacing w:val="-1"/>
          <w:sz w:val="24"/>
          <w:szCs w:val="24"/>
        </w:rPr>
        <w:t>6</w:t>
      </w:r>
      <w:r>
        <w:rPr>
          <w:rFonts w:ascii="SimHei" w:eastAsia="SimHei" w:hAnsi="SimHei" w:cs="SimHei"/>
          <w:spacing w:val="-1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1"/>
          <w:sz w:val="24"/>
          <w:szCs w:val="24"/>
        </w:rPr>
        <w:t>校准条件</w:t>
      </w:r>
    </w:p>
    <w:p>
      <w:pPr>
        <w:pStyle w:val="BodyText"/>
        <w:spacing w:line="256" w:lineRule="auto"/>
      </w:pPr>
    </w:p>
    <w:p>
      <w:pPr>
        <w:spacing w:before="79" w:line="220" w:lineRule="auto"/>
        <w:ind w:left="124"/>
        <w:rPr>
          <w:rFonts w:ascii="SimSun" w:eastAsia="SimSun" w:hAnsi="SimSun" w:cs="SimSun"/>
          <w:sz w:val="24"/>
          <w:szCs w:val="24"/>
        </w:rPr>
      </w:pPr>
      <w:bookmarkStart w:id="13" w:name="bookmark14"/>
      <w:bookmarkEnd w:id="13"/>
      <w:r>
        <w:rPr>
          <w:rFonts w:ascii="SimSun" w:eastAsia="SimSun" w:hAnsi="SimSun" w:cs="SimSun"/>
          <w:spacing w:val="-1"/>
          <w:sz w:val="24"/>
          <w:szCs w:val="24"/>
        </w:rPr>
        <w:t>6.1  环境条件</w:t>
      </w:r>
    </w:p>
    <w:p>
      <w:pPr>
        <w:spacing w:before="183" w:line="220" w:lineRule="auto"/>
        <w:ind w:left="12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6.1.1  环境温度</w:t>
      </w:r>
      <w:r>
        <w:rPr>
          <w:rFonts w:ascii="SimSun" w:eastAsia="SimSun" w:hAnsi="SimSun" w:cs="SimSun"/>
          <w:spacing w:val="-17"/>
          <w:sz w:val="24"/>
          <w:szCs w:val="24"/>
        </w:rPr>
        <w:t>：（</w:t>
      </w:r>
      <w:r>
        <w:rPr>
          <w:rFonts w:ascii="SimSun" w:eastAsia="SimSun" w:hAnsi="SimSun" w:cs="SimSun"/>
          <w:sz w:val="24"/>
          <w:szCs w:val="24"/>
        </w:rPr>
        <w:t>15～35）℃。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br/>
      </w:r>
      <w:r>
        <w:rPr>
          <w:rFonts w:ascii="SimSun" w:eastAsia="SimSun" w:hAnsi="SimSun" w:cs="SimSun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https://d.book118.com/216100215230010100</w:t>
        </w:r>
      </w:hyperlink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</w:p>
    <w:sectPr>
      <w:headerReference w:type="default" r:id="rId24"/>
      <w:footerReference w:type="default" r:id="rId25"/>
      <w:type w:val="nextPage"/>
      <w:pgSz w:w="11907" w:h="16839"/>
      <w:pgMar w:top="1740" w:right="1303" w:bottom="1307" w:left="1020" w:header="1431" w:footer="1133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8" w:lineRule="auto"/>
      <w:ind w:left="9082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z w:val="18"/>
        <w:szCs w:val="18"/>
      </w:rPr>
      <w:t>I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8" w:lineRule="auto"/>
      <w:ind w:left="9047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pacing w:val="-4"/>
        <w:sz w:val="18"/>
        <w:szCs w:val="18"/>
      </w:rPr>
      <w:t>II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9085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z w:val="18"/>
        <w:szCs w:val="18"/>
      </w:rPr>
      <w:t>1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9085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z w:val="18"/>
        <w:szCs w:val="18"/>
      </w:rPr>
      <w:t>1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9123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z w:val="18"/>
        <w:szCs w:val="18"/>
      </w:rPr>
      <w:t>2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9123"/>
      <w:rPr>
        <w:rFonts w:ascii="FangSong" w:eastAsia="FangSong" w:hAnsi="FangSong" w:cs="FangSong"/>
        <w:sz w:val="18"/>
        <w:szCs w:val="18"/>
      </w:rPr>
    </w:pPr>
    <w:r>
      <w:rPr>
        <w:rFonts w:ascii="FangSong" w:eastAsia="FangSong" w:hAnsi="FangSong" w:cs="FangSong"/>
        <w:sz w:val="18"/>
        <w:szCs w:val="18"/>
      </w:rPr>
      <w:t>2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3875"/>
      <w:rPr>
        <w:rFonts w:ascii="SimHei" w:eastAsia="SimHei" w:hAnsi="SimHei" w:cs="SimHei"/>
        <w:sz w:val="21"/>
        <w:szCs w:val="21"/>
      </w:rPr>
    </w:pPr>
    <w:r>
      <w:rPr>
        <w:rFonts w:ascii="SimHei" w:eastAsia="SimHei" w:hAnsi="SimHei" w:cs="SimHei"/>
        <w:spacing w:val="-1"/>
        <w:sz w:val="21"/>
        <w:szCs w:val="21"/>
      </w:rPr>
      <w:t>JJF（京）91-2022</w:t>
    </w:r>
  </w:p>
  <w:p>
    <w:pPr>
      <w:spacing w:before="10" w:line="18" w:lineRule="exact"/>
    </w:pPr>
    <w:r>
      <w:rPr>
        <w:position w:val="-1"/>
      </w:rPr>
      <w:pict>
        <v:shape id="_x0000_i2049" style="width:470.75pt;height:1.45pt;mso-position-horizontal-relative:char;mso-position-vertical-relative:line" coordorigin="0,0" coordsize="9415,29" path="m,28l9414,28l9414,l,l,28xe" filled="t" fillcolor="black" stroked="f">
          <w10:wrap type="non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3875"/>
      <w:rPr>
        <w:rFonts w:ascii="SimHei" w:eastAsia="SimHei" w:hAnsi="SimHei" w:cs="SimHei"/>
        <w:sz w:val="21"/>
        <w:szCs w:val="21"/>
      </w:rPr>
    </w:pPr>
    <w:r>
      <w:rPr>
        <w:rFonts w:ascii="SimHei" w:eastAsia="SimHei" w:hAnsi="SimHei" w:cs="SimHei"/>
        <w:spacing w:val="-1"/>
        <w:sz w:val="21"/>
        <w:szCs w:val="21"/>
      </w:rPr>
      <w:t>JJF（京）91-2022</w:t>
    </w:r>
  </w:p>
  <w:p>
    <w:pPr>
      <w:spacing w:before="10" w:line="18" w:lineRule="exact"/>
    </w:pPr>
    <w:r>
      <w:rPr>
        <w:position w:val="-1"/>
      </w:rPr>
      <w:pict>
        <v:shape id="_x0000_i2050" style="width:470.75pt;height:1.45pt;mso-position-horizontal-relative:char;mso-position-vertical-relative:line" coordorigin="0,0" coordsize="9415,29" path="m,28l9414,28l9414,l,l,28xe" filled="t" fillcolor="black" stroked="f">
          <w10:wrap type="non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3875"/>
      <w:rPr>
        <w:rFonts w:ascii="SimHei" w:eastAsia="SimHei" w:hAnsi="SimHei" w:cs="SimHei"/>
        <w:sz w:val="21"/>
        <w:szCs w:val="21"/>
      </w:rPr>
    </w:pPr>
    <w:r>
      <w:rPr>
        <w:rFonts w:ascii="SimHei" w:eastAsia="SimHei" w:hAnsi="SimHei" w:cs="SimHei"/>
        <w:spacing w:val="-1"/>
        <w:sz w:val="21"/>
        <w:szCs w:val="21"/>
      </w:rPr>
      <w:t>JJF（京）91-2022</w:t>
    </w:r>
  </w:p>
  <w:p>
    <w:pPr>
      <w:spacing w:before="10" w:line="18" w:lineRule="exact"/>
    </w:pPr>
    <w:r>
      <w:rPr>
        <w:position w:val="-1"/>
      </w:rPr>
      <w:pict>
        <v:shape id="_x0000_i2051" style="width:470.75pt;height:1.45pt;mso-position-horizontal-relative:char;mso-position-vertical-relative:line" coordorigin="0,0" coordsize="9415,29" path="m,28l9414,28l9414,l,l,28xe" filled="t" fillcolor="black" stroked="f">
          <w10:wrap type="non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3875"/>
      <w:rPr>
        <w:rFonts w:ascii="SimHei" w:eastAsia="SimHei" w:hAnsi="SimHei" w:cs="SimHei"/>
        <w:sz w:val="21"/>
        <w:szCs w:val="21"/>
      </w:rPr>
    </w:pPr>
    <w:r>
      <w:rPr>
        <w:rFonts w:ascii="SimHei" w:eastAsia="SimHei" w:hAnsi="SimHei" w:cs="SimHei"/>
        <w:spacing w:val="-1"/>
        <w:sz w:val="21"/>
        <w:szCs w:val="21"/>
      </w:rPr>
      <w:t>JJF（京）91-2022</w:t>
    </w:r>
  </w:p>
  <w:p>
    <w:pPr>
      <w:spacing w:before="10" w:line="18" w:lineRule="exact"/>
    </w:pPr>
    <w:r>
      <w:rPr>
        <w:position w:val="-1"/>
      </w:rPr>
      <w:pict>
        <v:shape id="_x0000_i2052" style="width:470.75pt;height:1.45pt;mso-position-horizontal-relative:char;mso-position-vertical-relative:line" coordorigin="0,0" coordsize="9415,29" path="m,28l9414,28l9414,l,l,28xe" filled="t" fillcolor="black" stroked="f">
          <w10:wrap type="non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3875"/>
      <w:rPr>
        <w:rFonts w:ascii="SimHei" w:eastAsia="SimHei" w:hAnsi="SimHei" w:cs="SimHei"/>
        <w:sz w:val="21"/>
        <w:szCs w:val="21"/>
      </w:rPr>
    </w:pPr>
    <w:r>
      <w:rPr>
        <w:rFonts w:ascii="SimHei" w:eastAsia="SimHei" w:hAnsi="SimHei" w:cs="SimHei"/>
        <w:spacing w:val="-1"/>
        <w:sz w:val="21"/>
        <w:szCs w:val="21"/>
      </w:rPr>
      <w:t>JJF（京）91-2022</w:t>
    </w:r>
  </w:p>
  <w:p>
    <w:pPr>
      <w:spacing w:before="10" w:line="18" w:lineRule="exact"/>
    </w:pPr>
    <w:r>
      <w:rPr>
        <w:position w:val="-1"/>
      </w:rPr>
      <w:pict>
        <v:shape id="_x0000_i2053" style="width:470.75pt;height:1.45pt;mso-position-horizontal-relative:char;mso-position-vertical-relative:line" coordorigin="0,0" coordsize="9415,29" path="m,28l9414,28l9414,l,l,28xe" filled="t" fillcolor="black" stroked="f">
          <w10:wrap type="non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3875"/>
      <w:rPr>
        <w:rFonts w:ascii="SimHei" w:eastAsia="SimHei" w:hAnsi="SimHei" w:cs="SimHei"/>
        <w:sz w:val="21"/>
        <w:szCs w:val="21"/>
      </w:rPr>
    </w:pPr>
    <w:r>
      <w:rPr>
        <w:rFonts w:ascii="SimHei" w:eastAsia="SimHei" w:hAnsi="SimHei" w:cs="SimHei"/>
        <w:spacing w:val="-1"/>
        <w:sz w:val="21"/>
        <w:szCs w:val="21"/>
      </w:rPr>
      <w:t>JJF（京）91-2022</w:t>
    </w:r>
  </w:p>
  <w:p>
    <w:pPr>
      <w:spacing w:before="10" w:line="18" w:lineRule="exact"/>
    </w:pPr>
    <w:r>
      <w:rPr>
        <w:position w:val="-1"/>
      </w:rPr>
      <w:pict>
        <v:shape id="_x0000_i2054" style="width:470.75pt;height:1.45pt;mso-position-horizontal-relative:char;mso-position-vertical-relative:line" coordorigin="0,0" coordsize="9415,29" path="m,28l9414,28l9414,l,l,28xe" filled="t" fillcolor="black" stroked="f">
          <w10:wrap type="non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3875"/>
      <w:rPr>
        <w:rFonts w:ascii="SimHei" w:eastAsia="SimHei" w:hAnsi="SimHei" w:cs="SimHei"/>
        <w:sz w:val="21"/>
        <w:szCs w:val="21"/>
      </w:rPr>
    </w:pPr>
    <w:r>
      <w:rPr>
        <w:rFonts w:ascii="SimHei" w:eastAsia="SimHei" w:hAnsi="SimHei" w:cs="SimHei"/>
        <w:spacing w:val="-1"/>
        <w:sz w:val="21"/>
        <w:szCs w:val="21"/>
      </w:rPr>
      <w:t>JJF（京）91-2022</w:t>
    </w:r>
  </w:p>
  <w:p>
    <w:pPr>
      <w:spacing w:before="10" w:line="18" w:lineRule="exact"/>
    </w:pPr>
    <w:r>
      <w:rPr>
        <w:position w:val="-1"/>
      </w:rPr>
      <w:pict>
        <v:shape id="_x0000_i2055" style="width:470.75pt;height:1.45pt;mso-position-horizontal-relative:char;mso-position-vertical-relative:line" coordorigin="0,0" coordsize="9415,29" path="m,28l9414,28l9414,l,l,28xe" filled="t" fillcolor="black" stroked="f">
          <w10:wrap type="non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3959"/>
      <w:rPr>
        <w:rFonts w:ascii="SimHei" w:eastAsia="SimHei" w:hAnsi="SimHei" w:cs="SimHei"/>
        <w:sz w:val="21"/>
        <w:szCs w:val="21"/>
      </w:rPr>
    </w:pPr>
    <w:r>
      <w:rPr>
        <w:rFonts w:ascii="SimHei" w:eastAsia="SimHei" w:hAnsi="SimHei" w:cs="SimHei"/>
        <w:spacing w:val="-1"/>
        <w:sz w:val="21"/>
        <w:szCs w:val="21"/>
      </w:rPr>
      <w:t>JJF（京）91-2022</w:t>
    </w:r>
  </w:p>
  <w:p>
    <w:pPr>
      <w:spacing w:before="10" w:line="18" w:lineRule="exact"/>
      <w:ind w:firstLine="84"/>
    </w:pPr>
    <w:r>
      <w:rPr>
        <w:position w:val="-1"/>
      </w:rPr>
      <w:pict>
        <v:shape id="_x0000_i2056" style="width:470.75pt;height:1.45pt;mso-position-horizontal-relative:char;mso-position-vertical-relative:line" coordorigin="0,0" coordsize="9415,29" path="m,28l9414,28l9414,l,l,28xe" filled="t" fillcolor="black" stroked="f">
          <w10:wrap type="none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" w:line="221" w:lineRule="auto"/>
      <w:ind w:left="3959"/>
      <w:rPr>
        <w:rFonts w:ascii="SimHei" w:eastAsia="SimHei" w:hAnsi="SimHei" w:cs="SimHei"/>
        <w:sz w:val="21"/>
        <w:szCs w:val="21"/>
      </w:rPr>
    </w:pPr>
    <w:r>
      <w:rPr>
        <w:rFonts w:ascii="SimHei" w:eastAsia="SimHei" w:hAnsi="SimHei" w:cs="SimHei"/>
        <w:spacing w:val="-1"/>
        <w:sz w:val="21"/>
        <w:szCs w:val="21"/>
      </w:rPr>
      <w:t>JJF（京）91-2022</w:t>
    </w:r>
  </w:p>
  <w:p>
    <w:pPr>
      <w:spacing w:before="10" w:line="18" w:lineRule="exact"/>
      <w:ind w:firstLine="84"/>
    </w:pPr>
    <w:r>
      <w:rPr>
        <w:position w:val="-1"/>
      </w:rPr>
      <w:pict>
        <v:shape id="_x0000_i2057" style="width:470.75pt;height:1.45pt;mso-position-horizontal-relative:char;mso-position-vertical-relative:line" coordorigin="0,0" coordsize="9415,29" path="m,28l9414,28l9414,l,l,28xe" filled="t" fillcolor="black" stroked="f">
          <w10:wrap type="non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yperlink" Target="https://d.book118.com/216100215230010100" TargetMode="Externa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地方标准</dc:title>
  <dc:creator>Administrator</dc:creator>
  <cp:revision>0</cp:revision>
  <dcterms:created xsi:type="dcterms:W3CDTF">2022-04-27T14:13:34Z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2024-03-12T10:43:35Z</vt:filetime>
  </property>
  <property fmtid="{D5CDD505-2E9C-101B-9397-08002B2CF9AE}" pid="3" name="CRO">
    <vt:lpwstr>wqlLaW5nc29mdCBQREYgdG8gV1BTIDEwMA</vt:lpwstr>
  </property>
</Properties>
</file>