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2018-2023年苏州百年职业学院高职单招（数学／语文／英语）历年常考试题库含答案解析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C.《清真词》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972112" cy="232434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下列各句中，同时采用了对偶、夸张的是（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A.恨相见得迟，怨归去得疾。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B.泪添九曲黄河溢，恨压三峰华岳低。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D.忽如一夜春风来，千树万树梨花开。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在《报刘一丈书》中，所揭示的权贵者的性格特征是（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D.趋炎附势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“陈力就列，不能者止”作为论据，其性质属于（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A.历史事实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B.现实事例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C.名人名言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“三苏”是（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A.苏洵、苏轼、苏舜钦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B.苏洵、苏轼、苏辙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C.苏洵、苏舜钦、苏辙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D.苏轼、苏辙、苏舜钦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“但得一个并头莲”“蜗角虚名”“泪添九曲黄河溢”所用的修辞手法是（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B.比喻、用典、夸张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C.夸张、拟人、比喻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D.用典、拟人、比喻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巴金创作的最著名的长篇小说三部曲是（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D.《抗战三部曲》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《李将军列传》选自（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被人称作具有“含泪的微笑”风格的小说家是（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https://d.book118.com/216111012230010052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16111012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