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电子信息行业商业计划书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一、环境保护说明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(七)、电子信息项目建设对区域经济的影响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二、电子信息项目概论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四、电子信息项目建设背景及必要性分析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(一)、电子信息项目背景分析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(二)、电子信息项目建设必要性分析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五、电子信息项目规划进度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(一)、电子信息项目进度安排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(二)、电子信息项目实施保障措施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1" w:history="1">
        <w:r>
          <w:rPr>
            <w:rFonts w:ascii="仿宋" w:eastAsia="仿宋" w:hAnsi="仿宋" w:cs="仿宋" w:hint="eastAsia"/>
            <w:lang w:eastAsia="zh-CN"/>
          </w:rPr>
          <w:t>(四)、电子信息项目进度监控与调整</w:t>
        </w:r>
        <w:r>
          <w:tab/>
        </w:r>
        <w:r>
          <w:fldChar w:fldCharType="begin"/>
        </w:r>
        <w:r>
          <w:instrText xml:space="preserve"> PAGEREF _Toc12141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六、技术贸易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9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_Toc9099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eastAsia="zh-CN"/>
          </w:rPr>
          <w:t>七、电子信息项目投资背景分析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八、建设方案与产品规划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九、电子信息项目人力资源培养与发展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eastAsia="zh-CN"/>
          </w:rPr>
          <w:t>十、知识管理与技术创新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十一、公司机构优势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_Toc4050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十二、沟通与利益相关者关系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0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_Toc22050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0" w:history="1">
        <w:r>
          <w:rPr>
            <w:rFonts w:ascii="仿宋" w:eastAsia="仿宋" w:hAnsi="仿宋" w:cs="仿宋" w:hint="eastAsia"/>
            <w:lang w:eastAsia="zh-CN"/>
          </w:rPr>
          <w:t>十四、环境基础状况</w:t>
        </w:r>
        <w:r>
          <w:tab/>
        </w:r>
        <w:r>
          <w:fldChar w:fldCharType="begin"/>
        </w:r>
        <w:r>
          <w:instrText xml:space="preserve"> PAGEREF _Toc6480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十五、知识管理与信息共享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十六、安全生产与环境保护培训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6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_Toc9006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8" w:history="1">
        <w:r>
          <w:rPr>
            <w:rFonts w:ascii="仿宋" w:eastAsia="仿宋" w:hAnsi="仿宋" w:cs="仿宋" w:hint="eastAsia"/>
            <w:lang w:eastAsia="zh-CN"/>
          </w:rPr>
          <w:t>十七、环保分析</w:t>
        </w:r>
        <w:r>
          <w:tab/>
        </w:r>
        <w:r>
          <w:fldChar w:fldCharType="begin"/>
        </w:r>
        <w:r>
          <w:instrText xml:space="preserve"> PAGEREF _Toc20388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4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十八、电子信息可持续发展战略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_Toc1904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十九、劳动安全评价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二十、电子信息项目职业保护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_Toc26333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2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_Toc19932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2" w:history="1">
        <w:r>
          <w:rPr>
            <w:rFonts w:ascii="仿宋" w:eastAsia="仿宋" w:hAnsi="仿宋" w:cs="仿宋" w:hint="eastAsia"/>
            <w:lang w:eastAsia="zh-CN"/>
          </w:rPr>
          <w:t>二十一、营销策略</w:t>
        </w:r>
        <w:r>
          <w:tab/>
        </w:r>
        <w:r>
          <w:fldChar w:fldCharType="begin"/>
        </w:r>
        <w:r>
          <w:instrText xml:space="preserve"> PAGEREF _Toc13202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03"/>
      <w:r>
        <w:rPr>
          <w:rFonts w:ascii="仿宋" w:eastAsia="仿宋" w:hAnsi="仿宋" w:cs="仿宋" w:hint="eastAsia"/>
          <w:sz w:val="28"/>
          <w:lang w:eastAsia="zh-CN"/>
        </w:rPr>
        <w:t>一、环境保护说明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56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电子信息项目所在地区域内地下水环境质量处于良好状态，各项指标符合功能区划的要求。保证水质达到较高标准。目前，地下水质量状况良好。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投资电子信息项目所在地的大气环境质量功能区被划分为Ⅱ类区，目前，大气环境质量处于较好状态，符合该功能区划的要求。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694"/>
      <w:r>
        <w:rPr>
          <w:rFonts w:ascii="仿宋" w:eastAsia="仿宋" w:hAnsi="仿宋" w:cs="仿宋" w:hint="eastAsia"/>
          <w:sz w:val="28"/>
          <w:lang w:eastAsia="zh-CN"/>
        </w:rPr>
        <w:t>(二)、建设期环境保护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建设承包单位应加强施工管理，在施工期间合理安排作业时间，特别是在中午和晚上，要严禁使用噪音较大的设备进行施工，以减少人为噪声的影响。同时，要合理规划施工现场布局，严格遵守相关噪声限制规定，避免施工噪声对周边居民造成干扰和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https://d.book118.com/216152111145010053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电子信息行业商业计划书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0C00A3"/>
    <w:rsid w:val="360C00A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152111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2024-02-24T08:20:00Z</dcterms:created>
  <dcterms:modified xsi:type="dcterms:W3CDTF">2024-02-24T08:21:04Z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6A7699BA07724833B83819D324099052_11</vt:lpwstr>
  </property>
  <property fmtid="{D5CDD505-2E9C-101B-9397-08002B2CF9AE}" pid="3" name="KSOProductBuildVer">
    <vt:lpwstr>2052-12.1.0.16250</vt:lpwstr>
  </property>
</Properties>
</file>