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400" w:lineRule="exact"/>
        <w:rPr>
          <w:rFonts w:hAnsi="仿宋_GB2312" w:cs="仿宋_GB2312"/>
          <w:sz w:val="24"/>
          <w:szCs w:val="24"/>
        </w:rPr>
      </w:pPr>
      <w:bookmarkStart w:id="0" w:name="_GoBack"/>
      <w:bookmarkEnd w:id="0"/>
      <w:r>
        <w:rPr>
          <w:rFonts w:hAnsi="仿宋_GB2312" w:cs="仿宋_GB2312" w:hint="eastAsia"/>
          <w:sz w:val="24"/>
          <w:szCs w:val="24"/>
        </w:rPr>
        <w:drawing>
          <wp:anchor distT="0" distB="0" distL="0" distR="0" simplePos="0" relativeHeight="251658240"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6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任务书A</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7"/>
        <w:gridCol w:w="1396"/>
        <w:gridCol w:w="1703"/>
        <w:gridCol w:w="1550"/>
        <w:gridCol w:w="1112"/>
        <w:gridCol w:w="162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sectPr>
          <w:headerReference w:type="default" r:id="rId6"/>
          <w:pgSz w:w="11906" w:h="16838"/>
          <w:pgMar w:top="1440" w:right="1800" w:bottom="1440" w:left="1800" w:header="851" w:footer="992" w:gutter="0"/>
          <w:pgNumType w:start="1"/>
          <w:cols w:num="1" w:space="425"/>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w:t>
      </w:r>
      <w:r>
        <w:rPr>
          <w:rFonts w:ascii="仿宋_GB2312" w:eastAsia="仿宋_GB2312" w:hAnsi="仿宋_GB2312" w:cs="仿宋_GB2312"/>
          <w:szCs w:val="24"/>
          <w:u w:val="single"/>
        </w:rPr>
        <w:t>7</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6.在完成任务过程中，请及时保存程序及数据。</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设计仿真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0"/>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全程参与</w:t>
            </w:r>
          </w:p>
        </w:tc>
        <w:tc>
          <w:tcPr>
            <w:tcW w:w="1506" w:type="dxa"/>
            <w:vAlign w:val="center"/>
          </w:tcPr>
          <w:p>
            <w:pPr>
              <w:autoSpaceDE w:val="0"/>
              <w:autoSpaceDN w:val="0"/>
              <w:spacing w:line="400" w:lineRule="exact"/>
              <w:rPr>
                <w:rFonts w:ascii="仿宋_GB2312" w:eastAsia="仿宋_GB2312" w:hAnsi="仿宋_GB2312" w:cs="仿宋_GB2312"/>
                <w:szCs w:val="21"/>
                <w:lang w:eastAsia="en-US"/>
              </w:rPr>
            </w:pPr>
          </w:p>
        </w:tc>
      </w:tr>
    </w:tbl>
    <w:p>
      <w:pPr>
        <w:pStyle w:val="BodyTextFirstIndent"/>
        <w:spacing w:line="400" w:lineRule="exact"/>
        <w:ind w:firstLine="0" w:firstLineChars="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spacing w:line="400" w:lineRule="exact"/>
        <w:ind w:firstLine="48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sectPr>
          <w:headerReference w:type="default" r:id="rId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kern w:val="2"/>
          <w:szCs w:val="24"/>
        </w:rPr>
      </w:pPr>
      <w:r>
        <w:rPr>
          <w:rFonts w:ascii="仿宋_GB2312" w:eastAsia="仿宋_GB2312" w:hAnsi="仿宋_GB2312" w:cs="仿宋_GB2312" w:hint="eastAsia"/>
          <w:kern w:val="2"/>
          <w:szCs w:val="24"/>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pStyle w:val="NormalWeb"/>
        <w:shd w:val="clear" w:color="auto" w:fill="FFFFFF"/>
        <w:spacing w:before="0" w:beforeAutospacing="0" w:after="0" w:afterAutospacing="0" w:line="400" w:lineRule="exact"/>
        <w:ind w:firstLine="560" w:firstLineChars="200"/>
        <w:rPr>
          <w:rFonts w:ascii="仿宋_GB2312" w:eastAsia="仿宋_GB2312" w:hAnsi="仿宋_GB2312" w:cs="仿宋_GB2312"/>
          <w:kern w:val="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（五）智能仓储单元堆垛机构可移动和旋转，把机器人单元物料台上的包装盒体取出来，然后按要求依次放入仓储相应仓位。</w:t>
      </w:r>
    </w:p>
    <w:p>
      <w:pPr>
        <w:pStyle w:val="BodyTextFirstIndent"/>
        <w:ind w:firstLine="640"/>
        <w:rPr>
          <w:lang w:val="zh-CN"/>
        </w:rPr>
      </w:pP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sectPr>
          <w:headerReference w:type="default" r:id="rId9"/>
          <w:type w:val="nextPage"/>
          <w:pgSz w:w="11906" w:h="16838"/>
          <w:pgMar w:top="1440" w:right="1077" w:bottom="1440" w:left="1077" w:header="851" w:footer="992" w:gutter="0"/>
          <w:pgNumType w:start="2"/>
          <w:cols w:num="1" w:space="425"/>
          <w:titlePg w:val="0"/>
          <w:docGrid w:type="lines" w:linePitch="312" w:charSpace="0"/>
        </w:sectPr>
      </w:pP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aps/>
          <w:kern w:val="0"/>
          <w:sz w:val="24"/>
          <w:szCs w:val="24"/>
        </w:rPr>
        <w:t>模块一 工作单元的机械拆装与电气接线</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任务情境：</w:t>
      </w:r>
    </w:p>
    <w:p>
      <w:pPr>
        <w:pStyle w:val="BodyText"/>
        <w:spacing w:line="400" w:lineRule="exact"/>
        <w:ind w:firstLine="480"/>
        <w:rPr>
          <w:rFonts w:hAnsi="仿宋_GB2312" w:cs="仿宋_GB2312"/>
          <w:sz w:val="24"/>
          <w:szCs w:val="24"/>
          <w:lang w:val="zh-CN"/>
        </w:rPr>
      </w:pPr>
      <w:r>
        <w:rPr>
          <w:rFonts w:hAnsi="仿宋_GB2312" w:cs="仿宋_GB2312" w:hint="eastAsia"/>
          <w:sz w:val="24"/>
          <w:szCs w:val="24"/>
        </w:rPr>
        <w:t>公司接到某客户一个定制设备任务，需要在规定的时间内交付一套自动化生产线设备，公司项目组对设备进行了整体规划设计，你作为机电一体化技术人员，需要利用客户采购的器件及材料，请在规定的时间内完成任务1、任务2、任务3，以便生产线后期能够实现生产过程自动化，系统符合专业技术规范。当选手完成或交卷后，不得进行任何修改操作，评分阶段出现的任何硬件问题，可以在后续的工作任务中进行解决。</w:t>
      </w:r>
    </w:p>
    <w:tbl>
      <w:tblPr>
        <w:tblStyle w:val="WSI-Table10"/>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3744"/>
        <w:gridCol w:w="1082"/>
        <w:gridCol w:w="1318"/>
        <w:gridCol w:w="3613"/>
      </w:tblGrid>
      <w:tr>
        <w:tblPrEx>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c>
          <w:tcPr>
            <w:tcW w:w="3744"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工作任务</w:t>
            </w:r>
          </w:p>
        </w:tc>
        <w:tc>
          <w:tcPr>
            <w:tcW w:w="1082"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分值</w:t>
            </w:r>
          </w:p>
        </w:tc>
        <w:tc>
          <w:tcPr>
            <w:tcW w:w="1318"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竞赛时间</w:t>
            </w:r>
          </w:p>
        </w:tc>
        <w:tc>
          <w:tcPr>
            <w:tcW w:w="3613"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信息资料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任务1 单元的机械安装与调试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25</w:t>
            </w:r>
          </w:p>
        </w:tc>
        <w:tc>
          <w:tcPr>
            <w:tcW w:w="1318" w:type="dxa"/>
            <w:vMerge w:val="restart"/>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4小时</w:t>
            </w:r>
          </w:p>
        </w:tc>
        <w:tc>
          <w:tcPr>
            <w:tcW w:w="3613" w:type="dxa"/>
            <w:vMerge w:val="restart"/>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r>
              <w:rPr>
                <w:rFonts w:ascii="仿宋_GB2312" w:eastAsia="仿宋_GB2312" w:hAnsi="仿宋_GB2312" w:cs="仿宋_GB2312" w:hint="eastAsia"/>
                <w:bCs/>
                <w:caps/>
                <w:color w:val="000000" w:themeColor="text1"/>
                <w:szCs w:val="21"/>
                <w14:textFill>
                  <w14:solidFill>
                    <w14:schemeClr w14:val="tx1"/>
                  </w14:solidFill>
                </w14:textFill>
              </w:rPr>
              <w:t>详见计算机/D盘/竞赛</w:t>
            </w:r>
            <w:r>
              <w:rPr>
                <w:rFonts w:ascii="仿宋_GB2312" w:eastAsia="仿宋_GB2312" w:hAnsi="仿宋_GB2312" w:cs="仿宋_GB2312" w:hint="eastAsia"/>
                <w:color w:val="000000" w:themeColor="text1"/>
                <w:szCs w:val="21"/>
                <w14:textFill>
                  <w14:solidFill>
                    <w14:schemeClr w14:val="tx1"/>
                  </w14:solidFill>
                </w14:textFill>
              </w:rPr>
              <w:t>素材</w:t>
            </w:r>
            <w:r>
              <w:rPr>
                <w:rFonts w:ascii="仿宋_GB2312" w:eastAsia="仿宋_GB2312" w:hAnsi="仿宋_GB2312" w:cs="仿宋_GB2312" w:hint="eastAsia"/>
                <w:bCs/>
                <w:caps/>
                <w:color w:val="000000" w:themeColor="text1"/>
                <w:szCs w:val="21"/>
                <w14:textFill>
                  <w14:solidFill>
                    <w14:schemeClr w14:val="tx1"/>
                  </w14:solidFill>
                </w14:textFill>
              </w:rPr>
              <w:t>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kern w:val="2"/>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任务2 单元的电气接线与调试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color w:val="auto"/>
                <w:kern w:val="2"/>
                <w:sz w:val="21"/>
                <w:szCs w:val="21"/>
                <w:lang w:eastAsia="zh-CN"/>
              </w:rPr>
            </w:pPr>
            <w:r>
              <w:rPr>
                <w:rFonts w:ascii="仿宋_GB2312" w:eastAsia="仿宋_GB2312" w:hAnsi="仿宋_GB2312" w:cs="仿宋_GB2312" w:hint="eastAsia"/>
                <w:color w:val="000000" w:themeColor="text1"/>
                <w:kern w:val="2"/>
                <w:sz w:val="21"/>
                <w:szCs w:val="21"/>
                <w:lang w:eastAsia="zh-CN"/>
                <w14:textFill>
                  <w14:solidFill>
                    <w14:schemeClr w14:val="tx1"/>
                  </w14:solidFill>
                </w14:textFill>
              </w:rPr>
              <w:t>任务3 单元的零件结构设计与仿真</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bl>
    <w:p>
      <w:pPr>
        <w:spacing w:line="400" w:lineRule="exact"/>
        <w:rPr>
          <w:rFonts w:ascii="仿宋_GB2312" w:eastAsia="仿宋_GB2312" w:hAnsi="仿宋_GB2312" w:cs="仿宋_GB2312"/>
          <w:b/>
          <w:caps/>
          <w:kern w:val="0"/>
          <w:sz w:val="24"/>
          <w:szCs w:val="24"/>
        </w:r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任务1 单元的机械安装与调试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工作任务：</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利用客户采购回来的器件及材料，团队负责完成机器人搬运包装单元、智能仓储单元的模型机构组装，并安装机构模块、连接气管，保证能够正确运行，以便生产线后期能够实现生产过程自动化。系统符合专业技术规范。</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设备状态：</w:t>
      </w:r>
    </w:p>
    <w:p>
      <w:pPr>
        <w:spacing w:line="400" w:lineRule="exact"/>
        <w:ind w:firstLine="480" w:firstLineChars="200"/>
        <w:rPr>
          <w:rFonts w:ascii="仿宋_GB2312" w:eastAsia="仿宋_GB2312" w:hAnsi="仿宋_GB2312" w:cs="仿宋_GB2312"/>
          <w:b/>
          <w:sz w:val="24"/>
          <w:szCs w:val="24"/>
        </w:rPr>
      </w:pPr>
      <w:r>
        <w:rPr>
          <w:rFonts w:ascii="仿宋_GB2312" w:eastAsia="仿宋_GB2312" w:hAnsi="仿宋_GB2312" w:cs="仿宋_GB2312" w:hint="eastAsia"/>
          <w:sz w:val="24"/>
          <w:szCs w:val="24"/>
        </w:rPr>
        <w:t>工作单元已完成挂板的电气安装接线，尚未开展模块的机械零部件组装与机构安装。</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你的任务是根据赛场竞赛素材（机械装配图、电气接线图、专业机械安装与接线技术规范等），需要完成机器人搬运包装单元、智能仓储单元的机械零件组装、机构安装与气管连接，并进行调试。</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b/>
          <w:bCs/>
          <w:sz w:val="24"/>
          <w:szCs w:val="24"/>
        </w:rPr>
        <w:t>1</w:t>
      </w:r>
      <w:r>
        <w:rPr>
          <w:rFonts w:ascii="仿宋_GB2312" w:eastAsia="仿宋_GB2312" w:hAnsi="仿宋_GB2312" w:cs="仿宋_GB2312" w:hint="eastAsia"/>
          <w:b/>
          <w:bCs/>
          <w:sz w:val="24"/>
          <w:szCs w:val="24"/>
        </w:rPr>
        <w:t>.机器人搬运包装单元机构装调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0"/>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013"/>
        <w:gridCol w:w="2362"/>
        <w:gridCol w:w="2374"/>
        <w:gridCol w:w="2435"/>
      </w:tblGrid>
      <w:tr>
        <w:tblPrEx>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机器人夹具模块</w:t>
            </w:r>
          </w:p>
        </w:tc>
        <w:tc>
          <w:tcPr>
            <w:tcW w:w="2362"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A升降台模块</w:t>
            </w:r>
          </w:p>
        </w:tc>
        <w:tc>
          <w:tcPr>
            <w:tcW w:w="2374"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B升降台模块</w:t>
            </w:r>
          </w:p>
        </w:tc>
        <w:tc>
          <w:tcPr>
            <w:tcW w:w="2435"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装配台模块</w:t>
            </w:r>
          </w:p>
        </w:tc>
      </w:tr>
      <w:tr>
        <w:tblPrEx>
          <w:tblW w:w="9184" w:type="dxa"/>
          <w:jc w:val="center"/>
          <w:tblLayout w:type="fixed"/>
          <w:tblCellMar>
            <w:top w:w="57" w:type="dxa"/>
            <w:left w:w="142" w:type="dxa"/>
            <w:bottom w:w="57" w:type="dxa"/>
            <w:right w:w="142" w:type="dxa"/>
          </w:tblCellMar>
        </w:tblPrEx>
        <w:trPr>
          <w:trHeight w:val="730"/>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①夹具吸盘关闭</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①推料气缸A缩回</w:t>
            </w:r>
          </w:p>
        </w:tc>
        <w:tc>
          <w:tcPr>
            <w:tcW w:w="2374" w:type="dxa"/>
            <w:shd w:val="clear" w:color="auto" w:fill="FFFFFF"/>
            <w:vAlign w:val="center"/>
          </w:tcPr>
          <w:p>
            <w:pPr>
              <w:pStyle w:val="ListParagraph"/>
              <w:numPr>
                <w:ilvl w:val="0"/>
                <w:numId w:val="1"/>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推料气缸B缩回</w:t>
            </w:r>
          </w:p>
        </w:tc>
        <w:tc>
          <w:tcPr>
            <w:tcW w:w="2435" w:type="dxa"/>
            <w:shd w:val="clear" w:color="auto" w:fill="FFFFFF"/>
            <w:vAlign w:val="center"/>
          </w:tcPr>
          <w:p>
            <w:pPr>
              <w:pStyle w:val="ListParagraph"/>
              <w:numPr>
                <w:ilvl w:val="0"/>
                <w:numId w:val="2"/>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定位气缸复位</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②工作气压0.4Mpa～0.5Mpa</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②步进电机停止</w:t>
            </w: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②步进电机停止</w:t>
            </w: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r>
        <w:tblPrEx>
          <w:tblW w:w="9184" w:type="dxa"/>
          <w:jc w:val="center"/>
          <w:tblLayout w:type="fixed"/>
          <w:tblCellMar>
            <w:top w:w="57" w:type="dxa"/>
            <w:left w:w="142" w:type="dxa"/>
            <w:bottom w:w="57" w:type="dxa"/>
            <w:right w:w="142" w:type="dxa"/>
          </w:tblCellMar>
        </w:tblPrEx>
        <w:trPr>
          <w:trHeight w:val="412"/>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③夹具抓手打开</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bl>
    <w:p>
      <w:pPr>
        <w:sectPr>
          <w:headerReference w:type="default" r:id="rId10"/>
          <w:type w:val="nextPage"/>
          <w:pgSz w:w="11906" w:h="16838"/>
          <w:pgMar w:top="1440" w:right="1077" w:bottom="1440" w:left="1077" w:header="851" w:footer="992" w:gutter="0"/>
          <w:pgNumType w:start="3"/>
          <w:cols w:num="1" w:space="425"/>
          <w:titlePg w:val="0"/>
          <w:docGrid w:type="lines" w:linePitch="312" w:charSpace="0"/>
        </w:sectPr>
      </w:pP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①装配台机构模块；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②标签台机构模块；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③机器人夹具模块；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④A升降台机构模块；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⑤B升降台机构模块。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请根据以下图纸资料完成标签台机构模块、A升降台机构模块、B升降台机构模块、装配台机构模块的部件安装和气路连接，并根据各机构间的相对位置将其安装在本单元的工作台上。</w:t>
      </w:r>
    </w:p>
    <w:p>
      <w:pPr>
        <w:pStyle w:val="BodyText"/>
        <w:spacing w:line="400" w:lineRule="exact"/>
        <w:ind w:firstLine="480" w:firstLineChars="200"/>
        <w:rPr>
          <w:rFonts w:hAnsi="仿宋_GB2312" w:cs="仿宋_GB2312"/>
          <w:sz w:val="24"/>
          <w:szCs w:val="24"/>
        </w:rPr>
      </w:pPr>
      <w:r>
        <w:rPr>
          <w:rFonts w:hAnsi="仿宋_GB2312" w:cs="仿宋_GB2312" w:hint="eastAsia"/>
          <w:sz w:val="24"/>
          <w:szCs w:val="24"/>
        </w:rPr>
        <w:t>①机器人夹具的装配图见附页图；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②标签台机构模块的装配图见附页图；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③A升降台机构模块的装配图见附页图；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④B升降台机构模块的装配图见附页图；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⑤装配台机构模块的装配图见附页图；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⑥机器人搬运单元的气路图见附页图；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⑦机器人搬运单元的总装图见附页图。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详细装配图根据大赛执委会确定平台后，按照实际设备提供。</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2.智能仓储单元机构装调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11"/>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013"/>
        <w:gridCol w:w="2362"/>
        <w:gridCol w:w="2374"/>
        <w:gridCol w:w="2435"/>
      </w:tblGrid>
      <w:tr>
        <w:tblPrEx>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 w:val="24"/>
                <w14:textFill>
                  <w14:solidFill>
                    <w14:schemeClr w14:val="tx1"/>
                  </w14:solidFill>
                </w14:textFill>
              </w:rPr>
              <w:t>气源模块</w:t>
            </w:r>
          </w:p>
        </w:tc>
        <w:tc>
          <w:tcPr>
            <w:tcW w:w="2362"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auto"/>
                <w:szCs w:val="21"/>
              </w:rPr>
              <w:t>堆垛机模块</w:t>
            </w:r>
          </w:p>
        </w:tc>
        <w:tc>
          <w:tcPr>
            <w:tcW w:w="2374"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拾取模块</w:t>
            </w:r>
          </w:p>
        </w:tc>
        <w:tc>
          <w:tcPr>
            <w:tcW w:w="2435"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仓库模块</w:t>
            </w:r>
          </w:p>
        </w:tc>
      </w:tr>
      <w:tr>
        <w:tblPrEx>
          <w:tblW w:w="9184" w:type="dxa"/>
          <w:jc w:val="center"/>
          <w:tblLayout w:type="fixed"/>
          <w:tblCellMar>
            <w:top w:w="57" w:type="dxa"/>
            <w:left w:w="142" w:type="dxa"/>
            <w:bottom w:w="57" w:type="dxa"/>
            <w:right w:w="142" w:type="dxa"/>
          </w:tblCellMar>
        </w:tblPrEx>
        <w:trPr>
          <w:trHeight w:val="608"/>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①工作气压0.4Mpa～0.5Mpa</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①X轴电机停止</w:t>
            </w:r>
          </w:p>
        </w:tc>
        <w:tc>
          <w:tcPr>
            <w:tcW w:w="2374" w:type="dxa"/>
            <w:shd w:val="clear" w:color="auto" w:fill="FFFFFF"/>
            <w:vAlign w:val="center"/>
          </w:tcPr>
          <w:p>
            <w:pPr>
              <w:pStyle w:val="ListParagraph"/>
              <w:numPr>
                <w:ilvl w:val="0"/>
                <w:numId w:val="3"/>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拾取伸缩气缸缩回</w:t>
            </w:r>
          </w:p>
        </w:tc>
        <w:tc>
          <w:tcPr>
            <w:tcW w:w="2435" w:type="dxa"/>
            <w:shd w:val="clear" w:color="auto" w:fill="FFFFFF"/>
            <w:vAlign w:val="center"/>
          </w:tcPr>
          <w:p>
            <w:pPr>
              <w:pStyle w:val="ListParagraph"/>
              <w:numPr>
                <w:ilvl w:val="0"/>
                <w:numId w:val="3"/>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多个仓位空闲状态</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②Y轴电机停止</w:t>
            </w: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bl>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①堆垛机模块；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②仓库机构模块；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sectPr>
          <w:headerReference w:type="default" r:id="rId11"/>
          <w:type w:val="nextPage"/>
          <w:pgSz w:w="11906" w:h="16838"/>
          <w:pgMar w:top="1440" w:right="1077" w:bottom="1440" w:left="1077" w:header="851" w:footer="992" w:gutter="0"/>
          <w:pgNumType w:start="4"/>
          <w:cols w:num="1" w:space="425"/>
          <w:titlePg w:val="0"/>
          <w:docGrid w:type="lines" w:linePitch="312" w:charSpace="0"/>
        </w:sect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请根据以下图纸资料，按照各机构间的相对位置将堆垛机模块、立体仓库模块安装在本单元的工作台上，并完成气路连接。</w:t>
      </w:r>
    </w:p>
    <w:p>
      <w:pPr>
        <w:pStyle w:val="BodyText"/>
        <w:spacing w:line="400" w:lineRule="exact"/>
        <w:ind w:firstLine="480"/>
        <w:rPr>
          <w:rFonts w:hAnsi="仿宋_GB2312" w:cs="仿宋_GB2312"/>
          <w:sz w:val="24"/>
          <w:szCs w:val="24"/>
        </w:rPr>
      </w:pPr>
      <w:r>
        <w:rPr>
          <w:rFonts w:hAnsi="仿宋_GB2312" w:cs="仿宋_GB2312" w:hint="eastAsia"/>
          <w:sz w:val="24"/>
          <w:szCs w:val="24"/>
        </w:rPr>
        <w:t>①堆垛机模块的装配图见附页图；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②立体仓库模块的装配图见附页图；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③智能仓储单元的气路图见附页图；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④智能仓储运单元的装配图见附页图。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详细装配图根据大赛执委会确定平台后，按照实际设备提供。</w:t>
      </w:r>
    </w:p>
    <w:p>
      <w:pPr>
        <w:pStyle w:val="BodyTextFirstIndent"/>
        <w:ind w:firstLine="640"/>
      </w:pPr>
    </w:p>
    <w:p>
      <w:pPr>
        <w:spacing w:line="400" w:lineRule="exact"/>
        <w:rPr>
          <w:rFonts w:ascii="仿宋_GB2312" w:eastAsia="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0"/>
        <w:rPr>
          <w:rFonts w:ascii="仿宋_GB2312" w:hAnsi="仿宋_GB2312" w:cs="仿宋_GB2312"/>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kern w:val="0"/>
          <w:sz w:val="24"/>
          <w:szCs w:val="24"/>
        </w:rPr>
        <w:sectPr>
          <w:headerReference w:type="default" r:id="rId12"/>
          <w:type w:val="nextPage"/>
          <w:pgSz w:w="11906" w:h="16838"/>
          <w:pgMar w:top="1440" w:right="1077" w:bottom="1440" w:left="1077" w:header="851" w:footer="992" w:gutter="0"/>
          <w:pgNumType w:start="5"/>
          <w:cols w:num="1" w:space="425"/>
          <w:titlePg w:val="0"/>
          <w:docGrid w:type="lines" w:linePitch="312" w:charSpace="0"/>
        </w:sect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任务2 单元的电气接线与调试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工作任务：</w:t>
      </w:r>
    </w:p>
    <w:p>
      <w:pPr>
        <w:tabs>
          <w:tab w:val="left" w:pos="197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在完成任务机械安装基础上，还需完成机器人搬运包装单元、智能仓储单元的电气接线、电路测试，并符合专业技术规范，保证能够进行正确运行，以便生产线后期能够实现生产过程自动化。</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设备状态：</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工作单元已完成初步安装，但上述两个单元未开展电气接线与调试。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rPr>
          <w:rFonts w:ascii="仿宋_GB2312" w:hAnsi="仿宋_GB2312" w:cs="仿宋_GB2312"/>
          <w:b/>
          <w:bCs/>
          <w:sz w:val="24"/>
          <w:szCs w:val="24"/>
        </w:rPr>
      </w:pPr>
      <w:r>
        <w:rPr>
          <w:rFonts w:ascii="仿宋_GB2312" w:hAnsi="仿宋_GB2312" w:cs="仿宋_GB2312" w:hint="eastAsia"/>
          <w:sz w:val="24"/>
          <w:szCs w:val="24"/>
        </w:rPr>
        <w:t>依据两个单元的控制功能要求、机械机构图纸、电气接线图纸规定的</w:t>
      </w:r>
      <w:r>
        <w:rPr>
          <w:rFonts w:ascii="仿宋_GB2312" w:hAnsi="仿宋_GB2312" w:cs="仿宋_GB2312"/>
          <w:sz w:val="24"/>
          <w:szCs w:val="24"/>
        </w:rPr>
        <w:t>I</w:t>
      </w:r>
      <w:r>
        <w:rPr>
          <w:rFonts w:ascii="仿宋_GB2312" w:hAnsi="仿宋_GB2312" w:cs="仿宋_GB2312" w:hint="eastAsia"/>
          <w:sz w:val="24"/>
          <w:szCs w:val="24"/>
        </w:rPr>
        <w:t>/O分配表安装要求等，对机器人搬运包装单元、智能仓储单元的电气线路完成接线，接线完成后进行线路检查与调试，确保设备通电后无接线故障。</w:t>
      </w:r>
    </w:p>
    <w:p>
      <w:pPr>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b/>
          <w:bCs/>
          <w:sz w:val="24"/>
          <w:szCs w:val="24"/>
        </w:rPr>
        <w:t>1</w:t>
      </w:r>
      <w:r>
        <w:rPr>
          <w:rFonts w:ascii="仿宋_GB2312" w:eastAsia="仿宋_GB2312" w:hAnsi="仿宋_GB2312" w:cs="仿宋_GB2312" w:hint="eastAsia"/>
          <w:b/>
          <w:bCs/>
          <w:sz w:val="24"/>
          <w:szCs w:val="24"/>
        </w:rPr>
        <w:t>.机器人搬运包装单元模型接线</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完成机器人搬运单元台面上的升降台A模块端子板、升降台B模块端子板、桌面端子板、桌面组件I/O转换板和端子接线工作，桌面端子板上的接线需自行压接端子、套号码管。</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（1）升降台A模块端子板引脚分配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（2）升降台B模块端子板引脚分配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（3）装配台模块端子板引脚分配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2.智能仓储单元模型接线</w:t>
      </w:r>
    </w:p>
    <w:p>
      <w:pPr>
        <w:pStyle w:val="BodyTextFirstIndent"/>
        <w:spacing w:line="400" w:lineRule="exact"/>
        <w:ind w:firstLine="480"/>
        <w:rPr>
          <w:rFonts w:ascii="仿宋_GB2312" w:hAnsi="仿宋_GB2312" w:cs="仿宋_GB2312"/>
          <w:sz w:val="24"/>
          <w:szCs w:val="24"/>
        </w:rPr>
      </w:pPr>
      <w:r>
        <w:rPr>
          <w:rFonts w:ascii="仿宋_GB2312" w:hAnsi="仿宋_GB2312" w:cs="仿宋_GB2312" w:hint="eastAsia"/>
          <w:sz w:val="24"/>
          <w:szCs w:val="24"/>
        </w:rPr>
        <w:t>完成智能仓储单元台面上的升降台模块端子板、堆垛机模块端子板、仓库模块端子板、桌面端子板、接线工作，需自行压接端子、套号码管。</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（1）堆垛机模块端子板引脚分配</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（2）仓库模块端子板引脚分配</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（3）桌面端子板引脚分配</w:t>
      </w:r>
    </w:p>
    <w:p>
      <w:pPr>
        <w:pStyle w:val="BodyTextFirstIndent"/>
        <w:ind w:firstLine="482"/>
        <w:sectPr>
          <w:headerReference w:type="default" r:id="rId13"/>
          <w:type w:val="nextPage"/>
          <w:pgSz w:w="11906" w:h="16838"/>
          <w:pgMar w:top="1440" w:right="1077" w:bottom="1440" w:left="1077" w:header="851" w:footer="992" w:gutter="0"/>
          <w:pgNumType w:start="6"/>
          <w:cols w:num="1" w:space="425"/>
          <w:titlePg w:val="0"/>
          <w:docGrid w:type="lines" w:linePitch="312" w:charSpace="0"/>
        </w:sectPr>
      </w:pPr>
      <w:r>
        <w:rPr>
          <w:rFonts w:ascii="仿宋_GB2312" w:hAnsi="仿宋_GB2312" w:cs="仿宋_GB2312" w:hint="eastAsia"/>
          <w:b/>
          <w:bCs/>
          <w:sz w:val="24"/>
          <w:szCs w:val="24"/>
        </w:rPr>
        <w:t>以上模块详细引脚分配图根据大赛执委会确定平台后，按照实际设备提供。</w:t>
      </w:r>
    </w:p>
    <w:p>
      <w:pPr>
        <w:spacing w:line="400" w:lineRule="exact"/>
        <w:rPr>
          <w:rFonts w:ascii="仿宋_GB2312" w:eastAsia="仿宋_GB2312" w:hAnsi="仿宋_GB2312" w:cs="仿宋_GB2312"/>
          <w:b/>
          <w:sz w:val="24"/>
          <w:szCs w:val="24"/>
        </w:rPr>
      </w:pPr>
      <w:r>
        <w:rPr>
          <w:rFonts w:ascii="仿宋_GB2312" w:eastAsia="仿宋_GB2312" w:hAnsi="仿宋_GB2312" w:cs="仿宋_GB2312" w:hint="eastAsia"/>
          <w:b/>
          <w:sz w:val="24"/>
          <w:szCs w:val="24"/>
        </w:rPr>
        <w:t>任务3 单元的零件结构设计与仿真</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工作任务：</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加盖拧盖单元因长期运行导致固定夹具机械零件损坏，且设备机械图纸丢失，请根据现有损坏的零件进行测绘，在三维设计软件中绘制零件的三维模型和零件加工图纸，并在给定的数字孪生系统实现工作站的仿真运行，验证设计的零件。</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设备状态：</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因定夹具机械零件损坏，无法固定物料瓶。</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sz w:val="24"/>
        </w:rPr>
        <w:t>.</w:t>
      </w:r>
      <w:r>
        <w:rPr>
          <w:rFonts w:ascii="仿宋_GB2312" w:hAnsi="仿宋_GB2312" w:cs="仿宋_GB2312" w:hint="eastAsia"/>
          <w:sz w:val="24"/>
        </w:rPr>
        <w:t>零件的机械结构设计</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请根据现有损坏的零件进行测绘，在三维设计软件中绘制零件的三维模型和零件加工图纸，零件三维模型保存格式为“竞赛编号.Step”，并导出3</w:t>
      </w:r>
      <w:r>
        <w:rPr>
          <w:rFonts w:ascii="仿宋_GB2312" w:hAnsi="仿宋_GB2312" w:cs="仿宋_GB2312"/>
          <w:sz w:val="24"/>
        </w:rPr>
        <w:t>D pdf</w:t>
      </w:r>
      <w:r>
        <w:rPr>
          <w:rFonts w:ascii="仿宋_GB2312" w:hAnsi="仿宋_GB2312" w:cs="仿宋_GB2312" w:hint="eastAsia"/>
          <w:sz w:val="24"/>
        </w:rPr>
        <w:t>格式的文件“竞赛编号.</w:t>
      </w:r>
      <w:r>
        <w:rPr>
          <w:rFonts w:ascii="仿宋_GB2312" w:hAnsi="仿宋_GB2312" w:cs="仿宋_GB2312"/>
          <w:sz w:val="24"/>
        </w:rPr>
        <w:t>pdf</w:t>
      </w:r>
      <w:r>
        <w:rPr>
          <w:rFonts w:ascii="仿宋_GB2312" w:hAnsi="仿宋_GB2312" w:cs="仿宋_GB2312" w:hint="eastAsia"/>
          <w:sz w:val="24"/>
        </w:rPr>
        <w:t>”，零件加工图纸保存为“竞赛编号.dwg”,以上三个文件都保存到“D:\技能竞赛\竞赛编号”文件夹下。</w:t>
      </w:r>
    </w:p>
    <w:p>
      <w:pPr>
        <w:pStyle w:val="BodyTextFirstIndent"/>
        <w:spacing w:line="400" w:lineRule="exact"/>
        <w:ind w:firstLine="0" w:firstLineChars="0"/>
        <w:jc w:val="left"/>
        <w:rPr>
          <w:rFonts w:ascii="仿宋_GB2312" w:hAnsi="仿宋_GB2312" w:cs="仿宋_GB2312"/>
          <w:sz w:val="24"/>
        </w:rPr>
      </w:pPr>
    </w:p>
    <w:p>
      <w:pPr>
        <w:pStyle w:val="BodyTextFirstIndent"/>
        <w:spacing w:line="400" w:lineRule="exact"/>
        <w:ind w:firstLine="480"/>
        <w:jc w:val="left"/>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数字孪生仿真与验证</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利用设计的零件模型和提供的加盖拧盖单元三维模型导入给定的数字孪生系统，完成加盖拧盖单元的物理建模，根据孪生设备的功能添加相应的属性和动作，实现加盖拧盖单元的仿真运行，验证设计的零件。相关虚拟设备信号名称和功能按</w:t>
      </w:r>
      <w:r>
        <w:rPr>
          <w:rFonts w:hint="eastAsia"/>
          <w:sz w:val="24"/>
          <w:szCs w:val="24"/>
        </w:rPr>
        <w:t>虚拟设备信号功能分配表</w:t>
      </w:r>
      <w:r>
        <w:rPr>
          <w:rFonts w:ascii="仿宋_GB2312" w:hAnsi="仿宋_GB2312" w:cs="仿宋_GB2312" w:hint="eastAsia"/>
          <w:sz w:val="24"/>
        </w:rPr>
        <w:t>配置，表中未涉及的信号名称自行规划，要求与模块二中的加盖拧盖单元实现虚实联动。仿真文档保存到“D:\技能竞赛\竞赛编号”文件夹下。</w:t>
      </w:r>
    </w:p>
    <w:p>
      <w:pPr>
        <w:spacing w:line="360" w:lineRule="auto"/>
        <w:ind w:firstLine="480" w:firstLineChars="200"/>
        <w:rPr>
          <w:sz w:val="24"/>
          <w:szCs w:val="24"/>
        </w:rPr>
        <w:sectPr>
          <w:headerReference w:type="default" r:id="rId14"/>
          <w:type w:val="nextPage"/>
          <w:pgSz w:w="11906" w:h="16838"/>
          <w:pgMar w:top="1440" w:right="1077" w:bottom="1440" w:left="1077" w:header="851" w:footer="992" w:gutter="0"/>
          <w:pgNumType w:start="7"/>
          <w:cols w:num="1" w:space="425"/>
          <w:titlePg w:val="0"/>
          <w:docGrid w:type="lines" w:linePitch="312" w:charSpace="0"/>
        </w:sectPr>
      </w:pPr>
      <w:r>
        <w:rPr>
          <w:rFonts w:ascii="仿宋_GB2312" w:eastAsia="仿宋_GB2312" w:hAnsi="仿宋_GB2312" w:cs="仿宋_GB2312" w:hint="eastAsia"/>
          <w:b/>
          <w:bCs/>
          <w:sz w:val="24"/>
          <w:szCs w:val="24"/>
        </w:rPr>
        <w:t>以上虚拟设备信号功能分配表根据大赛执委会确定平台后，按照实际设备提供。</w:t>
      </w:r>
    </w:p>
    <w:p>
      <w:pPr>
        <w:pStyle w:val="BodyText"/>
        <w:spacing w:line="400" w:lineRule="exact"/>
        <w:rPr>
          <w:rFonts w:hAnsi="仿宋_GB2312" w:cs="仿宋_GB2312"/>
          <w:sz w:val="24"/>
          <w:szCs w:val="24"/>
        </w:rPr>
      </w:pPr>
      <w:r>
        <w:rPr>
          <w:rFonts w:hAnsi="仿宋_GB2312" w:cs="仿宋_GB2312" w:hint="eastAsia"/>
          <w:sz w:val="24"/>
          <w:szCs w:val="24"/>
        </w:rPr>
        <w:drawing>
          <wp:anchor distT="0" distB="0" distL="0" distR="0" simplePos="0" relativeHeight="251659264"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任务书B</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0"/>
        <w:gridCol w:w="1633"/>
        <w:gridCol w:w="1992"/>
        <w:gridCol w:w="1813"/>
        <w:gridCol w:w="1300"/>
        <w:gridCol w:w="190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rPr>
          <w:rFonts w:ascii="仿宋_GB2312" w:eastAsia="仿宋_GB2312" w:hAnsi="仿宋_GB2312" w:cs="仿宋_GB2312"/>
          <w:szCs w:val="24"/>
        </w:rPr>
        <w:sectPr>
          <w:headerReference w:type="default" r:id="rId15"/>
          <w:type w:val="nextPage"/>
          <w:pgSz w:w="11906" w:h="16838"/>
          <w:pgMar w:top="1440" w:right="1077" w:bottom="1440" w:left="1077" w:header="851" w:footer="992" w:gutter="0"/>
          <w:pgNumType w:start="8"/>
          <w:cols w:num="1" w:space="425"/>
          <w:titlePg w:val="0"/>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1</w:t>
      </w:r>
      <w:r>
        <w:rPr>
          <w:rFonts w:ascii="仿宋_GB2312" w:eastAsia="仿宋_GB2312" w:hAnsi="仿宋_GB2312" w:cs="仿宋_GB2312"/>
          <w:szCs w:val="24"/>
          <w:u w:val="single"/>
        </w:rPr>
        <w:t>7</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sectPr>
          <w:headerReference w:type="default" r:id="rId16"/>
          <w:type w:val="nextPage"/>
          <w:pgSz w:w="11906" w:h="16838"/>
          <w:pgMar w:top="1440" w:right="1077" w:bottom="1440" w:left="1077" w:header="851" w:footer="992" w:gutter="0"/>
          <w:pgNumType w:start="9"/>
          <w:cols w:num="1" w:space="425"/>
          <w:titlePg w:val="0"/>
          <w:docGrid w:type="lines" w:linePitch="312" w:charSpace="0"/>
        </w:sectPr>
      </w:pPr>
      <w:r>
        <w:rPr>
          <w:rFonts w:ascii="仿宋_GB2312" w:eastAsia="仿宋_GB2312" w:hAnsi="仿宋_GB2312" w:cs="仿宋_GB2312" w:hint="eastAsia"/>
          <w:szCs w:val="24"/>
        </w:rPr>
        <w:t>6.在完成任务过程中，请及时保存程序及数据。</w:t>
      </w: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技术改进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1"/>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rPr>
            </w:pPr>
            <w:bookmarkStart w:id="1" w:name="_Hlk90841698"/>
            <w:r>
              <w:rPr>
                <w:rFonts w:ascii="仿宋_GB2312" w:eastAsia="仿宋_GB2312" w:hAnsi="仿宋_GB2312" w:cs="仿宋_GB2312" w:hint="eastAsia"/>
                <w:szCs w:val="21"/>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全程参与</w:t>
            </w:r>
          </w:p>
        </w:tc>
        <w:tc>
          <w:tcPr>
            <w:tcW w:w="1506" w:type="dxa"/>
            <w:vAlign w:val="center"/>
          </w:tcPr>
          <w:p>
            <w:pPr>
              <w:autoSpaceDE w:val="0"/>
              <w:autoSpaceDN w:val="0"/>
              <w:spacing w:line="400" w:lineRule="exact"/>
              <w:rPr>
                <w:rFonts w:ascii="仿宋_GB2312" w:eastAsia="仿宋_GB2312" w:hAnsi="仿宋_GB2312" w:cs="仿宋_GB2312"/>
                <w:szCs w:val="21"/>
              </w:rPr>
            </w:pPr>
          </w:p>
        </w:tc>
      </w:tr>
      <w:bookmarkEnd w:id="1"/>
    </w:tbl>
    <w:p>
      <w:pPr>
        <w:pStyle w:val="BodyTextFirstIndent"/>
        <w:spacing w:line="400" w:lineRule="exact"/>
        <w:ind w:firstLine="0" w:firstLineChars="0"/>
        <w:rPr>
          <w:rFonts w:ascii="仿宋_GB2312" w:hAnsi="仿宋_GB2312" w:cs="仿宋_GB2312"/>
          <w:sz w:val="24"/>
          <w:szCs w:val="24"/>
        </w:rPr>
      </w:pPr>
      <w:r>
        <w:rPr>
          <w:rFonts w:ascii="仿宋_GB2312" w:hAnsi="仿宋_GB2312" w:cs="仿宋_GB2312"/>
          <w:sz w:val="24"/>
          <w:szCs w:val="24"/>
        </w:rPr>
        <w:br/>
      </w:r>
      <w:r>
        <w:rPr>
          <w:rFonts w:ascii="仿宋_GB2312" w:hAnsi="仿宋_GB2312" w:cs="仿宋_GB2312"/>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https://d.book118.com/216231034054010044</w:t>
        </w:r>
      </w:hyperlink>
    </w:p>
    <w:p>
      <w:pPr>
        <w:pStyle w:val="BodyTextFirstIndent"/>
        <w:spacing w:line="400" w:lineRule="exact"/>
        <w:ind w:firstLine="0" w:firstLineChars="0"/>
        <w:rPr>
          <w:rFonts w:ascii="仿宋_GB2312" w:hAnsi="仿宋_GB2312" w:cs="仿宋_GB2312"/>
          <w:sz w:val="24"/>
          <w:szCs w:val="24"/>
        </w:rPr>
      </w:pPr>
    </w:p>
    <w:sectPr>
      <w:headerReference w:type="default" r:id="rId18"/>
      <w:footerReference w:type="default" r:id="rId19"/>
      <w:pgSz w:w="11906" w:h="16838"/>
      <w:pgMar w:top="1440" w:right="1077" w:bottom="1440" w:left="1077"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Frutiger LT Com 45 Light">
    <w:altName w:val="Arial"/>
    <w:panose1 w:val="00000000000000000000"/>
    <w:charset w:val="00"/>
    <w:family w:val="swiss"/>
    <w:pitch w:val="default"/>
    <w:sig w:usb0="00000000" w:usb1="00000000" w:usb2="00000000" w:usb3="00000000" w:csb0="0000009B"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49" style="mso-wrap-distance-bottom:0;mso-wrap-distance-left:9pt;mso-wrap-distance-right:9pt;mso-wrap-distance-top:0;position:absolute;v-text-anchor:top;z-index:251658240" from="0.35pt,16.8pt" to="487.9pt,16.8pt" fillcolor="this" stroked="t" strokecolor="#2d5171" strokeweight="1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131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08268480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0" style="mso-wrap-distance-bottom:0;mso-wrap-distance-left:9pt;mso-wrap-distance-right:9pt;mso-wrap-distance-top:0;position:absolute;v-text-anchor:top;z-index:251660288" from="0.35pt,16.8pt" to="487.9pt,16.8pt" fillcolor="this" stroked="t" strokecolor="#2d5171" strokeweight="1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336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6288383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1" style="mso-wrap-distance-bottom:0;mso-wrap-distance-left:9pt;mso-wrap-distance-right:9pt;mso-wrap-distance-top:0;position:absolute;v-text-anchor:top;z-index:251662336" from="0.35pt,16.8pt" to="487.9pt,16.8pt" fillcolor="this" stroked="t" strokecolor="#2d5171" strokeweight="1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540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987984914"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2" style="mso-wrap-distance-bottom:0;mso-wrap-distance-left:9pt;mso-wrap-distance-right:9pt;mso-wrap-distance-top:0;position:absolute;v-text-anchor:top;z-index:251664384" from="0.35pt,16.8pt" to="487.9pt,16.8pt" fillcolor="this" stroked="t" strokecolor="#2d5171" strokeweight="1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39225525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3" style="mso-wrap-distance-bottom:0;mso-wrap-distance-left:9pt;mso-wrap-distance-right:9pt;mso-wrap-distance-top:0;position:absolute;v-text-anchor:top;z-index:251666432" from="0.35pt,16.8pt" to="487.9pt,16.8pt" fillcolor="this" stroked="t" strokecolor="#2d5171" strokeweight="1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950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11105229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4" style="mso-wrap-distance-bottom:0;mso-wrap-distance-left:9pt;mso-wrap-distance-right:9pt;mso-wrap-distance-top:0;position:absolute;v-text-anchor:top;z-index:251668480" from="0.35pt,16.8pt" to="487.9pt,16.8pt" fillcolor="this" stroked="t" strokecolor="#2d5171" strokeweight="1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155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61063107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5" style="mso-wrap-distance-bottom:0;mso-wrap-distance-left:9pt;mso-wrap-distance-right:9pt;mso-wrap-distance-top:0;position:absolute;v-text-anchor:top;z-index:251670528" from="0.35pt,16.8pt" to="487.9pt,16.8pt" fillcolor="this" stroked="t" strokecolor="#2d5171" strokeweight="1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360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04697067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6" style="mso-wrap-distance-bottom:0;mso-wrap-distance-left:9pt;mso-wrap-distance-right:9pt;mso-wrap-distance-top:0;position:absolute;v-text-anchor:top;z-index:251672576" from="0.35pt,16.8pt" to="487.9pt,16.8pt" fillcolor="this" stroked="t" strokecolor="#2d5171" strokeweight="1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564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1134312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7" style="mso-wrap-distance-bottom:0;mso-wrap-distance-left:9pt;mso-wrap-distance-right:9pt;mso-wrap-distance-top:0;position:absolute;v-text-anchor:top;z-index:251674624" from="0.35pt,16.8pt" to="487.9pt,16.8pt" fillcolor="this" stroked="t" strokecolor="#2d5171" strokeweight="1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7696"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43"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58" style="mso-wrap-distance-bottom:0;mso-wrap-distance-left:9pt;mso-wrap-distance-right:9pt;mso-wrap-distance-top:0;position:absolute;v-text-anchor:top;z-index:251676672" from="0.35pt,16.8pt" to="487.9pt,16.8pt" fillcolor="this" stroked="t" strokecolor="#2d5171"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BD89CF3"/>
    <w:multiLevelType w:val="singleLevel"/>
    <w:tmpl w:val="DBD89CF3"/>
    <w:lvl w:ilvl="0">
      <w:start w:val="3"/>
      <w:numFmt w:val="chineseCounting"/>
      <w:suff w:val="nothing"/>
      <w:lvlText w:val="（%1）"/>
      <w:lvlJc w:val="left"/>
      <w:rPr>
        <w:rFonts w:hint="eastAsia"/>
      </w:rPr>
    </w:lvl>
  </w:abstractNum>
  <w:abstractNum w:abstractNumId="1">
    <w:nsid w:val="04F30335"/>
    <w:multiLevelType w:val="multilevel"/>
    <w:tmpl w:val="04F30335"/>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nsid w:val="0864089D"/>
    <w:multiLevelType w:val="multilevel"/>
    <w:tmpl w:val="0864089D"/>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nsid w:val="31F8476D"/>
    <w:multiLevelType w:val="multilevel"/>
    <w:tmpl w:val="31F8476D"/>
    <w:lvl w:ilvl="0">
      <w:start w:val="1"/>
      <w:numFmt w:val="decimal"/>
      <w:suff w:val="nothing"/>
      <w:lvlText w:val="%1"/>
      <w:lvlJc w:val="left"/>
      <w:pPr>
        <w:ind w:left="0" w:firstLine="0"/>
      </w:pPr>
      <w:rPr>
        <w:rFonts w:hint="eastAsia"/>
        <w:w w:val="100"/>
        <w:sz w:val="22"/>
        <w:szCs w:val="22"/>
      </w:rPr>
    </w:lvl>
    <w:lvl w:ilvl="1">
      <w:start w:val="0"/>
      <w:numFmt w:val="bullet"/>
      <w:lvlText w:val="•"/>
      <w:lvlJc w:val="left"/>
      <w:pPr>
        <w:ind w:left="2830" w:hanging="601"/>
      </w:pPr>
      <w:rPr>
        <w:rFonts w:hint="eastAsia"/>
      </w:rPr>
    </w:lvl>
    <w:lvl w:ilvl="2">
      <w:start w:val="0"/>
      <w:numFmt w:val="bullet"/>
      <w:lvlText w:val="•"/>
      <w:lvlJc w:val="left"/>
      <w:pPr>
        <w:ind w:left="3701" w:hanging="601"/>
      </w:pPr>
      <w:rPr>
        <w:rFonts w:hint="eastAsia"/>
      </w:rPr>
    </w:lvl>
    <w:lvl w:ilvl="3">
      <w:start w:val="0"/>
      <w:numFmt w:val="bullet"/>
      <w:lvlText w:val="•"/>
      <w:lvlJc w:val="left"/>
      <w:pPr>
        <w:ind w:left="4571" w:hanging="601"/>
      </w:pPr>
      <w:rPr>
        <w:rFonts w:hint="eastAsia"/>
      </w:rPr>
    </w:lvl>
    <w:lvl w:ilvl="4">
      <w:start w:val="0"/>
      <w:numFmt w:val="bullet"/>
      <w:lvlText w:val="•"/>
      <w:lvlJc w:val="left"/>
      <w:pPr>
        <w:ind w:left="5442" w:hanging="601"/>
      </w:pPr>
      <w:rPr>
        <w:rFonts w:hint="eastAsia"/>
      </w:rPr>
    </w:lvl>
    <w:lvl w:ilvl="5">
      <w:start w:val="0"/>
      <w:numFmt w:val="bullet"/>
      <w:lvlText w:val="•"/>
      <w:lvlJc w:val="left"/>
      <w:pPr>
        <w:ind w:left="6313" w:hanging="601"/>
      </w:pPr>
      <w:rPr>
        <w:rFonts w:hint="eastAsia"/>
      </w:rPr>
    </w:lvl>
    <w:lvl w:ilvl="6">
      <w:start w:val="0"/>
      <w:numFmt w:val="bullet"/>
      <w:lvlText w:val="•"/>
      <w:lvlJc w:val="left"/>
      <w:pPr>
        <w:ind w:left="7183" w:hanging="601"/>
      </w:pPr>
      <w:rPr>
        <w:rFonts w:hint="eastAsia"/>
      </w:rPr>
    </w:lvl>
    <w:lvl w:ilvl="7">
      <w:start w:val="0"/>
      <w:numFmt w:val="bullet"/>
      <w:lvlText w:val="•"/>
      <w:lvlJc w:val="left"/>
      <w:pPr>
        <w:ind w:left="8054" w:hanging="601"/>
      </w:pPr>
      <w:rPr>
        <w:rFonts w:hint="eastAsia"/>
      </w:rPr>
    </w:lvl>
    <w:lvl w:ilvl="8">
      <w:start w:val="0"/>
      <w:numFmt w:val="bullet"/>
      <w:lvlText w:val="•"/>
      <w:lvlJc w:val="left"/>
      <w:pPr>
        <w:ind w:left="8924" w:hanging="601"/>
      </w:pPr>
      <w:rPr>
        <w:rFonts w:hint="eastAsia"/>
      </w:rPr>
    </w:lvl>
  </w:abstractNum>
  <w:abstractNum w:abstractNumId="4">
    <w:nsid w:val="38AC621C"/>
    <w:multiLevelType w:val="multilevel"/>
    <w:tmpl w:val="38AC621C"/>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E3"/>
    <w:rsid w:val="00010C3B"/>
    <w:rsid w:val="00013882"/>
    <w:rsid w:val="0002648F"/>
    <w:rsid w:val="0003014A"/>
    <w:rsid w:val="000572A8"/>
    <w:rsid w:val="00096865"/>
    <w:rsid w:val="000A0608"/>
    <w:rsid w:val="000F1806"/>
    <w:rsid w:val="000F1E5E"/>
    <w:rsid w:val="000F2E84"/>
    <w:rsid w:val="00104990"/>
    <w:rsid w:val="00107BC7"/>
    <w:rsid w:val="00107CC8"/>
    <w:rsid w:val="001403BC"/>
    <w:rsid w:val="00145A1A"/>
    <w:rsid w:val="00184FD4"/>
    <w:rsid w:val="001B7024"/>
    <w:rsid w:val="002177A8"/>
    <w:rsid w:val="00230DFA"/>
    <w:rsid w:val="00234453"/>
    <w:rsid w:val="0024364A"/>
    <w:rsid w:val="00246B74"/>
    <w:rsid w:val="002502AC"/>
    <w:rsid w:val="0026002E"/>
    <w:rsid w:val="00273D76"/>
    <w:rsid w:val="00297F9D"/>
    <w:rsid w:val="002A11C3"/>
    <w:rsid w:val="002A6800"/>
    <w:rsid w:val="002A73DC"/>
    <w:rsid w:val="002E626D"/>
    <w:rsid w:val="002F70BA"/>
    <w:rsid w:val="003028EA"/>
    <w:rsid w:val="00311842"/>
    <w:rsid w:val="00320A61"/>
    <w:rsid w:val="00350993"/>
    <w:rsid w:val="003536BC"/>
    <w:rsid w:val="00360A68"/>
    <w:rsid w:val="00395D39"/>
    <w:rsid w:val="00396342"/>
    <w:rsid w:val="003B2B7E"/>
    <w:rsid w:val="003C18DB"/>
    <w:rsid w:val="003E187E"/>
    <w:rsid w:val="003E2AF6"/>
    <w:rsid w:val="003F08A0"/>
    <w:rsid w:val="003F2D0F"/>
    <w:rsid w:val="00441B5E"/>
    <w:rsid w:val="00447994"/>
    <w:rsid w:val="00454D4B"/>
    <w:rsid w:val="00462286"/>
    <w:rsid w:val="004A1CAA"/>
    <w:rsid w:val="004D4881"/>
    <w:rsid w:val="004D6197"/>
    <w:rsid w:val="004F003F"/>
    <w:rsid w:val="004F271E"/>
    <w:rsid w:val="00514C92"/>
    <w:rsid w:val="00530735"/>
    <w:rsid w:val="00533698"/>
    <w:rsid w:val="005463C2"/>
    <w:rsid w:val="00567E49"/>
    <w:rsid w:val="00594989"/>
    <w:rsid w:val="0059786D"/>
    <w:rsid w:val="005A1023"/>
    <w:rsid w:val="005B1EF3"/>
    <w:rsid w:val="005B65EB"/>
    <w:rsid w:val="005C59D2"/>
    <w:rsid w:val="005C5D42"/>
    <w:rsid w:val="005E1695"/>
    <w:rsid w:val="005F1528"/>
    <w:rsid w:val="00646146"/>
    <w:rsid w:val="006507D8"/>
    <w:rsid w:val="006B7FEC"/>
    <w:rsid w:val="006C7779"/>
    <w:rsid w:val="006C79A4"/>
    <w:rsid w:val="006E1497"/>
    <w:rsid w:val="006E1AA4"/>
    <w:rsid w:val="006F00C4"/>
    <w:rsid w:val="006F1C2C"/>
    <w:rsid w:val="00711E17"/>
    <w:rsid w:val="00733ECB"/>
    <w:rsid w:val="007505DD"/>
    <w:rsid w:val="00765715"/>
    <w:rsid w:val="00767ED8"/>
    <w:rsid w:val="00783213"/>
    <w:rsid w:val="00787908"/>
    <w:rsid w:val="007A14BE"/>
    <w:rsid w:val="007A51FB"/>
    <w:rsid w:val="007B0AE2"/>
    <w:rsid w:val="007B3251"/>
    <w:rsid w:val="007D613A"/>
    <w:rsid w:val="007E74B4"/>
    <w:rsid w:val="008166B4"/>
    <w:rsid w:val="0085015F"/>
    <w:rsid w:val="0085192C"/>
    <w:rsid w:val="00852B5C"/>
    <w:rsid w:val="00877806"/>
    <w:rsid w:val="00883BAC"/>
    <w:rsid w:val="00884331"/>
    <w:rsid w:val="008A2EF7"/>
    <w:rsid w:val="008A3512"/>
    <w:rsid w:val="008B339E"/>
    <w:rsid w:val="008B7820"/>
    <w:rsid w:val="008C23B2"/>
    <w:rsid w:val="009007A3"/>
    <w:rsid w:val="00967A70"/>
    <w:rsid w:val="00973AC0"/>
    <w:rsid w:val="0099337F"/>
    <w:rsid w:val="009C7AEC"/>
    <w:rsid w:val="009D170E"/>
    <w:rsid w:val="009E7A26"/>
    <w:rsid w:val="00A00313"/>
    <w:rsid w:val="00A03E62"/>
    <w:rsid w:val="00A03F31"/>
    <w:rsid w:val="00A35AE3"/>
    <w:rsid w:val="00A4687A"/>
    <w:rsid w:val="00A471B6"/>
    <w:rsid w:val="00A851D5"/>
    <w:rsid w:val="00AE4E5E"/>
    <w:rsid w:val="00AE6B1B"/>
    <w:rsid w:val="00AF30C4"/>
    <w:rsid w:val="00B150D3"/>
    <w:rsid w:val="00B21497"/>
    <w:rsid w:val="00B2204C"/>
    <w:rsid w:val="00B601BE"/>
    <w:rsid w:val="00B65BF4"/>
    <w:rsid w:val="00B923FE"/>
    <w:rsid w:val="00B94CC2"/>
    <w:rsid w:val="00BC4053"/>
    <w:rsid w:val="00BD2F3D"/>
    <w:rsid w:val="00BD3877"/>
    <w:rsid w:val="00BF301E"/>
    <w:rsid w:val="00C54754"/>
    <w:rsid w:val="00C6006E"/>
    <w:rsid w:val="00CC2ABB"/>
    <w:rsid w:val="00CD717F"/>
    <w:rsid w:val="00CE097F"/>
    <w:rsid w:val="00D01AAD"/>
    <w:rsid w:val="00D070A1"/>
    <w:rsid w:val="00D30768"/>
    <w:rsid w:val="00D30ECA"/>
    <w:rsid w:val="00D3522F"/>
    <w:rsid w:val="00D3645A"/>
    <w:rsid w:val="00D36944"/>
    <w:rsid w:val="00D75ADB"/>
    <w:rsid w:val="00D815C3"/>
    <w:rsid w:val="00DA5922"/>
    <w:rsid w:val="00DB4711"/>
    <w:rsid w:val="00DC5A2B"/>
    <w:rsid w:val="00DE151B"/>
    <w:rsid w:val="00E2789B"/>
    <w:rsid w:val="00E905FA"/>
    <w:rsid w:val="00E96264"/>
    <w:rsid w:val="00E974EF"/>
    <w:rsid w:val="00EB6AB8"/>
    <w:rsid w:val="00EE0B59"/>
    <w:rsid w:val="00F30337"/>
    <w:rsid w:val="00F32078"/>
    <w:rsid w:val="00F40FE4"/>
    <w:rsid w:val="00F847F5"/>
    <w:rsid w:val="00F849F9"/>
    <w:rsid w:val="00F97336"/>
    <w:rsid w:val="00FD0B6A"/>
    <w:rsid w:val="00FD52E7"/>
    <w:rsid w:val="016E447B"/>
    <w:rsid w:val="01D16486"/>
    <w:rsid w:val="022D7009"/>
    <w:rsid w:val="02A24BEE"/>
    <w:rsid w:val="03543FB0"/>
    <w:rsid w:val="0393322D"/>
    <w:rsid w:val="03D77741"/>
    <w:rsid w:val="04255E75"/>
    <w:rsid w:val="04670D1E"/>
    <w:rsid w:val="04731192"/>
    <w:rsid w:val="04903BDD"/>
    <w:rsid w:val="04A72A27"/>
    <w:rsid w:val="04AA06DE"/>
    <w:rsid w:val="04ED7FF9"/>
    <w:rsid w:val="04F2488D"/>
    <w:rsid w:val="04F9440A"/>
    <w:rsid w:val="0576631B"/>
    <w:rsid w:val="05890C8C"/>
    <w:rsid w:val="05C91C34"/>
    <w:rsid w:val="067441E3"/>
    <w:rsid w:val="067C0573"/>
    <w:rsid w:val="07B81F7B"/>
    <w:rsid w:val="08334227"/>
    <w:rsid w:val="08824896"/>
    <w:rsid w:val="08B55B08"/>
    <w:rsid w:val="091914C7"/>
    <w:rsid w:val="09A64A59"/>
    <w:rsid w:val="09E5523F"/>
    <w:rsid w:val="0A660D90"/>
    <w:rsid w:val="0B7C795E"/>
    <w:rsid w:val="0ED35FC4"/>
    <w:rsid w:val="0EF00783"/>
    <w:rsid w:val="0F0443AA"/>
    <w:rsid w:val="10BC3B67"/>
    <w:rsid w:val="112828EA"/>
    <w:rsid w:val="11482301"/>
    <w:rsid w:val="11E15867"/>
    <w:rsid w:val="12BD2D2E"/>
    <w:rsid w:val="138207A8"/>
    <w:rsid w:val="13D16D86"/>
    <w:rsid w:val="14A4410C"/>
    <w:rsid w:val="14D50806"/>
    <w:rsid w:val="153D3AAC"/>
    <w:rsid w:val="155F11AF"/>
    <w:rsid w:val="15C95212"/>
    <w:rsid w:val="161F09C9"/>
    <w:rsid w:val="16FD62AF"/>
    <w:rsid w:val="17F763E0"/>
    <w:rsid w:val="18C63F8F"/>
    <w:rsid w:val="19A34511"/>
    <w:rsid w:val="1A022399"/>
    <w:rsid w:val="1A43170D"/>
    <w:rsid w:val="1B764D1B"/>
    <w:rsid w:val="1B8474DF"/>
    <w:rsid w:val="1BF3157E"/>
    <w:rsid w:val="1C812CB4"/>
    <w:rsid w:val="1C961170"/>
    <w:rsid w:val="1CFB36BB"/>
    <w:rsid w:val="1D530058"/>
    <w:rsid w:val="1D5D046E"/>
    <w:rsid w:val="1E311147"/>
    <w:rsid w:val="1E4D6EC0"/>
    <w:rsid w:val="1F1F369F"/>
    <w:rsid w:val="1FFE16DA"/>
    <w:rsid w:val="200C4BE4"/>
    <w:rsid w:val="208473F0"/>
    <w:rsid w:val="209E05F3"/>
    <w:rsid w:val="20ED60B8"/>
    <w:rsid w:val="21022769"/>
    <w:rsid w:val="210D0AC9"/>
    <w:rsid w:val="21151492"/>
    <w:rsid w:val="234C2064"/>
    <w:rsid w:val="2371431C"/>
    <w:rsid w:val="238A702B"/>
    <w:rsid w:val="24122D6E"/>
    <w:rsid w:val="246C2EE2"/>
    <w:rsid w:val="24CD3CF8"/>
    <w:rsid w:val="25242C7B"/>
    <w:rsid w:val="26433317"/>
    <w:rsid w:val="268C4FDD"/>
    <w:rsid w:val="26951E0F"/>
    <w:rsid w:val="280E3946"/>
    <w:rsid w:val="286A3324"/>
    <w:rsid w:val="28C14A89"/>
    <w:rsid w:val="28FF68B6"/>
    <w:rsid w:val="29CC5AA6"/>
    <w:rsid w:val="2AC35CA6"/>
    <w:rsid w:val="2B713188"/>
    <w:rsid w:val="2C416632"/>
    <w:rsid w:val="2CEF27E4"/>
    <w:rsid w:val="2CF16A0C"/>
    <w:rsid w:val="2CF65C30"/>
    <w:rsid w:val="2D9F7E20"/>
    <w:rsid w:val="2E5E4DFD"/>
    <w:rsid w:val="2F937B46"/>
    <w:rsid w:val="30FB660E"/>
    <w:rsid w:val="30FB74A5"/>
    <w:rsid w:val="311A3CC6"/>
    <w:rsid w:val="327B07DD"/>
    <w:rsid w:val="32972F58"/>
    <w:rsid w:val="32E678E3"/>
    <w:rsid w:val="340D3498"/>
    <w:rsid w:val="3410378E"/>
    <w:rsid w:val="34A7660F"/>
    <w:rsid w:val="34B46CB8"/>
    <w:rsid w:val="34D5379D"/>
    <w:rsid w:val="34DD3BB4"/>
    <w:rsid w:val="357D7907"/>
    <w:rsid w:val="35B46497"/>
    <w:rsid w:val="362C75A0"/>
    <w:rsid w:val="38000B05"/>
    <w:rsid w:val="38C20837"/>
    <w:rsid w:val="39061B52"/>
    <w:rsid w:val="399862F9"/>
    <w:rsid w:val="3AAC1CCE"/>
    <w:rsid w:val="3AC71734"/>
    <w:rsid w:val="3AD837C5"/>
    <w:rsid w:val="3BCD0C10"/>
    <w:rsid w:val="3BCF654B"/>
    <w:rsid w:val="3C31089E"/>
    <w:rsid w:val="3C7828DB"/>
    <w:rsid w:val="3C993A1A"/>
    <w:rsid w:val="3CF46F6F"/>
    <w:rsid w:val="3DA24E72"/>
    <w:rsid w:val="3DE11DF4"/>
    <w:rsid w:val="3E8D0813"/>
    <w:rsid w:val="40144BC1"/>
    <w:rsid w:val="40C230A3"/>
    <w:rsid w:val="425C6C4B"/>
    <w:rsid w:val="426D44AC"/>
    <w:rsid w:val="43753683"/>
    <w:rsid w:val="44CA133B"/>
    <w:rsid w:val="44F105AF"/>
    <w:rsid w:val="45AF43EF"/>
    <w:rsid w:val="463712B1"/>
    <w:rsid w:val="464A7AB4"/>
    <w:rsid w:val="46684515"/>
    <w:rsid w:val="480D448F"/>
    <w:rsid w:val="481A2B53"/>
    <w:rsid w:val="48C32D27"/>
    <w:rsid w:val="48CD1ED0"/>
    <w:rsid w:val="49371B16"/>
    <w:rsid w:val="499C645A"/>
    <w:rsid w:val="499F2D61"/>
    <w:rsid w:val="4AA769BA"/>
    <w:rsid w:val="4B7A67EF"/>
    <w:rsid w:val="4C7D6098"/>
    <w:rsid w:val="4C912A7C"/>
    <w:rsid w:val="4CD8525A"/>
    <w:rsid w:val="4DB61761"/>
    <w:rsid w:val="4EB310D0"/>
    <w:rsid w:val="4EC310A1"/>
    <w:rsid w:val="4F32458E"/>
    <w:rsid w:val="4F876B3D"/>
    <w:rsid w:val="4F996F25"/>
    <w:rsid w:val="50CD2A3F"/>
    <w:rsid w:val="50F12A7C"/>
    <w:rsid w:val="51270B4D"/>
    <w:rsid w:val="51396AA5"/>
    <w:rsid w:val="519B3F07"/>
    <w:rsid w:val="519F4D52"/>
    <w:rsid w:val="52985ECF"/>
    <w:rsid w:val="52FB7921"/>
    <w:rsid w:val="52FD6812"/>
    <w:rsid w:val="53CB5A6F"/>
    <w:rsid w:val="543C1081"/>
    <w:rsid w:val="54CB7672"/>
    <w:rsid w:val="5543668F"/>
    <w:rsid w:val="56A763D8"/>
    <w:rsid w:val="58E22417"/>
    <w:rsid w:val="58E5595F"/>
    <w:rsid w:val="5904455F"/>
    <w:rsid w:val="593F722C"/>
    <w:rsid w:val="59454C67"/>
    <w:rsid w:val="59724114"/>
    <w:rsid w:val="59A74473"/>
    <w:rsid w:val="5A8879F8"/>
    <w:rsid w:val="5A964476"/>
    <w:rsid w:val="5B69478E"/>
    <w:rsid w:val="5B6952D3"/>
    <w:rsid w:val="5BFE5E0F"/>
    <w:rsid w:val="5CAF32EB"/>
    <w:rsid w:val="5CD52A08"/>
    <w:rsid w:val="5D995406"/>
    <w:rsid w:val="5D997402"/>
    <w:rsid w:val="5DE078AC"/>
    <w:rsid w:val="5E3759E8"/>
    <w:rsid w:val="5F585D67"/>
    <w:rsid w:val="5F701C22"/>
    <w:rsid w:val="5FC05D76"/>
    <w:rsid w:val="607A3C53"/>
    <w:rsid w:val="61287C54"/>
    <w:rsid w:val="61851984"/>
    <w:rsid w:val="62305F63"/>
    <w:rsid w:val="62557ED0"/>
    <w:rsid w:val="62A764B8"/>
    <w:rsid w:val="63B936CD"/>
    <w:rsid w:val="63C7162D"/>
    <w:rsid w:val="65661CED"/>
    <w:rsid w:val="65A63DE8"/>
    <w:rsid w:val="661B66B1"/>
    <w:rsid w:val="663616FB"/>
    <w:rsid w:val="665E0A81"/>
    <w:rsid w:val="671174CC"/>
    <w:rsid w:val="673E2FB3"/>
    <w:rsid w:val="67726B73"/>
    <w:rsid w:val="67937060"/>
    <w:rsid w:val="67A5221E"/>
    <w:rsid w:val="67DB781B"/>
    <w:rsid w:val="68A505C9"/>
    <w:rsid w:val="6908265B"/>
    <w:rsid w:val="6984768A"/>
    <w:rsid w:val="69B83B9B"/>
    <w:rsid w:val="69BD2E65"/>
    <w:rsid w:val="69C867EF"/>
    <w:rsid w:val="6AB82F0C"/>
    <w:rsid w:val="6B436FD0"/>
    <w:rsid w:val="6B7F010B"/>
    <w:rsid w:val="6B962D27"/>
    <w:rsid w:val="6BE70D58"/>
    <w:rsid w:val="6DDC6B4C"/>
    <w:rsid w:val="6DDD7476"/>
    <w:rsid w:val="6EC85E03"/>
    <w:rsid w:val="6F072545"/>
    <w:rsid w:val="6F5A5288"/>
    <w:rsid w:val="6FF625DE"/>
    <w:rsid w:val="70363AFB"/>
    <w:rsid w:val="71B27028"/>
    <w:rsid w:val="72241EA6"/>
    <w:rsid w:val="723D3144"/>
    <w:rsid w:val="7291583D"/>
    <w:rsid w:val="72A127F2"/>
    <w:rsid w:val="73850DA6"/>
    <w:rsid w:val="73A475D4"/>
    <w:rsid w:val="74416441"/>
    <w:rsid w:val="746B2076"/>
    <w:rsid w:val="751D5ED2"/>
    <w:rsid w:val="752B7EAA"/>
    <w:rsid w:val="778925D9"/>
    <w:rsid w:val="783A40EE"/>
    <w:rsid w:val="78411DF4"/>
    <w:rsid w:val="787B1692"/>
    <w:rsid w:val="789739D1"/>
    <w:rsid w:val="789D3B1F"/>
    <w:rsid w:val="78F40866"/>
    <w:rsid w:val="79555DD0"/>
    <w:rsid w:val="799C2D71"/>
    <w:rsid w:val="7A103D42"/>
    <w:rsid w:val="7A2C6847"/>
    <w:rsid w:val="7ACB24B3"/>
    <w:rsid w:val="7B365356"/>
    <w:rsid w:val="7B9536F8"/>
    <w:rsid w:val="7BB0637E"/>
    <w:rsid w:val="7D41660E"/>
    <w:rsid w:val="7D7A1666"/>
  </w:rsids>
  <w:docVars>
    <w:docVar w:name="commondata" w:val="eyJoZGlkIjoiOTEzNmRlYjFlMTk3NDA5NDJlYWUyNzA0ZDkyMGEwYm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1" w:unhideWhenUsed="0" w:qFormat="1"/>
    <w:lsdException w:name="heading 2" w:semiHidden="0" w:uiPriority="0" w:unhideWhenUsed="0"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autoRedefine/>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uiPriority w:val="1"/>
    <w:qFormat/>
    <w:pPr>
      <w:ind w:left="871" w:right="871"/>
      <w:jc w:val="center"/>
      <w:outlineLvl w:val="0"/>
    </w:pPr>
    <w:rPr>
      <w:rFonts w:ascii="黑体" w:eastAsia="黑体" w:hAnsi="黑体" w:cs="黑体"/>
      <w:b/>
      <w:bCs/>
      <w:sz w:val="52"/>
      <w:szCs w:val="52"/>
      <w:lang w:val="zh-CN" w:bidi="zh-CN"/>
    </w:rPr>
  </w:style>
  <w:style w:type="paragraph" w:styleId="Heading2">
    <w:name w:val="heading 2"/>
    <w:basedOn w:val="Normal"/>
    <w:next w:val="Normal"/>
    <w:autoRedefine/>
    <w:qFormat/>
    <w:pPr>
      <w:keepNext/>
      <w:keepLines/>
      <w:spacing w:line="360" w:lineRule="auto"/>
      <w:outlineLvl w:val="1"/>
    </w:pPr>
    <w:rPr>
      <w:rFonts w:ascii="Arial" w:eastAsia="黑体" w:hAnsi="Arial"/>
      <w:bCs/>
      <w:color w:val="002060"/>
      <w:sz w:val="28"/>
      <w:szCs w:val="32"/>
    </w:rPr>
  </w:style>
  <w:style w:type="paragraph" w:styleId="Heading5">
    <w:name w:val="heading 5"/>
    <w:basedOn w:val="Normal"/>
    <w:next w:val="Normal"/>
    <w:autoRedefine/>
    <w:uiPriority w:val="9"/>
    <w:unhideWhenUsed/>
    <w:qFormat/>
    <w:pPr>
      <w:outlineLvl w:val="4"/>
    </w:pPr>
    <w:rPr>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autoRedefine/>
    <w:qFormat/>
    <w:pPr>
      <w:spacing w:line="560" w:lineRule="exact"/>
      <w:ind w:firstLine="721" w:firstLineChars="200"/>
    </w:pPr>
    <w:rPr>
      <w:rFonts w:ascii="Calibri"/>
    </w:rPr>
  </w:style>
  <w:style w:type="paragraph" w:styleId="BodyText">
    <w:name w:val="Body Text"/>
    <w:basedOn w:val="Normal"/>
    <w:autoRedefine/>
    <w:qFormat/>
    <w:rPr>
      <w:rFonts w:ascii="仿宋_GB2312" w:eastAsia="仿宋_GB2312"/>
      <w:sz w:val="32"/>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qFormat/>
    <w:pPr>
      <w:widowControl/>
      <w:spacing w:before="100" w:beforeAutospacing="1" w:after="100" w:afterAutospacing="1" w:line="360" w:lineRule="auto"/>
      <w:jc w:val="left"/>
    </w:pPr>
    <w:rPr>
      <w:rFonts w:ascii="宋体" w:hAnsi="宋体" w:cs="宋体"/>
      <w:kern w:val="0"/>
      <w:sz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autoRedefine/>
    <w:uiPriority w:val="34"/>
    <w:qFormat/>
    <w:pPr>
      <w:ind w:firstLine="420" w:firstLineChars="200"/>
    </w:pPr>
  </w:style>
  <w:style w:type="character" w:customStyle="1" w:styleId="Char">
    <w:name w:val="页眉 Char"/>
    <w:basedOn w:val="DefaultParagraphFont"/>
    <w:link w:val="Header"/>
    <w:autoRedefine/>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autoRedefine/>
    <w:uiPriority w:val="99"/>
    <w:qFormat/>
    <w:rPr>
      <w:rFonts w:ascii="Times New Roman" w:eastAsia="宋体" w:hAnsi="Times New Roman" w:cs="Times New Roman"/>
      <w:sz w:val="18"/>
      <w:szCs w:val="18"/>
    </w:rPr>
  </w:style>
  <w:style w:type="paragraph" w:customStyle="1" w:styleId="111">
    <w:name w:val="列出段落111"/>
    <w:basedOn w:val="Normal"/>
    <w:autoRedefine/>
    <w:uiPriority w:val="34"/>
    <w:qFormat/>
    <w:pPr>
      <w:ind w:firstLine="420" w:firstLineChars="200"/>
    </w:pPr>
  </w:style>
  <w:style w:type="paragraph" w:customStyle="1" w:styleId="10">
    <w:name w:val="列表段落1"/>
    <w:basedOn w:val="Normal"/>
    <w:autoRedefine/>
    <w:uiPriority w:val="34"/>
    <w:qFormat/>
    <w:pPr>
      <w:ind w:firstLine="420" w:firstLineChars="200"/>
    </w:pPr>
  </w:style>
  <w:style w:type="paragraph" w:customStyle="1" w:styleId="11">
    <w:name w:val="列出段落11"/>
    <w:basedOn w:val="Normal"/>
    <w:autoRedefine/>
    <w:uiPriority w:val="34"/>
    <w:qFormat/>
    <w:pPr>
      <w:ind w:firstLine="420" w:firstLineChars="200"/>
    </w:pPr>
  </w:style>
  <w:style w:type="table" w:customStyle="1" w:styleId="WSI-Table">
    <w:name w:val="WSI - Table"/>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Normal16">
    <w:name w:val="Table Normal16"/>
    <w:autoRedefine/>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Normal"/>
    <w:autoRedefine/>
    <w:uiPriority w:val="1"/>
    <w:qFormat/>
    <w:pPr>
      <w:jc w:val="center"/>
    </w:pPr>
  </w:style>
  <w:style w:type="table" w:customStyle="1" w:styleId="TableNormal0">
    <w:name w:val="Table Normal_0"/>
    <w:autoRedefine/>
    <w:uiPriority w:val="2"/>
    <w:unhideWhenUsed/>
    <w:qFormat/>
    <w:tblPr>
      <w:tblCellMar>
        <w:top w:w="0" w:type="dxa"/>
        <w:left w:w="0" w:type="dxa"/>
        <w:bottom w:w="0" w:type="dxa"/>
        <w:right w:w="0" w:type="dxa"/>
      </w:tblCellMar>
    </w:tblPr>
  </w:style>
  <w:style w:type="paragraph" w:styleId="NoSpacing">
    <w:name w:val="No Spacing"/>
    <w:autoRedefine/>
    <w:uiPriority w:val="1"/>
    <w:qFormat/>
    <w:pPr>
      <w:widowControl w:val="0"/>
      <w:autoSpaceDE w:val="0"/>
      <w:autoSpaceDN w:val="0"/>
    </w:pPr>
    <w:rPr>
      <w:rFonts w:ascii="宋体" w:eastAsia="宋体" w:hAnsi="宋体" w:cs="宋体"/>
      <w:sz w:val="22"/>
      <w:szCs w:val="22"/>
      <w:lang w:val="en-US" w:eastAsia="en-US" w:bidi="ar-SA"/>
    </w:rPr>
  </w:style>
  <w:style w:type="paragraph" w:customStyle="1" w:styleId="a">
    <w:name w:val="表格"/>
    <w:basedOn w:val="Normal"/>
    <w:autoRedefine/>
    <w:qFormat/>
  </w:style>
  <w:style w:type="paragraph" w:customStyle="1" w:styleId="12">
    <w:name w:val="无间隔1"/>
    <w:autoRedefine/>
    <w:uiPriority w:val="1"/>
    <w:qFormat/>
    <w:rPr>
      <w:rFonts w:ascii="宋体" w:eastAsia="宋体" w:hAnsi="宋体" w:cs="宋体"/>
      <w:sz w:val="22"/>
      <w:szCs w:val="22"/>
      <w:lang w:val="en-US" w:eastAsia="en-US" w:bidi="ar-SA"/>
    </w:rPr>
  </w:style>
  <w:style w:type="table" w:customStyle="1" w:styleId="WSI-Table1">
    <w:name w:val="WSI - Table1"/>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paragraph" w:styleId="ListParagraph">
    <w:name w:val="List Paragraph"/>
    <w:basedOn w:val="Normal"/>
    <w:autoRedefine/>
    <w:uiPriority w:val="99"/>
    <w:qFormat/>
    <w:pPr>
      <w:ind w:firstLine="420" w:firstLineChars="200"/>
    </w:pPr>
  </w:style>
  <w:style w:type="paragraph" w:customStyle="1" w:styleId="Revision">
    <w:name w:val="Revision"/>
    <w:autoRedefine/>
    <w:hidden/>
    <w:uiPriority w:val="99"/>
    <w:semiHidden/>
    <w:qFormat/>
    <w:rPr>
      <w:rFonts w:ascii="Times New Roman" w:eastAsia="宋体" w:hAnsi="Times New Roman" w:cs="Times New Roman"/>
      <w:kern w:val="2"/>
      <w:sz w:val="21"/>
      <w:lang w:val="en-US" w:eastAsia="zh-CN" w:bidi="ar-SA"/>
    </w:rPr>
  </w:style>
  <w:style w:type="table" w:customStyle="1" w:styleId="TableNormal160">
    <w:name w:val="Table Normal16_0"/>
    <w:autoRedefine/>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WSI-Table10">
    <w:name w:val="WSI - Table1_0"/>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0">
    <w:name w:val="WSI - Table_0"/>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11">
    <w:name w:val="WSI - Table_1"/>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1">
    <w:name w:val="Table Normal16_1"/>
    <w:autoRedefine/>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yperlink" Target="https://d.book118.com/216231034054010044" TargetMode="External" /><Relationship Id="rId18" Type="http://schemas.openxmlformats.org/officeDocument/2006/relationships/header" Target="header12.xml"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2233</Words>
  <Characters>12733</Characters>
  <Application>Microsoft Office Word</Application>
  <DocSecurity>0</DocSecurity>
  <Lines>106</Lines>
  <Paragraphs>29</Paragraphs>
  <ScaleCrop>false</ScaleCrop>
  <Company>gdjssfdx</Company>
  <LinksUpToDate>false</LinksUpToDate>
  <CharactersWithSpaces>14937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liuchihui</dc:creator>
  <cp:lastModifiedBy>A01泰瑞信</cp:lastModifiedBy>
  <cp:revision>6</cp:revision>
  <cp:lastPrinted>2021-05-16T09:10:00Z</cp:lastPrinted>
  <dcterms:created xsi:type="dcterms:W3CDTF">2023-05-18T07:46:00Z</dcterms:created>
  <dcterms:modified xsi:type="dcterms:W3CDTF">2024-01-23T06:44:56Z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0A657BA8CF25460CA148211EDE66021E_13</vt:lpwstr>
  </property>
  <property fmtid="{D5CDD505-2E9C-101B-9397-08002B2CF9AE}" pid="3" name="KSOProductBuildVer">
    <vt:lpwstr>2052-12.1.0.16250</vt:lpwstr>
  </property>
</Properties>
</file>