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雄烯二酮战略市场规划报告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22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_Toc13222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2" w:history="1">
        <w:r>
          <w:rPr>
            <w:rFonts w:ascii="仿宋" w:eastAsia="仿宋" w:hAnsi="仿宋" w:cs="仿宋" w:hint="eastAsia"/>
            <w:lang w:val="en-GB"/>
          </w:rPr>
          <w:t>一、发展规划分析</w:t>
        </w:r>
        <w:r>
          <w:tab/>
        </w:r>
        <w:r>
          <w:fldChar w:fldCharType="begin"/>
        </w:r>
        <w:r>
          <w:instrText xml:space="preserve"> PAGEREF _Toc13982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9" w:history="1">
        <w:r>
          <w:rPr>
            <w:rFonts w:ascii="仿宋" w:eastAsia="仿宋" w:hAnsi="仿宋" w:cs="仿宋" w:hint="eastAsia"/>
            <w:lang w:val="en-GB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7" w:history="1">
        <w:r>
          <w:rPr>
            <w:rFonts w:ascii="仿宋" w:eastAsia="仿宋" w:hAnsi="仿宋" w:cs="仿宋" w:hint="eastAsia"/>
            <w:lang w:val="en-GB"/>
          </w:rPr>
          <w:t>(二)、保障措施</w:t>
        </w:r>
        <w:r>
          <w:tab/>
        </w:r>
        <w:r>
          <w:fldChar w:fldCharType="begin"/>
        </w:r>
        <w:r>
          <w:instrText xml:space="preserve"> PAGEREF _Toc6947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9" w:history="1">
        <w:r>
          <w:rPr>
            <w:rFonts w:ascii="仿宋" w:eastAsia="仿宋" w:hAnsi="仿宋" w:cs="仿宋" w:hint="eastAsia"/>
            <w:lang w:val="en-GB"/>
          </w:rPr>
          <w:t>二、雄烯二酮危机管理与应对策略</w:t>
        </w:r>
        <w:r>
          <w:tab/>
        </w:r>
        <w:r>
          <w:fldChar w:fldCharType="begin"/>
        </w:r>
        <w:r>
          <w:instrText xml:space="preserve"> PAGEREF _Toc11669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8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_Toc11668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3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_Toc8393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0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_Toc25090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1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_Toc12411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3" w:history="1">
        <w:r>
          <w:rPr>
            <w:rFonts w:ascii="仿宋" w:eastAsia="仿宋" w:hAnsi="仿宋" w:cs="仿宋" w:hint="eastAsia"/>
            <w:lang w:val="en-GB"/>
          </w:rPr>
          <w:t>三、员工培训与绩效提升</w:t>
        </w:r>
        <w:r>
          <w:tab/>
        </w:r>
        <w:r>
          <w:fldChar w:fldCharType="begin"/>
        </w:r>
        <w:r>
          <w:instrText xml:space="preserve"> PAGEREF _Toc9873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3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_Toc6143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4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_Toc8214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3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_Toc11353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7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_Toc11497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2" w:history="1">
        <w:r>
          <w:rPr>
            <w:rFonts w:ascii="仿宋" w:eastAsia="仿宋" w:hAnsi="仿宋" w:cs="仿宋" w:hint="eastAsia"/>
            <w:lang w:val="en-GB"/>
          </w:rPr>
          <w:t>四、公司简介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_Toc26357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_Toc2810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3" w:history="1">
        <w:r>
          <w:rPr>
            <w:rFonts w:ascii="仿宋" w:eastAsia="仿宋" w:hAnsi="仿宋" w:cs="仿宋" w:hint="eastAsia"/>
            <w:lang w:val="en-GB"/>
          </w:rPr>
          <w:t>五、SWOT分析说明</w:t>
        </w:r>
        <w:r>
          <w:tab/>
        </w:r>
        <w:r>
          <w:fldChar w:fldCharType="begin"/>
        </w:r>
        <w:r>
          <w:instrText xml:space="preserve"> PAGEREF _Toc26503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3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_Toc15933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5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_Toc25205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7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_Toc29807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3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_Toc7053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val="en-GB"/>
          </w:rPr>
          <w:t>六、雄烯二酮整合营销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7" w:history="1">
        <w:r>
          <w:rPr>
            <w:rFonts w:ascii="仿宋" w:eastAsia="仿宋" w:hAnsi="仿宋" w:cs="仿宋" w:hint="eastAsia"/>
            <w:lang w:val="en-GB"/>
          </w:rPr>
          <w:t>(一)、跨渠道整合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8" w:history="1">
        <w:r>
          <w:rPr>
            <w:rFonts w:ascii="仿宋" w:eastAsia="仿宋" w:hAnsi="仿宋" w:cs="仿宋" w:hint="eastAsia"/>
            <w:lang w:val="en-GB"/>
          </w:rPr>
          <w:t>(二)、品牌一体化</w:t>
        </w:r>
        <w:r>
          <w:tab/>
        </w:r>
        <w:r>
          <w:fldChar w:fldCharType="begin"/>
        </w:r>
        <w:r>
          <w:instrText xml:space="preserve"> PAGEREF _Toc14268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val="en-GB"/>
          </w:rPr>
          <w:t>(三)、数据整合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6" w:history="1">
        <w:r>
          <w:rPr>
            <w:rFonts w:ascii="仿宋" w:eastAsia="仿宋" w:hAnsi="仿宋" w:cs="仿宋" w:hint="eastAsia"/>
            <w:lang w:val="en-GB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_Toc30136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6" w:history="1">
        <w:r>
          <w:rPr>
            <w:rFonts w:ascii="仿宋" w:eastAsia="仿宋" w:hAnsi="仿宋" w:cs="仿宋" w:hint="eastAsia"/>
            <w:lang w:val="en-GB"/>
          </w:rPr>
          <w:t>七、雄烯二酮组织市场分析</w:t>
        </w:r>
        <w:r>
          <w:tab/>
        </w:r>
        <w:r>
          <w:fldChar w:fldCharType="begin"/>
        </w:r>
        <w:r>
          <w:instrText xml:space="preserve"> PAGEREF _Toc9666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7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_Toc11217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2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_Toc13842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6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_Toc25906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2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_Toc17562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val="en-GB"/>
          </w:rPr>
          <w:t>八、雄烯二酮市场地位与竞争战略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val="en-GB"/>
          </w:rPr>
          <w:t>(一)、公司市场地位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1" w:history="1">
        <w:r>
          <w:rPr>
            <w:rFonts w:ascii="仿宋" w:eastAsia="仿宋" w:hAnsi="仿宋" w:cs="仿宋" w:hint="eastAsia"/>
            <w:lang w:val="en-GB"/>
          </w:rPr>
          <w:t>(二)、竞争对手分析</w:t>
        </w:r>
        <w:r>
          <w:tab/>
        </w:r>
        <w:r>
          <w:fldChar w:fldCharType="begin"/>
        </w:r>
        <w:r>
          <w:instrText xml:space="preserve"> PAGEREF _Toc3401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val="en-GB"/>
          </w:rPr>
          <w:t>(三)、竞争战略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val="en-GB"/>
          </w:rPr>
          <w:t>(四)、市场定位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9" w:history="1">
        <w:r>
          <w:rPr>
            <w:rFonts w:ascii="仿宋" w:eastAsia="仿宋" w:hAnsi="仿宋" w:cs="仿宋" w:hint="eastAsia"/>
            <w:lang w:val="en-GB"/>
          </w:rPr>
          <w:t>九、市场趋势与消费者洞察</w:t>
        </w:r>
        <w:r>
          <w:tab/>
        </w:r>
        <w:r>
          <w:fldChar w:fldCharType="begin"/>
        </w:r>
        <w:r>
          <w:instrText xml:space="preserve"> PAGEREF _Toc26399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3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_Toc13273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06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_Toc11106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2" w:history="1">
        <w:r>
          <w:rPr>
            <w:rFonts w:ascii="仿宋" w:eastAsia="仿宋" w:hAnsi="仿宋" w:cs="仿宋" w:hint="eastAsia"/>
            <w:lang w:val="en-GB"/>
          </w:rPr>
          <w:t>十、雄烯二酮新型运营方式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5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_Toc15855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2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_Toc3602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1" w:history="1">
        <w:r>
          <w:rPr>
            <w:rFonts w:ascii="仿宋" w:eastAsia="仿宋" w:hAnsi="仿宋" w:cs="仿宋" w:hint="eastAsia"/>
            <w:lang w:val="en-GB"/>
          </w:rPr>
          <w:t>十一、雄烯二酮行业发展方向</w:t>
        </w:r>
        <w:r>
          <w:tab/>
        </w:r>
        <w:r>
          <w:fldChar w:fldCharType="begin"/>
        </w:r>
        <w:r>
          <w:instrText xml:space="preserve"> PAGEREF _Toc25531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8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_Toc10348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val="en-GB"/>
          </w:rPr>
          <w:t>(三)、雄烯二酮行业生态系统构建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val="en-GB"/>
          </w:rPr>
          <w:t>十二、雄烯二酮人才战略与团队建设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3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_Toc5033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5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_Toc13965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_Toc606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1" w:history="1">
        <w:r>
          <w:rPr>
            <w:rFonts w:ascii="仿宋" w:eastAsia="仿宋" w:hAnsi="仿宋" w:cs="仿宋" w:hint="eastAsia"/>
            <w:lang w:val="en-GB"/>
          </w:rPr>
          <w:t>十三、雄烯二酮可持续发展战略</w:t>
        </w:r>
        <w:r>
          <w:tab/>
        </w:r>
        <w:r>
          <w:fldChar w:fldCharType="begin"/>
        </w:r>
        <w:r>
          <w:instrText xml:space="preserve"> PAGEREF _Toc15711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2" w:history="1">
        <w:r>
          <w:rPr>
            <w:rFonts w:ascii="仿宋" w:eastAsia="仿宋" w:hAnsi="仿宋" w:cs="仿宋" w:hint="eastAsia"/>
            <w:lang w:val="en-GB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_Toc15662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2" w:history="1">
        <w:r>
          <w:rPr>
            <w:rFonts w:ascii="仿宋" w:eastAsia="仿宋" w:hAnsi="仿宋" w:cs="仿宋" w:hint="eastAsia"/>
            <w:lang w:val="en-GB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_Toc18112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9" w:history="1">
        <w:r>
          <w:rPr>
            <w:rFonts w:ascii="仿宋" w:eastAsia="仿宋" w:hAnsi="仿宋" w:cs="仿宋" w:hint="eastAsia"/>
            <w:lang w:val="en-GB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_Toc31929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val="en-GB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9" w:history="1">
        <w:r>
          <w:rPr>
            <w:rFonts w:ascii="仿宋" w:eastAsia="仿宋" w:hAnsi="仿宋" w:cs="仿宋" w:hint="eastAsia"/>
            <w:lang w:val="en-GB"/>
          </w:rPr>
          <w:t>十四、雄烯二酮数字化发展方案</w:t>
        </w:r>
        <w:r>
          <w:tab/>
        </w:r>
        <w:r>
          <w:fldChar w:fldCharType="begin"/>
        </w:r>
        <w:r>
          <w:instrText xml:space="preserve"> PAGEREF _Toc8559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3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_Toc23753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6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_Toc10106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5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_Toc29465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6" w:history="1">
        <w:r>
          <w:rPr>
            <w:rFonts w:ascii="仿宋" w:eastAsia="仿宋" w:hAnsi="仿宋" w:cs="仿宋" w:hint="eastAsia"/>
            <w:lang w:val="en-GB"/>
          </w:rPr>
          <w:t>十五、雄烯二酮风险管理与合规</w:t>
        </w:r>
        <w:r>
          <w:tab/>
        </w:r>
        <w:r>
          <w:fldChar w:fldCharType="begin"/>
        </w:r>
        <w:r>
          <w:instrText xml:space="preserve"> PAGEREF _Toc13996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6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_Toc28706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_Toc2673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5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_Toc28835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4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_Toc17184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6" w:history="1">
        <w:r>
          <w:rPr>
            <w:rFonts w:ascii="仿宋" w:eastAsia="仿宋" w:hAnsi="仿宋" w:cs="仿宋" w:hint="eastAsia"/>
            <w:lang w:val="en-GB"/>
          </w:rPr>
          <w:t>十六、市场营销与销售策略</w:t>
        </w:r>
        <w:r>
          <w:tab/>
        </w:r>
        <w:r>
          <w:fldChar w:fldCharType="begin"/>
        </w:r>
        <w:r>
          <w:instrText xml:space="preserve"> PAGEREF _Toc3866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2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_Toc10442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0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_Toc19220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4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_Toc7574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13222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雄烯二酮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13982"/>
      <w:r>
        <w:rPr>
          <w:rFonts w:ascii="仿宋" w:eastAsia="仿宋" w:hAnsi="仿宋" w:cs="仿宋" w:hint="eastAsia"/>
          <w:sz w:val="28"/>
          <w:lang w:val="en-GB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20649"/>
      <w:r>
        <w:rPr>
          <w:rFonts w:ascii="仿宋" w:eastAsia="仿宋" w:hAnsi="仿宋" w:cs="仿宋" w:hint="eastAsia"/>
          <w:lang w:val="en-GB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未来公司的管理面临着巨大的挑战，随着资产、业务、人员、资金等各方面规模的显著增长，管理水平将面对更加复杂的情景。为适应这一变革，公司计划采取一系列措施，以提升管理水平和应对能力。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首先，公司将根据未来几年的发展规划，着重加强组织结构和管理体系的建设。在业务规模迅速扩大的情况下，将进行全面的战略规划、组织设计和资源配置，以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其次，为满足发展规划的资金需求，公司将采取多元化的融资方式。通过灵活运用银行贷款、配股、增发和发行可转换债券等手段，公司将优化资本结构，确保融资方案的合理性和可行性。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人才方面，公司将加大引进和培养优秀人才的力度。通过增加对人才的资金投入、建立激励机制等手段，确保雄烯二酮公司拥有具备实际经验和专业素养的高端人才。同时，公司将加强员工培训，培养出一支业务强、素质高的团队，以适应未来业务的拓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另外，公司将严格遵守法律法规，规范公司的运作。不仅将持续完善法人治理结构，更将加强内部决策程序和内部控制制度，以确保决策的科学性和透明度。公司还计划逐步建立完善的激励机制，包括直接物质奖励、职业生涯规划、长期股权激励等，以提高员工的积极性和创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在公司的运作中，持续改进管理机制，调整组织结构，以适应客观条件和业务变化，促进公司的机制创新。通过以上措施，公司将更好地适应未来的发展，实现可持续的经济效益和企业价值的提升。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6947"/>
      <w:r>
        <w:rPr>
          <w:rFonts w:ascii="仿宋" w:eastAsia="仿宋" w:hAnsi="仿宋" w:cs="仿宋" w:hint="eastAsia"/>
          <w:sz w:val="28"/>
          <w:lang w:val="en-GB"/>
        </w:rPr>
        <w:t>(二)、保障措施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(一) 优化产业发展环境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鼓励企业积极履行社会责任，确保市场秩序的规范和有序。倡导深化混合所有制经济，积极培育和支持民营经济，以提升市场主体的活力和竞争力。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(二) 开展宣传推广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多种渠道深入宣传产业现代化的经济社会环境效益，广泛传播产业相关知识，提高社会对产业现代化的认知和认可度。营造共同关注和支持产业现代化发展的良好氛围，促进产业现代化的持续、稳定、健康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(三) 提升创新能力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引导企业与雄烯二酮行业科研机构密切合作，强化与产业研究院、高校以及雄烯二酮行业龙头企业研发中心的联系，共同解决企业技术和发展中的难题。加大对雄烯二酮行业人才引进和培养的力度，对领军人才、创新团队和高级管理人才给予优先支持。鼓励企业增加研发投入，建立各类技术创新平台，并积极申报或与科研院所及高校共建研发机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(四) 增加资金投入，加大政策激励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完善财政支持政策，整合专项资金，进一步加大对产业发展的财政投入，重点支持产业集中示范雄烯二酮项目的实施。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(五) 推动区域交流合作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通过园区共建、技术合作、资本合作和贸易换资源等多种方式，加强与沿线国家的贸易合作。加强同区域内优势产业的合作，重点在关键领域实现合作突破，取得积极成效。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(六) 加大政策扶持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强化财税、金融、贸易等政策与产业政策的对接，实施银企对接和产融合作政策，重点支持企业在核心技术、专有技术、高端新品等方面的开发。提升企业自主创新能力，增强竞争力，支持区域产业提升竞争力，并制定相应的支持产业发展政策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11669"/>
      <w:r>
        <w:rPr>
          <w:rFonts w:ascii="仿宋" w:eastAsia="仿宋" w:hAnsi="仿宋" w:cs="仿宋" w:hint="eastAsia"/>
          <w:sz w:val="28"/>
          <w:lang w:val="en-GB"/>
        </w:rPr>
        <w:t>二、雄烯二酮危机管理与应对策略</w:t>
      </w:r>
      <w:bookmarkEnd w:id="5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6" w:name="_Toc11668"/>
      <w:r>
        <w:rPr>
          <w:rFonts w:ascii="仿宋" w:eastAsia="仿宋" w:hAnsi="仿宋" w:cs="仿宋" w:hint="eastAsia"/>
          <w:lang w:val="en-GB"/>
        </w:rPr>
        <w:t>(一)、危机预警与应急计划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一、危机预警与监测体系的建立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应对复杂多变的商业环境，公司决定构建一套健全且高效的危机预警体系。此体系不仅将实时监测市场动态，还将深入分析经济环境和政策变化等多个层面，旨在及时发现并应对可能对公司经营产生负面影响的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市场监测方面，公司将充分利用现代信息技术和数据分析工具，通过社交媒体分析、消费者调查以及竞争对手行为追踪等手段，全面把握市场脉搏。此外，公司还将密切关注国内外经济趋势、汇率波动等宏观经济因素，以及与公司业务相关的政策法规变化，确保公司经营策略与外部环境的动态变化保持同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实现这一目标，公司将建立一支专业的危机预警团队，负责数据的收集、整理和分析工作。该团队将与公司的其他部门紧密合作，确保信息的及时传递和有效应用。同时，公司将定期对预警系统进行评估和优化，以提高其准确性和有效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二、应急计划的制定与执行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在危机预警体系的基础上，公司决定制定一套详尽的应急计划。该计划将明确各部门的职责和应对步骤，确保在危机爆发时能够迅速做出反应，最大限度地减少损失。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https://d.book118.com/217062134035006033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雄烯二酮战略市场规划报告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雄烯二酮战略市场规划报告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雄烯二酮战略市场规划报告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雄烯二酮战略市场规划报告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雄烯二酮战略市场规划报告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雄烯二酮战略市场规划报告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雄烯二酮战略市场规划报告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310CDF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2B310CDF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7062134035006033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2024-01-09T12:03:00Z</dcterms:created>
  <dcterms:modified xsi:type="dcterms:W3CDTF">2024-01-09T12:03:27Z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C9CAF91947944170931A9C283F13E7A2_11</vt:lpwstr>
  </property>
  <property fmtid="{D5CDD505-2E9C-101B-9397-08002B2CF9AE}" pid="3" name="KSOProductBuildVer">
    <vt:lpwstr>2052-12.1.0.16120</vt:lpwstr>
  </property>
</Properties>
</file>