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2" w:line="344" w:lineRule="auto"/>
        <w:ind w:left="1911" w:right="53" w:firstLine="5790"/>
        <w:outlineLvl w:val="0"/>
        <w:rPr>
          <w:rFonts w:ascii="SimHei" w:eastAsia="SimHei" w:hAnsi="SimHei" w:cs="SimHei"/>
          <w:sz w:val="31"/>
          <w:szCs w:val="31"/>
        </w:rPr>
      </w:pPr>
      <w:r>
        <w:rPr>
          <w:rFonts w:ascii="SimHei" w:eastAsia="SimHei" w:hAnsi="SimHei" w:cs="SimHei"/>
        </w:rPr>
        <w:t>GB</w:t>
      </w:r>
      <w:r>
        <w:rPr>
          <w:rFonts w:ascii="SimHei" w:eastAsia="SimHei" w:hAnsi="SimHei" w:cs="SimHei"/>
          <w:spacing w:val="24"/>
        </w:rPr>
        <w:t>/</w:t>
      </w:r>
      <w:r>
        <w:rPr>
          <w:rFonts w:ascii="SimHei" w:eastAsia="SimHei" w:hAnsi="SimHei" w:cs="SimHei"/>
        </w:rPr>
        <w:t>T</w:t>
      </w:r>
      <w:r>
        <w:rPr>
          <w:rFonts w:ascii="SimHei" w:eastAsia="SimHei" w:hAnsi="SimHei" w:cs="SimHei"/>
          <w:spacing w:val="24"/>
        </w:rPr>
        <w:t xml:space="preserve"> </w:t>
      </w:r>
      <w:r>
        <w:rPr>
          <w:rFonts w:ascii="SimHei" w:eastAsia="SimHei" w:hAnsi="SimHei" w:cs="SimHei"/>
        </w:rPr>
        <w:t>XXXXX</w:t>
      </w:r>
      <w:r>
        <w:rPr>
          <w:spacing w:val="24"/>
        </w:rPr>
        <w:t>—</w:t>
      </w:r>
      <w:r>
        <w:rPr>
          <w:rFonts w:ascii="SimHei" w:eastAsia="SimHei" w:hAnsi="SimHei" w:cs="SimHei"/>
        </w:rPr>
        <w:t>XXXX</w:t>
      </w:r>
      <w:r>
        <w:rPr>
          <w:rFonts w:ascii="SimHei" w:eastAsia="SimHei" w:hAnsi="SimHei" w:cs="SimHei"/>
        </w:rPr>
        <w:t xml:space="preserve"> </w:t>
      </w:r>
      <w:r>
        <w:rPr>
          <w:rFonts w:ascii="SimHei" w:eastAsia="SimHei" w:hAnsi="SimHei" w:cs="SimHei"/>
          <w:spacing w:val="8"/>
          <w:sz w:val="31"/>
          <w:szCs w:val="31"/>
        </w:rPr>
        <w:t>农业社会化服务</w:t>
      </w:r>
      <w:r>
        <w:rPr>
          <w:rFonts w:ascii="SimHei" w:eastAsia="SimHei" w:hAnsi="SimHei" w:cs="SimHei"/>
          <w:spacing w:val="8"/>
          <w:sz w:val="31"/>
          <w:szCs w:val="31"/>
        </w:rPr>
        <w:t xml:space="preserve"> </w:t>
      </w:r>
      <w:r>
        <w:rPr>
          <w:rFonts w:ascii="SimHei" w:eastAsia="SimHei" w:hAnsi="SimHei" w:cs="SimHei"/>
          <w:spacing w:val="8"/>
          <w:sz w:val="31"/>
          <w:szCs w:val="31"/>
        </w:rPr>
        <w:t>土地托管服务评价准则</w:t>
      </w:r>
    </w:p>
    <w:p>
      <w:pPr>
        <w:spacing w:line="321" w:lineRule="auto"/>
        <w:rPr>
          <w:rFonts w:ascii="Arial"/>
          <w:sz w:val="21"/>
        </w:rPr>
      </w:pPr>
    </w:p>
    <w:p>
      <w:pPr>
        <w:spacing w:line="321" w:lineRule="auto"/>
        <w:rPr>
          <w:rFonts w:ascii="Arial"/>
          <w:sz w:val="21"/>
        </w:rPr>
      </w:pPr>
    </w:p>
    <w:p>
      <w:pPr>
        <w:spacing w:before="65" w:line="231" w:lineRule="auto"/>
        <w:ind w:left="41"/>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spacing w:line="394" w:lineRule="auto"/>
        <w:rPr>
          <w:rFonts w:ascii="Arial"/>
          <w:sz w:val="21"/>
        </w:rPr>
      </w:pPr>
    </w:p>
    <w:p>
      <w:pPr>
        <w:pStyle w:val="BodyText"/>
        <w:spacing w:before="65" w:line="226" w:lineRule="auto"/>
        <w:ind w:left="451"/>
      </w:pPr>
      <w:r>
        <w:rPr>
          <w:spacing w:val="8"/>
        </w:rPr>
        <w:t>本文件规定了土地托管服务评价总则、评价</w:t>
      </w:r>
      <w:r>
        <w:rPr>
          <w:spacing w:val="7"/>
        </w:rPr>
        <w:t>内容、评价程序、评价方法及评价报告与成果要求等内</w:t>
      </w:r>
    </w:p>
    <w:p>
      <w:pPr>
        <w:pStyle w:val="BodyText"/>
        <w:spacing w:before="153" w:line="228" w:lineRule="auto"/>
        <w:ind w:left="33"/>
      </w:pPr>
      <w:r>
        <w:rPr>
          <w:spacing w:val="-1"/>
        </w:rPr>
        <w:t>容。</w:t>
      </w:r>
    </w:p>
    <w:p>
      <w:pPr>
        <w:pStyle w:val="BodyText"/>
        <w:spacing w:before="64" w:line="624" w:lineRule="exact"/>
        <w:ind w:left="451"/>
      </w:pPr>
      <w:r>
        <w:rPr>
          <w:spacing w:val="8"/>
          <w:position w:val="32"/>
        </w:rPr>
        <w:t>本文件适用于土地托管服务的质量评价。</w:t>
      </w:r>
    </w:p>
    <w:p>
      <w:pPr>
        <w:spacing w:before="1" w:line="229" w:lineRule="auto"/>
        <w:ind w:left="29"/>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7" w:lineRule="auto"/>
        <w:rPr>
          <w:rFonts w:ascii="Arial"/>
          <w:sz w:val="21"/>
        </w:rPr>
      </w:pPr>
    </w:p>
    <w:p>
      <w:pPr>
        <w:pStyle w:val="BodyText"/>
        <w:spacing w:before="66" w:line="268" w:lineRule="auto"/>
        <w:ind w:left="29" w:firstLine="428"/>
      </w:pPr>
      <w:r>
        <w:rPr>
          <w:spacing w:val="4"/>
        </w:rPr>
        <w:t>下列文件中的内容通过文中的规范性引用而构成本文件必不可少的条款。其中，注日期的</w:t>
      </w:r>
      <w:r>
        <w:rPr>
          <w:spacing w:val="3"/>
        </w:rPr>
        <w:t>引用文件，</w:t>
      </w:r>
      <w:r>
        <w:t xml:space="preserve"> </w:t>
      </w:r>
      <w:r>
        <w:rPr>
          <w:spacing w:val="8"/>
        </w:rPr>
        <w:t>仅该日期对应的版本适用于本文件；不注日期的引用文件，其最</w:t>
      </w:r>
      <w:r>
        <w:rPr>
          <w:spacing w:val="7"/>
        </w:rPr>
        <w:t>新版本（包括所有的修改单）适用于本</w:t>
      </w:r>
      <w:r>
        <w:t xml:space="preserve"> </w:t>
      </w:r>
      <w:r>
        <w:rPr>
          <w:spacing w:val="3"/>
        </w:rPr>
        <w:t>文件。</w:t>
      </w:r>
    </w:p>
    <w:p>
      <w:pPr>
        <w:pStyle w:val="BodyText"/>
        <w:spacing w:before="65" w:line="228" w:lineRule="auto"/>
        <w:ind w:left="448"/>
      </w:pPr>
      <w:r>
        <w:t>GB</w:t>
      </w:r>
      <w:r>
        <w:rPr>
          <w:spacing w:val="7"/>
        </w:rPr>
        <w:t xml:space="preserve"> 5084   农田灌溉水质标准</w:t>
      </w:r>
    </w:p>
    <w:p>
      <w:pPr>
        <w:pStyle w:val="BodyText"/>
        <w:spacing w:before="65" w:line="228" w:lineRule="auto"/>
        <w:ind w:left="448"/>
      </w:pPr>
      <w:r>
        <w:t>GB</w:t>
      </w:r>
      <w:r>
        <w:rPr>
          <w:spacing w:val="8"/>
        </w:rPr>
        <w:t xml:space="preserve"> 15618   土壤环境质量标准 农用地土壤污染风险管控标准</w:t>
      </w:r>
    </w:p>
    <w:p>
      <w:pPr>
        <w:pStyle w:val="BodyText"/>
        <w:spacing w:before="65" w:line="227" w:lineRule="auto"/>
        <w:ind w:left="448"/>
      </w:pPr>
      <w:r>
        <w:t>GB</w:t>
      </w:r>
      <w:r>
        <w:rPr>
          <w:spacing w:val="34"/>
        </w:rPr>
        <w:t xml:space="preserve"> </w:t>
      </w:r>
      <w:r>
        <w:rPr>
          <w:spacing w:val="6"/>
        </w:rPr>
        <w:t>18382   肥料标识内容和要求</w:t>
      </w:r>
    </w:p>
    <w:p>
      <w:pPr>
        <w:pStyle w:val="BodyText"/>
        <w:spacing w:before="66" w:line="227" w:lineRule="auto"/>
        <w:ind w:left="448"/>
      </w:pPr>
      <w:r>
        <w:t>GB</w:t>
      </w:r>
      <w:r>
        <w:rPr>
          <w:spacing w:val="7"/>
        </w:rPr>
        <w:t>/T 29890   粮油储藏技术规范</w:t>
      </w:r>
    </w:p>
    <w:p>
      <w:pPr>
        <w:pStyle w:val="BodyText"/>
        <w:spacing w:before="66" w:line="227" w:lineRule="auto"/>
        <w:ind w:left="448"/>
      </w:pPr>
      <w:r>
        <w:t>GB</w:t>
      </w:r>
      <w:r>
        <w:rPr>
          <w:spacing w:val="8"/>
        </w:rPr>
        <w:t>/T 32980   农业社会化服务 农作物病虫害防治服务质量要求</w:t>
      </w:r>
    </w:p>
    <w:p>
      <w:pPr>
        <w:pStyle w:val="BodyText"/>
        <w:spacing w:before="67" w:line="226" w:lineRule="auto"/>
        <w:ind w:left="448"/>
      </w:pPr>
      <w:r>
        <w:t>GB</w:t>
      </w:r>
      <w:r>
        <w:rPr>
          <w:spacing w:val="7"/>
        </w:rPr>
        <w:t>/T 33130   高标准农田建设评价规范</w:t>
      </w:r>
    </w:p>
    <w:p>
      <w:pPr>
        <w:pStyle w:val="BodyText"/>
        <w:spacing w:before="67" w:line="226" w:lineRule="auto"/>
        <w:ind w:left="448"/>
      </w:pPr>
      <w:r>
        <w:t>GB</w:t>
      </w:r>
      <w:r>
        <w:rPr>
          <w:spacing w:val="8"/>
        </w:rPr>
        <w:t>/T 33311   农业社会化服务 农作物病虫害防治服务质量评价</w:t>
      </w:r>
    </w:p>
    <w:p>
      <w:pPr>
        <w:pStyle w:val="BodyText"/>
        <w:spacing w:before="67" w:line="227" w:lineRule="auto"/>
        <w:ind w:left="448"/>
      </w:pPr>
      <w:r>
        <w:t>GB</w:t>
      </w:r>
      <w:r>
        <w:rPr>
          <w:spacing w:val="8"/>
        </w:rPr>
        <w:t>/T 34802   农业社会化服务 土地托</w:t>
      </w:r>
      <w:r>
        <w:rPr>
          <w:spacing w:val="7"/>
        </w:rPr>
        <w:t>管服务规范</w:t>
      </w:r>
    </w:p>
    <w:p>
      <w:pPr>
        <w:pStyle w:val="BodyText"/>
        <w:spacing w:before="66" w:line="226" w:lineRule="auto"/>
        <w:ind w:left="444"/>
      </w:pPr>
      <w:r>
        <w:t>NY</w:t>
      </w:r>
      <w:r>
        <w:rPr>
          <w:spacing w:val="8"/>
        </w:rPr>
        <w:t>/T 2090   谷物联合收割机 质量评价技术规范</w:t>
      </w:r>
    </w:p>
    <w:p>
      <w:pPr>
        <w:pStyle w:val="BodyText"/>
        <w:spacing w:before="67" w:line="227" w:lineRule="auto"/>
        <w:ind w:left="444"/>
      </w:pPr>
      <w:r>
        <w:t>NY</w:t>
      </w:r>
      <w:r>
        <w:rPr>
          <w:spacing w:val="7"/>
        </w:rPr>
        <w:t>/T 2911   测土配方施肥技术规程</w:t>
      </w:r>
    </w:p>
    <w:p>
      <w:pPr>
        <w:spacing w:line="310" w:lineRule="auto"/>
        <w:rPr>
          <w:rFonts w:ascii="Arial"/>
          <w:sz w:val="21"/>
        </w:rPr>
      </w:pPr>
    </w:p>
    <w:p>
      <w:pPr>
        <w:spacing w:before="66" w:line="231" w:lineRule="auto"/>
        <w:ind w:left="30"/>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line="307" w:lineRule="auto"/>
        <w:rPr>
          <w:rFonts w:ascii="Arial"/>
          <w:sz w:val="21"/>
        </w:rPr>
      </w:pPr>
    </w:p>
    <w:p>
      <w:pPr>
        <w:pStyle w:val="BodyText"/>
        <w:spacing w:before="65" w:line="227" w:lineRule="auto"/>
        <w:ind w:left="448"/>
      </w:pPr>
      <w:r>
        <w:t>GB</w:t>
      </w:r>
      <w:r>
        <w:rPr>
          <w:spacing w:val="8"/>
        </w:rPr>
        <w:t>/T 34802-2017界定的以及下列术</w:t>
      </w:r>
      <w:r>
        <w:rPr>
          <w:spacing w:val="7"/>
        </w:rPr>
        <w:t>语和定义适用于本文件。</w:t>
      </w:r>
    </w:p>
    <w:p>
      <w:pPr>
        <w:spacing w:before="231" w:line="197" w:lineRule="exact"/>
      </w:pPr>
      <w:r>
        <w:rPr>
          <w:position w:val="-3"/>
        </w:rPr>
        <w:drawing>
          <wp:inline distT="0" distB="0" distL="0" distR="0">
            <wp:extent cx="204190" cy="12490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04190" cy="124904"/>
                    </a:xfrm>
                    <a:prstGeom prst="rect">
                      <a:avLst/>
                    </a:prstGeom>
                  </pic:spPr>
                </pic:pic>
              </a:graphicData>
            </a:graphic>
          </wp:inline>
        </w:drawing>
      </w:r>
    </w:p>
    <w:p>
      <w:pPr>
        <w:spacing w:before="263" w:line="226" w:lineRule="auto"/>
        <w:ind w:left="450"/>
        <w:rPr>
          <w:rFonts w:ascii="SimHei" w:eastAsia="SimHei" w:hAnsi="SimHei" w:cs="SimHei"/>
          <w:sz w:val="20"/>
          <w:szCs w:val="20"/>
        </w:rPr>
      </w:pPr>
      <w:r>
        <w:rPr>
          <w:rFonts w:ascii="SimHei" w:eastAsia="SimHei" w:hAnsi="SimHei" w:cs="SimHei"/>
          <w:spacing w:val="13"/>
          <w:sz w:val="20"/>
          <w:szCs w:val="20"/>
        </w:rPr>
        <w:t>土地托管服务</w:t>
      </w:r>
      <w:r>
        <w:rPr>
          <w:rFonts w:ascii="SimHei" w:eastAsia="SimHei" w:hAnsi="SimHei" w:cs="SimHei"/>
          <w:spacing w:val="28"/>
          <w:sz w:val="20"/>
          <w:szCs w:val="20"/>
        </w:rPr>
        <w:t xml:space="preserve">  </w:t>
      </w:r>
      <w:r>
        <w:rPr>
          <w:rFonts w:ascii="SimHei" w:eastAsia="SimHei" w:hAnsi="SimHei" w:cs="SimHei"/>
          <w:sz w:val="20"/>
          <w:szCs w:val="20"/>
        </w:rPr>
        <w:t>land</w:t>
      </w:r>
      <w:r>
        <w:rPr>
          <w:rFonts w:ascii="SimHei" w:eastAsia="SimHei" w:hAnsi="SimHei" w:cs="SimHei"/>
          <w:spacing w:val="13"/>
          <w:sz w:val="20"/>
          <w:szCs w:val="20"/>
        </w:rPr>
        <w:t xml:space="preserve"> </w:t>
      </w:r>
      <w:r>
        <w:rPr>
          <w:rFonts w:ascii="SimHei" w:eastAsia="SimHei" w:hAnsi="SimHei" w:cs="SimHei"/>
          <w:sz w:val="20"/>
          <w:szCs w:val="20"/>
        </w:rPr>
        <w:t>hosting</w:t>
      </w:r>
      <w:r>
        <w:rPr>
          <w:rFonts w:ascii="SimHei" w:eastAsia="SimHei" w:hAnsi="SimHei" w:cs="SimHei"/>
          <w:spacing w:val="13"/>
          <w:sz w:val="20"/>
          <w:szCs w:val="20"/>
        </w:rPr>
        <w:t xml:space="preserve"> </w:t>
      </w:r>
      <w:r>
        <w:rPr>
          <w:rFonts w:ascii="SimHei" w:eastAsia="SimHei" w:hAnsi="SimHei" w:cs="SimHei"/>
          <w:sz w:val="20"/>
          <w:szCs w:val="20"/>
        </w:rPr>
        <w:t>service</w:t>
      </w:r>
    </w:p>
    <w:p>
      <w:pPr>
        <w:pStyle w:val="BodyText"/>
        <w:spacing w:before="223" w:line="257" w:lineRule="auto"/>
        <w:ind w:left="29" w:right="56" w:firstLine="425"/>
        <w:sectPr>
          <w:footerReference w:type="default" r:id="rId5"/>
          <w:pgSz w:w="11906" w:h="16839"/>
          <w:pgMar w:top="1406" w:right="1080" w:bottom="1313" w:left="1395" w:header="0" w:footer="1134" w:gutter="0"/>
          <w:cols w:space="708"/>
        </w:sectPr>
      </w:pPr>
      <w:r>
        <w:rPr>
          <w:spacing w:val="7"/>
        </w:rPr>
        <w:t>具备一定条件的农业社会化服务组织受托为农户、合作社、家庭农场、涉农企业等经营主体从事农</w:t>
      </w:r>
      <w:r>
        <w:rPr>
          <w:spacing w:val="16"/>
        </w:rPr>
        <w:t xml:space="preserve"> </w:t>
      </w:r>
      <w:r>
        <w:rPr>
          <w:spacing w:val="9"/>
        </w:rPr>
        <w:t>业生产经营活动提供的包括耕、种、管、收、储、售的服务。</w:t>
      </w:r>
    </w:p>
    <w:p>
      <w:pPr>
        <w:pStyle w:val="BodyText"/>
        <w:spacing w:before="66" w:line="228" w:lineRule="auto"/>
        <w:ind w:left="483"/>
      </w:pPr>
      <w:r>
        <w:rPr>
          <w:spacing w:val="4"/>
        </w:rPr>
        <w:t>[来源：</w:t>
      </w:r>
      <w:r>
        <w:t>GB</w:t>
      </w:r>
      <w:r>
        <w:rPr>
          <w:spacing w:val="4"/>
        </w:rPr>
        <w:t>/T 34802-2017，3.1]</w:t>
      </w:r>
    </w:p>
    <w:p>
      <w:pPr>
        <w:spacing w:before="230" w:line="197" w:lineRule="exact"/>
      </w:pPr>
      <w:r>
        <w:rPr>
          <w:position w:val="-3"/>
        </w:rPr>
        <w:drawing>
          <wp:inline distT="0" distB="0" distL="0" distR="0">
            <wp:extent cx="222542" cy="12534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222542" cy="125348"/>
                    </a:xfrm>
                    <a:prstGeom prst="rect">
                      <a:avLst/>
                    </a:prstGeom>
                  </pic:spPr>
                </pic:pic>
              </a:graphicData>
            </a:graphic>
          </wp:inline>
        </w:drawing>
      </w:r>
    </w:p>
    <w:p>
      <w:pPr>
        <w:spacing w:before="263" w:line="226" w:lineRule="auto"/>
        <w:ind w:left="450"/>
        <w:rPr>
          <w:rFonts w:ascii="SimHei" w:eastAsia="SimHei" w:hAnsi="SimHei" w:cs="SimHei"/>
          <w:sz w:val="20"/>
          <w:szCs w:val="20"/>
        </w:rPr>
      </w:pPr>
      <w:r>
        <w:rPr>
          <w:rFonts w:ascii="SimHei" w:eastAsia="SimHei" w:hAnsi="SimHei" w:cs="SimHei"/>
          <w:spacing w:val="20"/>
          <w:sz w:val="20"/>
          <w:szCs w:val="20"/>
        </w:rPr>
        <w:t>过程质量</w:t>
      </w:r>
      <w:r>
        <w:rPr>
          <w:rFonts w:ascii="SimHei" w:eastAsia="SimHei" w:hAnsi="SimHei" w:cs="SimHei"/>
          <w:spacing w:val="20"/>
          <w:sz w:val="20"/>
          <w:szCs w:val="20"/>
        </w:rPr>
        <w:t xml:space="preserve"> </w:t>
      </w:r>
      <w:r>
        <w:rPr>
          <w:rFonts w:ascii="SimHei" w:eastAsia="SimHei" w:hAnsi="SimHei" w:cs="SimHei"/>
          <w:sz w:val="20"/>
          <w:szCs w:val="20"/>
        </w:rPr>
        <w:t>process</w:t>
      </w:r>
      <w:r>
        <w:rPr>
          <w:rFonts w:ascii="SimHei" w:eastAsia="SimHei" w:hAnsi="SimHei" w:cs="SimHei"/>
          <w:spacing w:val="12"/>
          <w:sz w:val="20"/>
          <w:szCs w:val="20"/>
        </w:rPr>
        <w:t xml:space="preserve"> </w:t>
      </w:r>
      <w:r>
        <w:rPr>
          <w:rFonts w:ascii="SimHei" w:eastAsia="SimHei" w:hAnsi="SimHei" w:cs="SimHei"/>
          <w:sz w:val="20"/>
          <w:szCs w:val="20"/>
        </w:rPr>
        <w:t>quality</w:t>
      </w:r>
    </w:p>
    <w:p>
      <w:pPr>
        <w:pStyle w:val="BodyText"/>
        <w:spacing w:before="222" w:line="258" w:lineRule="auto"/>
        <w:ind w:left="30" w:right="57" w:firstLine="420"/>
      </w:pPr>
      <w:r>
        <w:rPr>
          <w:spacing w:val="8"/>
        </w:rPr>
        <w:t>服务组织在对委托方土地进行耕、种、管、收</w:t>
      </w:r>
      <w:r>
        <w:rPr>
          <w:spacing w:val="7"/>
        </w:rPr>
        <w:t>、储、售等服务过程中的管理水平和对技术环节的把</w:t>
      </w:r>
      <w:r>
        <w:t xml:space="preserve"> </w:t>
      </w:r>
      <w:r>
        <w:rPr>
          <w:spacing w:val="5"/>
        </w:rPr>
        <w:t>握水平。</w:t>
      </w:r>
    </w:p>
    <w:p>
      <w:pPr>
        <w:spacing w:before="231" w:line="196" w:lineRule="exact"/>
      </w:pPr>
      <w:r>
        <w:rPr>
          <w:position w:val="-3"/>
        </w:rPr>
        <w:drawing>
          <wp:inline distT="0" distB="0" distL="0" distR="0">
            <wp:extent cx="222605" cy="12490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222605" cy="124904"/>
                    </a:xfrm>
                    <a:prstGeom prst="rect">
                      <a:avLst/>
                    </a:prstGeom>
                  </pic:spPr>
                </pic:pic>
              </a:graphicData>
            </a:graphic>
          </wp:inline>
        </w:drawing>
      </w:r>
    </w:p>
    <w:p>
      <w:pPr>
        <w:spacing w:line="196" w:lineRule="exact"/>
        <w:sectPr>
          <w:footerReference w:type="default" r:id="rId8"/>
          <w:type w:val="nextPage"/>
          <w:pgSz w:w="11906" w:h="16839"/>
          <w:pgMar w:top="1406" w:right="1080" w:bottom="1313" w:left="1395" w:header="0" w:footer="1134" w:gutter="0"/>
          <w:pgNumType w:start="2"/>
          <w:cols w:space="708"/>
          <w:titlePg w:val="0"/>
        </w:sectPr>
      </w:pPr>
    </w:p>
    <w:p>
      <w:pPr>
        <w:spacing w:before="92" w:line="189" w:lineRule="auto"/>
        <w:ind w:left="7699"/>
        <w:rPr>
          <w:rFonts w:ascii="Times New Roman" w:eastAsia="Times New Roman" w:hAnsi="Times New Roman" w:cs="Times New Roman"/>
          <w:sz w:val="15"/>
          <w:szCs w:val="15"/>
        </w:rPr>
      </w:pPr>
      <w:r>
        <w:rPr>
          <w:rFonts w:ascii="Times New Roman" w:eastAsia="Times New Roman" w:hAnsi="Times New Roman" w:cs="Times New Roman"/>
          <w:b/>
          <w:bCs/>
          <w:sz w:val="15"/>
          <w:szCs w:val="15"/>
        </w:rPr>
        <w:t>GB/T     XXXXX—XXXX</w:t>
      </w:r>
    </w:p>
    <w:p>
      <w:pPr>
        <w:spacing w:line="241" w:lineRule="auto"/>
        <w:rPr>
          <w:rFonts w:ascii="Arial"/>
          <w:sz w:val="21"/>
        </w:rPr>
      </w:pPr>
    </w:p>
    <w:p>
      <w:pPr>
        <w:pStyle w:val="BodyText"/>
        <w:spacing w:before="68" w:line="217" w:lineRule="auto"/>
        <w:ind w:left="419"/>
        <w:rPr>
          <w:sz w:val="21"/>
          <w:szCs w:val="21"/>
        </w:rPr>
      </w:pPr>
      <w:r>
        <w:rPr>
          <w:rFonts w:ascii="SimHei" w:eastAsia="SimHei" w:hAnsi="SimHei" w:cs="SimHei"/>
          <w:spacing w:val="-2"/>
          <w:sz w:val="21"/>
          <w:szCs w:val="21"/>
        </w:rPr>
        <w:t>土地托管效果</w:t>
      </w:r>
      <w:r>
        <w:rPr>
          <w:rFonts w:ascii="SimHei" w:eastAsia="SimHei" w:hAnsi="SimHei" w:cs="SimHei"/>
          <w:spacing w:val="55"/>
          <w:sz w:val="21"/>
          <w:szCs w:val="21"/>
        </w:rPr>
        <w:t xml:space="preserve"> </w:t>
      </w:r>
      <w:r>
        <w:rPr>
          <w:spacing w:val="-2"/>
          <w:sz w:val="21"/>
          <w:szCs w:val="21"/>
        </w:rPr>
        <w:t>land hosting effectiveness</w:t>
      </w:r>
    </w:p>
    <w:p>
      <w:pPr>
        <w:pStyle w:val="BodyText"/>
        <w:spacing w:before="218" w:line="218" w:lineRule="auto"/>
        <w:ind w:left="419"/>
        <w:rPr>
          <w:sz w:val="21"/>
          <w:szCs w:val="21"/>
        </w:rPr>
      </w:pPr>
      <w:r>
        <w:rPr>
          <w:spacing w:val="-1"/>
          <w:sz w:val="21"/>
          <w:szCs w:val="21"/>
        </w:rPr>
        <w:t>托管服务完成后被托管土地质量、生产效率和经济、社会、生态价值等方面的变化和提升情况。</w:t>
      </w:r>
    </w:p>
    <w:p>
      <w:pPr>
        <w:spacing w:line="309"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4"/>
          <w:sz w:val="21"/>
          <w:szCs w:val="21"/>
        </w:rPr>
        <w:t>4</w:t>
      </w:r>
      <w:r>
        <w:rPr>
          <w:rFonts w:ascii="SimHei" w:eastAsia="SimHei" w:hAnsi="SimHei" w:cs="SimHei"/>
          <w:spacing w:val="92"/>
          <w:sz w:val="21"/>
          <w:szCs w:val="21"/>
        </w:rPr>
        <w:t xml:space="preserve"> </w:t>
      </w:r>
      <w:r>
        <w:rPr>
          <w:rFonts w:ascii="SimHei" w:eastAsia="SimHei" w:hAnsi="SimHei" w:cs="SimHei"/>
          <w:b/>
          <w:bCs/>
          <w:spacing w:val="-4"/>
          <w:sz w:val="21"/>
          <w:szCs w:val="21"/>
        </w:rPr>
        <w:t>评价总则</w:t>
      </w:r>
    </w:p>
    <w:p>
      <w:pPr>
        <w:spacing w:line="309" w:lineRule="auto"/>
        <w:rPr>
          <w:rFonts w:ascii="Arial"/>
          <w:sz w:val="21"/>
        </w:rPr>
      </w:pPr>
    </w:p>
    <w:p>
      <w:pPr>
        <w:spacing w:before="69" w:line="223" w:lineRule="auto"/>
        <w:ind w:left="3"/>
        <w:outlineLvl w:val="0"/>
        <w:rPr>
          <w:rFonts w:ascii="SimHei" w:eastAsia="SimHei" w:hAnsi="SimHei" w:cs="SimHei"/>
          <w:sz w:val="21"/>
          <w:szCs w:val="21"/>
        </w:rPr>
      </w:pPr>
      <w:r>
        <w:rPr>
          <w:rFonts w:ascii="SimHei" w:eastAsia="SimHei" w:hAnsi="SimHei" w:cs="SimHei"/>
          <w:b/>
          <w:bCs/>
          <w:spacing w:val="-4"/>
          <w:sz w:val="21"/>
          <w:szCs w:val="21"/>
        </w:rPr>
        <w:t>4.1</w:t>
      </w:r>
      <w:r>
        <w:rPr>
          <w:rFonts w:ascii="SimHei" w:eastAsia="SimHei" w:hAnsi="SimHei" w:cs="SimHei"/>
          <w:spacing w:val="83"/>
          <w:sz w:val="21"/>
          <w:szCs w:val="21"/>
        </w:rPr>
        <w:t xml:space="preserve"> </w:t>
      </w:r>
      <w:r>
        <w:rPr>
          <w:rFonts w:ascii="SimHei" w:eastAsia="SimHei" w:hAnsi="SimHei" w:cs="SimHei"/>
          <w:b/>
          <w:bCs/>
          <w:spacing w:val="-4"/>
          <w:sz w:val="21"/>
          <w:szCs w:val="21"/>
        </w:rPr>
        <w:t>公正性</w:t>
      </w:r>
    </w:p>
    <w:p>
      <w:pPr>
        <w:pStyle w:val="BodyText"/>
        <w:spacing w:before="197" w:line="218" w:lineRule="auto"/>
        <w:ind w:left="419"/>
        <w:rPr>
          <w:sz w:val="21"/>
          <w:szCs w:val="21"/>
        </w:rPr>
      </w:pPr>
      <w:r>
        <w:rPr>
          <w:spacing w:val="-2"/>
          <w:sz w:val="21"/>
          <w:szCs w:val="21"/>
        </w:rPr>
        <w:t>遵循公正公开、全面客观、评价标准和过程透明原则。</w:t>
      </w:r>
    </w:p>
    <w:p>
      <w:pPr>
        <w:spacing w:before="229" w:line="221" w:lineRule="auto"/>
        <w:ind w:left="3"/>
        <w:outlineLvl w:val="0"/>
        <w:rPr>
          <w:rFonts w:ascii="SimHei" w:eastAsia="SimHei" w:hAnsi="SimHei" w:cs="SimHei"/>
          <w:sz w:val="21"/>
          <w:szCs w:val="21"/>
        </w:rPr>
      </w:pPr>
      <w:r>
        <w:rPr>
          <w:rFonts w:ascii="SimHei" w:eastAsia="SimHei" w:hAnsi="SimHei" w:cs="SimHei"/>
          <w:b/>
          <w:bCs/>
          <w:spacing w:val="-4"/>
          <w:sz w:val="21"/>
          <w:szCs w:val="21"/>
        </w:rPr>
        <w:t>4.2</w:t>
      </w:r>
      <w:r>
        <w:rPr>
          <w:rFonts w:ascii="SimHei" w:eastAsia="SimHei" w:hAnsi="SimHei" w:cs="SimHei"/>
          <w:spacing w:val="83"/>
          <w:sz w:val="21"/>
          <w:szCs w:val="21"/>
        </w:rPr>
        <w:t xml:space="preserve"> </w:t>
      </w:r>
      <w:r>
        <w:rPr>
          <w:rFonts w:ascii="SimHei" w:eastAsia="SimHei" w:hAnsi="SimHei" w:cs="SimHei"/>
          <w:b/>
          <w:bCs/>
          <w:spacing w:val="-4"/>
          <w:sz w:val="21"/>
          <w:szCs w:val="21"/>
        </w:rPr>
        <w:t>科学性</w:t>
      </w:r>
    </w:p>
    <w:p>
      <w:pPr>
        <w:pStyle w:val="BodyText"/>
        <w:spacing w:before="202" w:line="247" w:lineRule="auto"/>
        <w:ind w:right="93" w:firstLine="419"/>
        <w:rPr>
          <w:sz w:val="21"/>
          <w:szCs w:val="21"/>
        </w:rPr>
      </w:pPr>
      <w:r>
        <w:rPr>
          <w:spacing w:val="-3"/>
          <w:sz w:val="21"/>
          <w:szCs w:val="21"/>
        </w:rPr>
        <w:t>评价宜建立在客观、准确、全面的基础上，保证数据收集、评价指标选取和评价结果等内容的科学</w:t>
      </w:r>
      <w:r>
        <w:rPr>
          <w:sz w:val="21"/>
          <w:szCs w:val="21"/>
        </w:rPr>
        <w:t xml:space="preserve"> </w:t>
      </w:r>
      <w:r>
        <w:rPr>
          <w:spacing w:val="-9"/>
          <w:sz w:val="21"/>
          <w:szCs w:val="21"/>
        </w:rPr>
        <w:t>准确。</w:t>
      </w:r>
    </w:p>
    <w:p>
      <w:pPr>
        <w:spacing w:before="236" w:line="222" w:lineRule="auto"/>
        <w:ind w:left="3"/>
        <w:outlineLvl w:val="0"/>
        <w:rPr>
          <w:rFonts w:ascii="SimHei" w:eastAsia="SimHei" w:hAnsi="SimHei" w:cs="SimHei"/>
          <w:sz w:val="21"/>
          <w:szCs w:val="21"/>
        </w:rPr>
      </w:pPr>
      <w:r>
        <w:rPr>
          <w:rFonts w:ascii="SimHei" w:eastAsia="SimHei" w:hAnsi="SimHei" w:cs="SimHei"/>
          <w:b/>
          <w:bCs/>
          <w:spacing w:val="-4"/>
          <w:sz w:val="21"/>
          <w:szCs w:val="21"/>
        </w:rPr>
        <w:t>4.3</w:t>
      </w:r>
      <w:r>
        <w:rPr>
          <w:rFonts w:ascii="SimHei" w:eastAsia="SimHei" w:hAnsi="SimHei" w:cs="SimHei"/>
          <w:spacing w:val="85"/>
          <w:sz w:val="21"/>
          <w:szCs w:val="21"/>
        </w:rPr>
        <w:t xml:space="preserve"> </w:t>
      </w:r>
      <w:r>
        <w:rPr>
          <w:rFonts w:ascii="SimHei" w:eastAsia="SimHei" w:hAnsi="SimHei" w:cs="SimHei"/>
          <w:b/>
          <w:bCs/>
          <w:spacing w:val="-4"/>
          <w:sz w:val="21"/>
          <w:szCs w:val="21"/>
        </w:rPr>
        <w:t>针对性</w:t>
      </w:r>
    </w:p>
    <w:p>
      <w:pPr>
        <w:pStyle w:val="BodyText"/>
        <w:spacing w:before="209" w:line="218" w:lineRule="auto"/>
        <w:ind w:left="419"/>
        <w:rPr>
          <w:sz w:val="21"/>
          <w:szCs w:val="21"/>
        </w:rPr>
      </w:pPr>
      <w:r>
        <w:rPr>
          <w:spacing w:val="-2"/>
          <w:sz w:val="21"/>
          <w:szCs w:val="21"/>
        </w:rPr>
        <w:t>宜重点针对土地托管服务不同环节进行评价，突出重点。</w:t>
      </w:r>
    </w:p>
    <w:p>
      <w:pPr>
        <w:spacing w:before="219" w:line="222" w:lineRule="auto"/>
        <w:ind w:left="3"/>
        <w:outlineLvl w:val="0"/>
        <w:rPr>
          <w:rFonts w:ascii="SimHei" w:eastAsia="SimHei" w:hAnsi="SimHei" w:cs="SimHei"/>
          <w:sz w:val="21"/>
          <w:szCs w:val="21"/>
        </w:rPr>
      </w:pPr>
      <w:r>
        <w:rPr>
          <w:rFonts w:ascii="SimHei" w:eastAsia="SimHei" w:hAnsi="SimHei" w:cs="SimHei"/>
          <w:b/>
          <w:bCs/>
          <w:spacing w:val="-3"/>
          <w:sz w:val="21"/>
          <w:szCs w:val="21"/>
        </w:rPr>
        <w:t>4.4</w:t>
      </w:r>
      <w:r>
        <w:rPr>
          <w:rFonts w:ascii="SimHei" w:eastAsia="SimHei" w:hAnsi="SimHei" w:cs="SimHei"/>
          <w:spacing w:val="-3"/>
          <w:sz w:val="21"/>
          <w:szCs w:val="21"/>
        </w:rPr>
        <w:t xml:space="preserve">  </w:t>
      </w:r>
      <w:r>
        <w:rPr>
          <w:rFonts w:ascii="SimHei" w:eastAsia="SimHei" w:hAnsi="SimHei" w:cs="SimHei"/>
          <w:b/>
          <w:bCs/>
          <w:spacing w:val="-3"/>
          <w:sz w:val="21"/>
          <w:szCs w:val="21"/>
        </w:rPr>
        <w:t>实用性</w:t>
      </w:r>
    </w:p>
    <w:p>
      <w:pPr>
        <w:pStyle w:val="BodyText"/>
        <w:spacing w:before="211" w:line="218" w:lineRule="auto"/>
        <w:ind w:left="419"/>
        <w:rPr>
          <w:sz w:val="21"/>
          <w:szCs w:val="21"/>
        </w:rPr>
      </w:pPr>
      <w:r>
        <w:rPr>
          <w:spacing w:val="-1"/>
          <w:sz w:val="21"/>
          <w:szCs w:val="21"/>
        </w:rPr>
        <w:t>评价宜结合地区实际，使评价结果具有实际指导作</w:t>
      </w:r>
      <w:r>
        <w:rPr>
          <w:spacing w:val="-2"/>
          <w:sz w:val="21"/>
          <w:szCs w:val="21"/>
        </w:rPr>
        <w:t>用，突出实用性。</w:t>
      </w:r>
    </w:p>
    <w:p>
      <w:pPr>
        <w:spacing w:line="309"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4"/>
          <w:sz w:val="21"/>
          <w:szCs w:val="21"/>
        </w:rPr>
        <w:t>5</w:t>
      </w:r>
      <w:r>
        <w:rPr>
          <w:rFonts w:ascii="SimHei" w:eastAsia="SimHei" w:hAnsi="SimHei" w:cs="SimHei"/>
          <w:spacing w:val="93"/>
          <w:sz w:val="21"/>
          <w:szCs w:val="21"/>
        </w:rPr>
        <w:t xml:space="preserve"> </w:t>
      </w:r>
      <w:r>
        <w:rPr>
          <w:rFonts w:ascii="SimHei" w:eastAsia="SimHei" w:hAnsi="SimHei" w:cs="SimHei"/>
          <w:b/>
          <w:bCs/>
          <w:spacing w:val="-4"/>
          <w:sz w:val="21"/>
          <w:szCs w:val="21"/>
        </w:rPr>
        <w:t>评价内容</w:t>
      </w:r>
    </w:p>
    <w:p>
      <w:pPr>
        <w:spacing w:line="268" w:lineRule="auto"/>
        <w:rPr>
          <w:rFonts w:ascii="Arial"/>
          <w:sz w:val="21"/>
        </w:rPr>
      </w:pPr>
    </w:p>
    <w:p>
      <w:pPr>
        <w:pStyle w:val="BodyText"/>
        <w:spacing w:before="69" w:line="259" w:lineRule="auto"/>
        <w:ind w:right="95" w:firstLine="419"/>
        <w:rPr>
          <w:sz w:val="21"/>
          <w:szCs w:val="21"/>
        </w:rPr>
      </w:pPr>
      <w:r>
        <w:rPr>
          <w:spacing w:val="3"/>
          <w:sz w:val="21"/>
          <w:szCs w:val="21"/>
        </w:rPr>
        <w:t>实施评价单位应根据土地托管服务评价指标体系(见附录</w:t>
      </w:r>
      <w:r>
        <w:rPr>
          <w:rFonts w:ascii="Times New Roman" w:eastAsia="Times New Roman" w:hAnsi="Times New Roman" w:cs="Times New Roman"/>
          <w:spacing w:val="2"/>
          <w:sz w:val="21"/>
          <w:szCs w:val="21"/>
        </w:rPr>
        <w:t xml:space="preserve">A),    </w:t>
      </w:r>
      <w:r>
        <w:rPr>
          <w:spacing w:val="2"/>
          <w:sz w:val="21"/>
          <w:szCs w:val="21"/>
        </w:rPr>
        <w:t>从基本要求、过程质量、土地托管</w:t>
      </w:r>
      <w:r>
        <w:rPr>
          <w:sz w:val="21"/>
          <w:szCs w:val="21"/>
        </w:rPr>
        <w:t xml:space="preserve"> </w:t>
      </w:r>
      <w:r>
        <w:rPr>
          <w:spacing w:val="-1"/>
          <w:sz w:val="21"/>
          <w:szCs w:val="21"/>
        </w:rPr>
        <w:t>效果及保障与完善措施等角度进行评价，并可结合地区特点，增加体现地方特色的备选</w:t>
      </w:r>
      <w:r>
        <w:rPr>
          <w:spacing w:val="-2"/>
          <w:sz w:val="21"/>
          <w:szCs w:val="21"/>
        </w:rPr>
        <w:t>指标。</w:t>
      </w:r>
    </w:p>
    <w:p>
      <w:pPr>
        <w:spacing w:line="319"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5"/>
          <w:sz w:val="21"/>
          <w:szCs w:val="21"/>
        </w:rPr>
        <w:t>6</w:t>
      </w:r>
      <w:r>
        <w:rPr>
          <w:rFonts w:ascii="SimHei" w:eastAsia="SimHei" w:hAnsi="SimHei" w:cs="SimHei"/>
          <w:spacing w:val="87"/>
          <w:sz w:val="21"/>
          <w:szCs w:val="21"/>
        </w:rPr>
        <w:t xml:space="preserve"> </w:t>
      </w:r>
      <w:r>
        <w:rPr>
          <w:rFonts w:ascii="SimHei" w:eastAsia="SimHei" w:hAnsi="SimHei" w:cs="SimHei"/>
          <w:b/>
          <w:bCs/>
          <w:spacing w:val="-5"/>
          <w:sz w:val="21"/>
          <w:szCs w:val="21"/>
        </w:rPr>
        <w:t>评价程序</w:t>
      </w:r>
    </w:p>
    <w:p>
      <w:pPr>
        <w:spacing w:line="287" w:lineRule="auto"/>
        <w:rPr>
          <w:rFonts w:ascii="Arial"/>
          <w:sz w:val="21"/>
        </w:rPr>
      </w:pPr>
    </w:p>
    <w:p>
      <w:pPr>
        <w:spacing w:before="68" w:line="222" w:lineRule="auto"/>
        <w:ind w:left="3"/>
        <w:outlineLvl w:val="0"/>
        <w:rPr>
          <w:rFonts w:ascii="SimHei" w:eastAsia="SimHei" w:hAnsi="SimHei" w:cs="SimHei"/>
          <w:sz w:val="21"/>
          <w:szCs w:val="21"/>
        </w:rPr>
      </w:pPr>
      <w:r>
        <w:rPr>
          <w:rFonts w:ascii="SimHei" w:eastAsia="SimHei" w:hAnsi="SimHei" w:cs="SimHei"/>
          <w:b/>
          <w:bCs/>
          <w:spacing w:val="-4"/>
          <w:sz w:val="21"/>
          <w:szCs w:val="21"/>
        </w:rPr>
        <w:t>6.1</w:t>
      </w:r>
      <w:r>
        <w:rPr>
          <w:rFonts w:ascii="SimHei" w:eastAsia="SimHei" w:hAnsi="SimHei" w:cs="SimHei"/>
          <w:spacing w:val="89"/>
          <w:sz w:val="21"/>
          <w:szCs w:val="21"/>
        </w:rPr>
        <w:t xml:space="preserve"> </w:t>
      </w:r>
      <w:r>
        <w:rPr>
          <w:rFonts w:ascii="SimHei" w:eastAsia="SimHei" w:hAnsi="SimHei" w:cs="SimHei"/>
          <w:b/>
          <w:bCs/>
          <w:spacing w:val="-4"/>
          <w:sz w:val="21"/>
          <w:szCs w:val="21"/>
        </w:rPr>
        <w:t>成立评价小组</w:t>
      </w:r>
    </w:p>
    <w:p>
      <w:pPr>
        <w:pStyle w:val="BodyText"/>
        <w:spacing w:before="210" w:line="254" w:lineRule="auto"/>
        <w:ind w:right="92" w:firstLine="419"/>
        <w:rPr>
          <w:sz w:val="21"/>
          <w:szCs w:val="21"/>
        </w:rPr>
      </w:pPr>
      <w:r>
        <w:rPr>
          <w:spacing w:val="-3"/>
          <w:sz w:val="21"/>
          <w:szCs w:val="21"/>
        </w:rPr>
        <w:t>成立由委托方、托管方，以及城乡建设、农业农村、自然资源管理等多领域经验丰富的人员或专家</w:t>
      </w:r>
      <w:r>
        <w:rPr>
          <w:sz w:val="21"/>
          <w:szCs w:val="21"/>
        </w:rPr>
        <w:t xml:space="preserve"> </w:t>
      </w:r>
      <w:r>
        <w:rPr>
          <w:spacing w:val="-6"/>
          <w:sz w:val="21"/>
          <w:szCs w:val="21"/>
        </w:rPr>
        <w:t>组成评价小组。</w:t>
      </w:r>
    </w:p>
    <w:p>
      <w:pPr>
        <w:spacing w:before="219" w:line="221" w:lineRule="auto"/>
        <w:ind w:left="3"/>
        <w:outlineLvl w:val="0"/>
        <w:rPr>
          <w:rFonts w:ascii="SimHei" w:eastAsia="SimHei" w:hAnsi="SimHei" w:cs="SimHei"/>
          <w:sz w:val="21"/>
          <w:szCs w:val="21"/>
        </w:rPr>
      </w:pPr>
      <w:r>
        <w:rPr>
          <w:rFonts w:ascii="SimHei" w:eastAsia="SimHei" w:hAnsi="SimHei" w:cs="SimHei"/>
          <w:b/>
          <w:bCs/>
          <w:spacing w:val="-4"/>
          <w:sz w:val="21"/>
          <w:szCs w:val="21"/>
        </w:rPr>
        <w:t>6.2</w:t>
      </w:r>
      <w:r>
        <w:rPr>
          <w:rFonts w:ascii="SimHei" w:eastAsia="SimHei" w:hAnsi="SimHei" w:cs="SimHei"/>
          <w:spacing w:val="79"/>
          <w:sz w:val="21"/>
          <w:szCs w:val="21"/>
        </w:rPr>
        <w:t xml:space="preserve"> </w:t>
      </w:r>
      <w:r>
        <w:rPr>
          <w:rFonts w:ascii="SimHei" w:eastAsia="SimHei" w:hAnsi="SimHei" w:cs="SimHei"/>
          <w:b/>
          <w:bCs/>
          <w:spacing w:val="-4"/>
          <w:sz w:val="21"/>
          <w:szCs w:val="21"/>
        </w:rPr>
        <w:t>制定评价方案</w:t>
      </w:r>
    </w:p>
    <w:p>
      <w:pPr>
        <w:pStyle w:val="BodyText"/>
        <w:spacing w:before="212" w:line="218" w:lineRule="auto"/>
        <w:ind w:left="419"/>
        <w:rPr>
          <w:sz w:val="21"/>
          <w:szCs w:val="21"/>
        </w:rPr>
      </w:pPr>
      <w:r>
        <w:rPr>
          <w:spacing w:val="-1"/>
          <w:sz w:val="21"/>
          <w:szCs w:val="21"/>
        </w:rPr>
        <w:t>评价小组根据评价方式制定评价方案，评价方</w:t>
      </w:r>
      <w:r>
        <w:rPr>
          <w:spacing w:val="-2"/>
          <w:sz w:val="21"/>
          <w:szCs w:val="21"/>
        </w:rPr>
        <w:t>案应满足如下要求。</w:t>
      </w:r>
    </w:p>
    <w:p>
      <w:pPr>
        <w:pStyle w:val="BodyText"/>
        <w:spacing w:before="40" w:line="212" w:lineRule="auto"/>
        <w:ind w:left="419"/>
        <w:rPr>
          <w:sz w:val="21"/>
          <w:szCs w:val="21"/>
        </w:rPr>
      </w:pPr>
      <w:r>
        <w:rPr>
          <w:rFonts w:ascii="Times New Roman" w:eastAsia="Times New Roman" w:hAnsi="Times New Roman" w:cs="Times New Roman"/>
          <w:sz w:val="21"/>
          <w:szCs w:val="21"/>
        </w:rPr>
        <w:t xml:space="preserve">a)    </w:t>
      </w:r>
      <w:r>
        <w:rPr>
          <w:sz w:val="21"/>
          <w:szCs w:val="21"/>
        </w:rPr>
        <w:t>应能全面覆盖</w:t>
      </w:r>
      <w:r>
        <w:rPr>
          <w:spacing w:val="-27"/>
          <w:sz w:val="21"/>
          <w:szCs w:val="21"/>
        </w:rPr>
        <w:t xml:space="preserve"> </w:t>
      </w:r>
      <w:r>
        <w:rPr>
          <w:sz w:val="21"/>
          <w:szCs w:val="21"/>
        </w:rPr>
        <w:t>GB/T 34802</w:t>
      </w:r>
      <w:r>
        <w:rPr>
          <w:spacing w:val="-19"/>
          <w:sz w:val="21"/>
          <w:szCs w:val="21"/>
        </w:rPr>
        <w:t xml:space="preserve"> </w:t>
      </w:r>
      <w:r>
        <w:rPr>
          <w:sz w:val="21"/>
          <w:szCs w:val="21"/>
        </w:rPr>
        <w:t>中土地</w:t>
      </w:r>
      <w:r>
        <w:rPr>
          <w:spacing w:val="-1"/>
          <w:sz w:val="21"/>
          <w:szCs w:val="21"/>
        </w:rPr>
        <w:t>托管服务内容，客观公正评价土地托管服务效果。</w:t>
      </w:r>
    </w:p>
    <w:p>
      <w:pPr>
        <w:pStyle w:val="BodyText"/>
        <w:spacing w:before="59" w:line="212" w:lineRule="auto"/>
        <w:jc w:val="right"/>
        <w:rPr>
          <w:sz w:val="21"/>
          <w:szCs w:val="21"/>
        </w:rPr>
      </w:pPr>
      <w:r>
        <w:rPr>
          <w:rFonts w:ascii="Times New Roman" w:eastAsia="Times New Roman" w:hAnsi="Times New Roman" w:cs="Times New Roman"/>
          <w:spacing w:val="-3"/>
          <w:sz w:val="21"/>
          <w:szCs w:val="21"/>
        </w:rPr>
        <w:t xml:space="preserve">b)    </w:t>
      </w:r>
      <w:r>
        <w:rPr>
          <w:spacing w:val="-3"/>
          <w:sz w:val="21"/>
          <w:szCs w:val="21"/>
        </w:rPr>
        <w:t>保证满足《土地全程托管服务合同书》及《土地定制托管服务合同书》</w:t>
      </w:r>
      <w:r>
        <w:rPr>
          <w:spacing w:val="47"/>
          <w:sz w:val="21"/>
          <w:szCs w:val="21"/>
        </w:rPr>
        <w:t xml:space="preserve"> </w:t>
      </w:r>
      <w:r>
        <w:rPr>
          <w:spacing w:val="-3"/>
          <w:sz w:val="21"/>
          <w:szCs w:val="21"/>
        </w:rPr>
        <w:t>(</w:t>
      </w:r>
      <w:r>
        <w:rPr>
          <w:spacing w:val="-4"/>
          <w:sz w:val="21"/>
          <w:szCs w:val="21"/>
        </w:rPr>
        <w:t>以下简称“合同书”)</w:t>
      </w:r>
    </w:p>
    <w:p>
      <w:pPr>
        <w:pStyle w:val="BodyText"/>
        <w:spacing w:before="111" w:line="218" w:lineRule="auto"/>
        <w:ind w:left="860"/>
        <w:rPr>
          <w:sz w:val="21"/>
          <w:szCs w:val="21"/>
        </w:rPr>
        <w:sectPr>
          <w:footerReference w:type="default" r:id="rId9"/>
          <w:pgSz w:w="11910" w:h="16840"/>
          <w:pgMar w:top="1431" w:right="1095" w:bottom="1305" w:left="1400" w:header="0" w:footer="1156" w:gutter="0"/>
          <w:pgNumType w:start="3"/>
          <w:cols w:space="708"/>
        </w:sectPr>
      </w:pPr>
      <w:r>
        <w:rPr>
          <w:spacing w:val="-3"/>
          <w:sz w:val="21"/>
          <w:szCs w:val="21"/>
        </w:rPr>
        <w:t>要求的前提下，确定评价内容。</w:t>
      </w:r>
    </w:p>
    <w:p>
      <w:pPr>
        <w:pStyle w:val="BodyText"/>
        <w:spacing w:before="30" w:line="266" w:lineRule="auto"/>
        <w:ind w:left="859" w:right="52" w:hanging="440"/>
        <w:rPr>
          <w:sz w:val="21"/>
          <w:szCs w:val="21"/>
        </w:rPr>
      </w:pPr>
      <w:r>
        <w:rPr>
          <w:rFonts w:ascii="Times New Roman" w:eastAsia="Times New Roman" w:hAnsi="Times New Roman" w:cs="Times New Roman"/>
          <w:spacing w:val="5"/>
          <w:sz w:val="21"/>
          <w:szCs w:val="21"/>
        </w:rPr>
        <w:t xml:space="preserve">c)    </w:t>
      </w:r>
      <w:r>
        <w:rPr>
          <w:spacing w:val="5"/>
          <w:sz w:val="21"/>
          <w:szCs w:val="21"/>
        </w:rPr>
        <w:t>应用科学方法合理确定各项评价指标的权重，权重总和为100%,其</w:t>
      </w:r>
      <w:r>
        <w:rPr>
          <w:spacing w:val="4"/>
          <w:sz w:val="21"/>
          <w:szCs w:val="21"/>
        </w:rPr>
        <w:t>中基本要求一级指标的权</w:t>
      </w:r>
      <w:r>
        <w:rPr>
          <w:sz w:val="21"/>
          <w:szCs w:val="21"/>
        </w:rPr>
        <w:t xml:space="preserve"> </w:t>
      </w:r>
      <w:r>
        <w:rPr>
          <w:spacing w:val="2"/>
          <w:sz w:val="21"/>
          <w:szCs w:val="21"/>
        </w:rPr>
        <w:t>重应在20%～25%之间、服务过程一级指标的权重应在25%～35%之间、土地托管效果一级指标</w:t>
      </w:r>
      <w:r>
        <w:rPr>
          <w:spacing w:val="5"/>
          <w:sz w:val="21"/>
          <w:szCs w:val="21"/>
        </w:rPr>
        <w:t xml:space="preserve"> </w:t>
      </w:r>
      <w:r>
        <w:rPr>
          <w:spacing w:val="2"/>
          <w:sz w:val="21"/>
          <w:szCs w:val="21"/>
        </w:rPr>
        <w:t>的权重应在30%～40%之间、保障与完善措施一级指标的权重应在15%～20%之间，在满足上述</w:t>
      </w:r>
      <w:r>
        <w:rPr>
          <w:spacing w:val="4"/>
          <w:sz w:val="21"/>
          <w:szCs w:val="21"/>
        </w:rPr>
        <w:t xml:space="preserve"> </w:t>
      </w:r>
      <w:r>
        <w:rPr>
          <w:spacing w:val="3"/>
          <w:sz w:val="21"/>
          <w:szCs w:val="21"/>
        </w:rPr>
        <w:t>权重限定要求基础上，利用专家打分法根据评价</w:t>
      </w:r>
      <w:r>
        <w:rPr>
          <w:spacing w:val="2"/>
          <w:sz w:val="21"/>
          <w:szCs w:val="21"/>
        </w:rPr>
        <w:t>对象实际情况合理分配。各二、三级指标宜</w:t>
      </w:r>
      <w:r>
        <w:rPr>
          <w:sz w:val="21"/>
          <w:szCs w:val="21"/>
        </w:rPr>
        <w:t xml:space="preserve"> </w:t>
      </w:r>
      <w:r>
        <w:rPr>
          <w:spacing w:val="-2"/>
          <w:sz w:val="21"/>
          <w:szCs w:val="21"/>
        </w:rPr>
        <w:t>根据其对服务质量影响的重要性，利用专家打分法或熵值法分别赋予相应的权重。</w:t>
      </w:r>
    </w:p>
    <w:p>
      <w:pPr>
        <w:spacing w:before="236" w:line="222" w:lineRule="auto"/>
        <w:ind w:left="3"/>
        <w:outlineLvl w:val="0"/>
        <w:rPr>
          <w:rFonts w:ascii="SimHei" w:eastAsia="SimHei" w:hAnsi="SimHei" w:cs="SimHei"/>
          <w:sz w:val="21"/>
          <w:szCs w:val="21"/>
        </w:rPr>
      </w:pPr>
      <w:r>
        <w:rPr>
          <w:rFonts w:ascii="SimHei" w:eastAsia="SimHei" w:hAnsi="SimHei" w:cs="SimHei"/>
          <w:b/>
          <w:bCs/>
          <w:spacing w:val="-5"/>
          <w:sz w:val="21"/>
          <w:szCs w:val="21"/>
        </w:rPr>
        <w:t>6.3</w:t>
      </w:r>
      <w:r>
        <w:rPr>
          <w:rFonts w:ascii="SimHei" w:eastAsia="SimHei" w:hAnsi="SimHei" w:cs="SimHei"/>
          <w:spacing w:val="102"/>
          <w:sz w:val="21"/>
          <w:szCs w:val="21"/>
        </w:rPr>
        <w:t xml:space="preserve"> </w:t>
      </w:r>
      <w:r>
        <w:rPr>
          <w:rFonts w:ascii="SimHei" w:eastAsia="SimHei" w:hAnsi="SimHei" w:cs="SimHei"/>
          <w:b/>
          <w:bCs/>
          <w:spacing w:val="-5"/>
          <w:sz w:val="21"/>
          <w:szCs w:val="21"/>
        </w:rPr>
        <w:t>实施评价工作</w:t>
      </w:r>
    </w:p>
    <w:p>
      <w:pPr>
        <w:spacing w:line="222" w:lineRule="auto"/>
        <w:rPr>
          <w:rFonts w:ascii="SimHei" w:eastAsia="SimHei" w:hAnsi="SimHei" w:cs="SimHei"/>
          <w:sz w:val="21"/>
          <w:szCs w:val="21"/>
        </w:rPr>
        <w:sectPr>
          <w:footerReference w:type="default" r:id="rId10"/>
          <w:type w:val="nextPage"/>
          <w:pgSz w:w="11910" w:h="16840"/>
          <w:pgMar w:top="1431" w:right="1095" w:bottom="1305" w:left="1400" w:header="0" w:footer="1156" w:gutter="0"/>
          <w:pgNumType w:start="4"/>
          <w:cols w:space="708"/>
          <w:titlePg w:val="0"/>
        </w:sectPr>
      </w:pPr>
    </w:p>
    <w:p>
      <w:pPr>
        <w:pStyle w:val="BodyText"/>
        <w:spacing w:before="42" w:line="265" w:lineRule="exact"/>
        <w:jc w:val="right"/>
        <w:rPr>
          <w:rFonts w:ascii="SimHei" w:eastAsia="SimHei" w:hAnsi="SimHei" w:cs="SimHei"/>
        </w:rPr>
      </w:pPr>
      <w:r>
        <w:rPr>
          <w:rFonts w:ascii="SimHei" w:eastAsia="SimHei" w:hAnsi="SimHei" w:cs="SimHei"/>
          <w:position w:val="1"/>
        </w:rPr>
        <w:t>GB</w:t>
      </w:r>
      <w:r>
        <w:rPr>
          <w:rFonts w:ascii="SimHei" w:eastAsia="SimHei" w:hAnsi="SimHei" w:cs="SimHei"/>
          <w:spacing w:val="24"/>
          <w:position w:val="1"/>
        </w:rPr>
        <w:t>/</w:t>
      </w:r>
      <w:r>
        <w:rPr>
          <w:rFonts w:ascii="SimHei" w:eastAsia="SimHei" w:hAnsi="SimHei" w:cs="SimHei"/>
          <w:position w:val="1"/>
        </w:rPr>
        <w:t>T</w:t>
      </w:r>
      <w:r>
        <w:rPr>
          <w:rFonts w:ascii="SimHei" w:eastAsia="SimHei" w:hAnsi="SimHei" w:cs="SimHei"/>
          <w:spacing w:val="24"/>
          <w:position w:val="1"/>
        </w:rPr>
        <w:t xml:space="preserve"> </w:t>
      </w:r>
      <w:r>
        <w:rPr>
          <w:rFonts w:ascii="SimHei" w:eastAsia="SimHei" w:hAnsi="SimHei" w:cs="SimHei"/>
          <w:position w:val="1"/>
        </w:rPr>
        <w:t>XXXXX</w:t>
      </w:r>
      <w:r>
        <w:rPr>
          <w:spacing w:val="24"/>
          <w:position w:val="1"/>
        </w:rPr>
        <w:t>—</w:t>
      </w:r>
      <w:r>
        <w:rPr>
          <w:rFonts w:ascii="SimHei" w:eastAsia="SimHei" w:hAnsi="SimHei" w:cs="SimHei"/>
          <w:position w:val="1"/>
        </w:rPr>
        <w:t>XXXX</w:t>
      </w:r>
    </w:p>
    <w:p>
      <w:pPr>
        <w:pStyle w:val="BodyText"/>
        <w:spacing w:before="265" w:line="226" w:lineRule="auto"/>
        <w:ind w:left="449"/>
      </w:pPr>
      <w:r>
        <w:rPr>
          <w:spacing w:val="8"/>
        </w:rPr>
        <w:t>评价工作宜按如下程序实施。</w:t>
      </w:r>
    </w:p>
    <w:p>
      <w:pPr>
        <w:pStyle w:val="BodyText"/>
        <w:spacing w:before="67" w:line="257" w:lineRule="auto"/>
        <w:ind w:left="880" w:right="3" w:hanging="425"/>
      </w:pPr>
      <w:r>
        <w:rPr>
          <w:spacing w:val="12"/>
        </w:rPr>
        <w:t>a)  召开评价工作安排会。评价小组到参评单位后，应召开由评价</w:t>
      </w:r>
      <w:r>
        <w:rPr>
          <w:spacing w:val="11"/>
        </w:rPr>
        <w:t>小组组长主持，土地托管服务</w:t>
      </w:r>
      <w:r>
        <w:t xml:space="preserve"> </w:t>
      </w:r>
      <w:r>
        <w:rPr>
          <w:spacing w:val="8"/>
        </w:rPr>
        <w:t>参评单位相关人员参加的评价工作安排会。</w:t>
      </w:r>
    </w:p>
    <w:p>
      <w:pPr>
        <w:pStyle w:val="BodyText"/>
        <w:spacing w:before="68" w:line="267" w:lineRule="auto"/>
        <w:ind w:left="878" w:right="3" w:hanging="427"/>
      </w:pPr>
      <w:r>
        <w:rPr>
          <w:spacing w:val="12"/>
        </w:rPr>
        <w:t>b)  现场评价。评价小组采取听取汇报、查阅资料、访问座谈、材料审核、</w:t>
      </w:r>
      <w:r>
        <w:rPr>
          <w:spacing w:val="11"/>
        </w:rPr>
        <w:t>实地调查等评价方式</w:t>
      </w:r>
      <w:r>
        <w:t xml:space="preserve"> </w:t>
      </w:r>
      <w:r>
        <w:rPr>
          <w:spacing w:val="12"/>
        </w:rPr>
        <w:t xml:space="preserve">对参评单位提供的佐证材料的真实性和有效性进行审查、打分，确认最后评价分数，对参评 </w:t>
      </w:r>
      <w:r>
        <w:rPr>
          <w:spacing w:val="8"/>
        </w:rPr>
        <w:t>单位土地托管服务进行综合评价。</w:t>
      </w:r>
    </w:p>
    <w:p>
      <w:pPr>
        <w:pStyle w:val="BodyText"/>
        <w:spacing w:before="67" w:line="257" w:lineRule="auto"/>
        <w:ind w:left="881" w:right="3" w:hanging="423"/>
      </w:pPr>
      <w:r>
        <w:rPr>
          <w:spacing w:val="12"/>
        </w:rPr>
        <w:t>c)  编写评价报告。根据土地托管服务评价结果，编写评价</w:t>
      </w:r>
      <w:r>
        <w:rPr>
          <w:spacing w:val="11"/>
        </w:rPr>
        <w:t>报告，并就评价过程中发现的问题及</w:t>
      </w:r>
      <w:r>
        <w:t xml:space="preserve"> </w:t>
      </w:r>
      <w:r>
        <w:rPr>
          <w:spacing w:val="8"/>
        </w:rPr>
        <w:t>建议向参评单位和本级政府进行反馈。</w:t>
      </w:r>
    </w:p>
    <w:p>
      <w:pPr>
        <w:spacing w:line="311" w:lineRule="auto"/>
        <w:rPr>
          <w:rFonts w:ascii="Arial"/>
          <w:sz w:val="21"/>
        </w:rPr>
      </w:pPr>
    </w:p>
    <w:p>
      <w:pPr>
        <w:spacing w:before="65" w:line="229" w:lineRule="auto"/>
        <w:ind w:left="30"/>
        <w:rPr>
          <w:rFonts w:ascii="SimHei" w:eastAsia="SimHei" w:hAnsi="SimHei" w:cs="SimHei"/>
          <w:sz w:val="20"/>
          <w:szCs w:val="20"/>
        </w:rPr>
      </w:pPr>
      <w:r>
        <w:rPr>
          <w:rFonts w:ascii="SimHei" w:eastAsia="SimHei" w:hAnsi="SimHei" w:cs="SimHei"/>
          <w:spacing w:val="5"/>
          <w:sz w:val="20"/>
          <w:szCs w:val="20"/>
        </w:rPr>
        <w:t>7</w:t>
      </w:r>
      <w:r>
        <w:rPr>
          <w:rFonts w:ascii="SimHei" w:eastAsia="SimHei" w:hAnsi="SimHei" w:cs="SimHei"/>
          <w:spacing w:val="8"/>
          <w:sz w:val="20"/>
          <w:szCs w:val="20"/>
        </w:rPr>
        <w:t xml:space="preserve">  </w:t>
      </w:r>
      <w:r>
        <w:rPr>
          <w:rFonts w:ascii="SimHei" w:eastAsia="SimHei" w:hAnsi="SimHei" w:cs="SimHei"/>
          <w:spacing w:val="5"/>
          <w:sz w:val="20"/>
          <w:szCs w:val="20"/>
        </w:rPr>
        <w:t>评价方法</w:t>
      </w:r>
    </w:p>
    <w:p>
      <w:pPr>
        <w:spacing w:line="308" w:lineRule="auto"/>
        <w:rPr>
          <w:rFonts w:ascii="Arial"/>
          <w:sz w:val="21"/>
        </w:rPr>
      </w:pPr>
    </w:p>
    <w:p>
      <w:pPr>
        <w:spacing w:before="66" w:line="230" w:lineRule="auto"/>
        <w:rPr>
          <w:rFonts w:ascii="SimHei" w:eastAsia="SimHei" w:hAnsi="SimHei" w:cs="SimHei"/>
          <w:sz w:val="20"/>
          <w:szCs w:val="20"/>
        </w:rPr>
      </w:pPr>
      <w:r>
        <w:rPr>
          <w:rFonts w:ascii="SimHei" w:eastAsia="SimHei" w:hAnsi="SimHei" w:cs="SimHei"/>
          <w:position w:val="-2"/>
          <w:sz w:val="20"/>
          <w:szCs w:val="20"/>
        </w:rPr>
        <w:drawing>
          <wp:inline distT="0" distB="0" distL="0" distR="0">
            <wp:extent cx="203695" cy="123926"/>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203695" cy="123926"/>
                    </a:xfrm>
                    <a:prstGeom prst="rect">
                      <a:avLst/>
                    </a:prstGeom>
                  </pic:spPr>
                </pic:pic>
              </a:graphicData>
            </a:graphic>
          </wp:inline>
        </w:drawing>
      </w:r>
      <w:r>
        <w:rPr>
          <w:rFonts w:ascii="SimHei" w:eastAsia="SimHei" w:hAnsi="SimHei" w:cs="SimHei"/>
          <w:spacing w:val="17"/>
          <w:sz w:val="20"/>
          <w:szCs w:val="20"/>
        </w:rPr>
        <w:t xml:space="preserve">  </w:t>
      </w:r>
      <w:r>
        <w:rPr>
          <w:rFonts w:ascii="SimHei" w:eastAsia="SimHei" w:hAnsi="SimHei" w:cs="SimHei"/>
          <w:spacing w:val="7"/>
          <w:sz w:val="20"/>
          <w:szCs w:val="20"/>
        </w:rPr>
        <w:t>评价模型</w:t>
      </w:r>
    </w:p>
    <w:p>
      <w:pPr>
        <w:pStyle w:val="BodyText"/>
        <w:spacing w:before="219" w:line="258" w:lineRule="auto"/>
        <w:ind w:left="29" w:right="3"/>
      </w:pPr>
      <w:r>
        <w:rPr>
          <w:rFonts w:ascii="SimHei" w:eastAsia="SimHei" w:hAnsi="SimHei" w:cs="SimHei"/>
          <w:spacing w:val="9"/>
        </w:rPr>
        <w:t>7.1.1</w:t>
      </w:r>
      <w:r>
        <w:rPr>
          <w:rFonts w:ascii="SimHei" w:eastAsia="SimHei" w:hAnsi="SimHei" w:cs="SimHei"/>
          <w:spacing w:val="9"/>
        </w:rPr>
        <w:t xml:space="preserve">  </w:t>
      </w:r>
      <w:r>
        <w:rPr>
          <w:spacing w:val="9"/>
        </w:rPr>
        <w:t>土地托管服务评价得分由基本要求、过程质量、土地托管效果和保障与完善措施四个一级指标</w:t>
      </w:r>
      <w:r>
        <w:rPr>
          <w:spacing w:val="8"/>
        </w:rPr>
        <w:t xml:space="preserve"> </w:t>
      </w:r>
      <w:r>
        <w:rPr>
          <w:spacing w:val="8"/>
        </w:rPr>
        <w:t>加权得出，按公式（1）计算。</w:t>
      </w:r>
    </w:p>
    <w:p>
      <w:pPr>
        <w:spacing w:line="323" w:lineRule="auto"/>
        <w:rPr>
          <w:rFonts w:ascii="Arial"/>
          <w:sz w:val="21"/>
        </w:rPr>
      </w:pPr>
    </w:p>
    <w:p>
      <w:pPr>
        <w:spacing w:before="59"/>
        <w:jc w:val="right"/>
        <w:rPr>
          <w:sz w:val="20"/>
          <w:szCs w:val="20"/>
        </w:rPr>
      </w:pPr>
      <w:r>
        <w:rPr>
          <w:rFonts w:ascii="Cambria Math" w:eastAsia="Cambria Math" w:hAnsi="Cambria Math" w:cs="Cambria Math"/>
          <w:position w:val="-4"/>
          <w:sz w:val="20"/>
          <w:szCs w:val="20"/>
        </w:rPr>
        <w:drawing>
          <wp:inline distT="0" distB="0" distL="0" distR="0">
            <wp:extent cx="58792" cy="9170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58792" cy="91706"/>
                    </a:xfrm>
                    <a:prstGeom prst="rect">
                      <a:avLst/>
                    </a:prstGeom>
                  </pic:spPr>
                </pic:pic>
              </a:graphicData>
            </a:graphic>
          </wp:inline>
        </w:drawing>
      </w:r>
      <w:r>
        <w:rPr>
          <w:rFonts w:ascii="Cambria Math" w:eastAsia="Cambria Math" w:hAnsi="Cambria Math" w:cs="Cambria Math"/>
          <w:spacing w:val="38"/>
          <w:sz w:val="20"/>
          <w:szCs w:val="20"/>
        </w:rPr>
        <w:t xml:space="preserve"> </w:t>
      </w:r>
      <w:r>
        <w:rPr>
          <w:rFonts w:ascii="Cambria Math" w:eastAsia="Cambria Math" w:hAnsi="Cambria Math" w:cs="Cambria Math"/>
          <w:spacing w:val="-9"/>
          <w:sz w:val="20"/>
          <w:szCs w:val="20"/>
        </w:rPr>
        <w:t>=</w:t>
      </w:r>
      <w:r>
        <w:rPr>
          <w:rFonts w:ascii="Cambria Math" w:eastAsia="Cambria Math" w:hAnsi="Cambria Math" w:cs="Cambria Math"/>
          <w:spacing w:val="16"/>
          <w:sz w:val="20"/>
          <w:szCs w:val="20"/>
        </w:rPr>
        <w:t xml:space="preserve"> </w:t>
      </w:r>
      <w:r>
        <w:rPr>
          <w:position w:val="-7"/>
          <w:sz w:val="20"/>
          <w:szCs w:val="20"/>
        </w:rPr>
        <w:drawing>
          <wp:inline distT="0" distB="0" distL="0" distR="0">
            <wp:extent cx="3185775" cy="16495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3"/>
                    <a:stretch>
                      <a:fillRect/>
                    </a:stretch>
                  </pic:blipFill>
                  <pic:spPr>
                    <a:xfrm>
                      <a:off x="0" y="0"/>
                      <a:ext cx="3185775" cy="164956"/>
                    </a:xfrm>
                    <a:prstGeom prst="rect">
                      <a:avLst/>
                    </a:prstGeom>
                  </pic:spPr>
                </pic:pic>
              </a:graphicData>
            </a:graphic>
          </wp:inline>
        </w:drawing>
      </w:r>
    </w:p>
    <w:p>
      <w:pPr>
        <w:pStyle w:val="BodyText"/>
        <w:spacing w:before="257" w:line="228" w:lineRule="auto"/>
        <w:ind w:left="454"/>
      </w:pPr>
      <w:r>
        <w:rPr>
          <w:spacing w:val="1"/>
        </w:rPr>
        <w:t>式中：</w:t>
      </w:r>
    </w:p>
    <w:p>
      <w:pPr>
        <w:pStyle w:val="BodyText"/>
        <w:spacing w:before="153" w:line="221" w:lineRule="auto"/>
        <w:ind w:left="451"/>
      </w:pPr>
      <w:r>
        <w:rPr>
          <w:rFonts w:ascii="Calibri" w:eastAsia="Calibri" w:hAnsi="Calibri" w:cs="Calibri"/>
          <w:spacing w:val="7"/>
        </w:rPr>
        <w:t>q</w:t>
      </w:r>
      <w:r>
        <w:rPr>
          <w:spacing w:val="7"/>
        </w:rPr>
        <w:t>——服务评价得分；</w:t>
      </w:r>
    </w:p>
    <w:p>
      <w:pPr>
        <w:pStyle w:val="BodyText"/>
        <w:spacing w:before="162" w:line="398" w:lineRule="exact"/>
        <w:ind w:left="451"/>
      </w:pPr>
      <w:r>
        <w:rPr>
          <w:rFonts w:ascii="Calibri" w:eastAsia="Calibri" w:hAnsi="Calibri" w:cs="Calibri"/>
          <w:position w:val="14"/>
        </w:rPr>
        <w:t>a</w:t>
      </w:r>
      <w:r>
        <w:rPr>
          <w:rFonts w:ascii="Calibri" w:eastAsia="Calibri" w:hAnsi="Calibri" w:cs="Calibri"/>
          <w:position w:val="13"/>
          <w:sz w:val="13"/>
          <w:szCs w:val="13"/>
        </w:rPr>
        <w:t>i</w:t>
      </w:r>
      <w:r>
        <w:rPr>
          <w:spacing w:val="6"/>
          <w:position w:val="14"/>
        </w:rPr>
        <w:t>——第</w:t>
      </w:r>
      <w:r>
        <w:rPr>
          <w:spacing w:val="-32"/>
          <w:position w:val="14"/>
        </w:rPr>
        <w:t xml:space="preserve"> </w:t>
      </w:r>
      <w:r>
        <w:rPr>
          <w:rFonts w:ascii="Calibri" w:eastAsia="Calibri" w:hAnsi="Calibri" w:cs="Calibri"/>
          <w:spacing w:val="6"/>
          <w:position w:val="14"/>
        </w:rPr>
        <w:t>i</w:t>
      </w:r>
      <w:r>
        <w:rPr>
          <w:rFonts w:ascii="Calibri" w:eastAsia="Calibri" w:hAnsi="Calibri" w:cs="Calibri"/>
          <w:spacing w:val="16"/>
          <w:position w:val="14"/>
        </w:rPr>
        <w:t xml:space="preserve"> </w:t>
      </w:r>
      <w:r>
        <w:rPr>
          <w:spacing w:val="6"/>
          <w:position w:val="14"/>
        </w:rPr>
        <w:t>个一级指标得分；</w:t>
      </w:r>
    </w:p>
    <w:p>
      <w:pPr>
        <w:pStyle w:val="BodyText"/>
        <w:spacing w:before="1" w:line="227" w:lineRule="auto"/>
        <w:ind w:left="493"/>
      </w:pPr>
      <w:r>
        <w:rPr>
          <w:spacing w:val="-43"/>
        </w:rPr>
        <w:t>β</w:t>
      </w:r>
      <w:r>
        <w:rPr>
          <w:rFonts w:ascii="Calibri" w:eastAsia="Calibri" w:hAnsi="Calibri" w:cs="Calibri"/>
          <w:spacing w:val="6"/>
          <w:position w:val="-2"/>
          <w:sz w:val="13"/>
          <w:szCs w:val="13"/>
        </w:rPr>
        <w:t>i</w:t>
      </w:r>
      <w:r>
        <w:rPr>
          <w:spacing w:val="6"/>
        </w:rPr>
        <w:t>——第</w:t>
      </w:r>
      <w:r>
        <w:rPr>
          <w:spacing w:val="-33"/>
        </w:rPr>
        <w:t xml:space="preserve"> </w:t>
      </w:r>
      <w:r>
        <w:rPr>
          <w:rFonts w:ascii="Calibri" w:eastAsia="Calibri" w:hAnsi="Calibri" w:cs="Calibri"/>
          <w:spacing w:val="6"/>
        </w:rPr>
        <w:t>i</w:t>
      </w:r>
      <w:r>
        <w:rPr>
          <w:rFonts w:ascii="Calibri" w:eastAsia="Calibri" w:hAnsi="Calibri" w:cs="Calibri"/>
          <w:spacing w:val="15"/>
          <w:w w:val="102"/>
        </w:rPr>
        <w:t xml:space="preserve"> </w:t>
      </w:r>
      <w:r>
        <w:rPr>
          <w:spacing w:val="6"/>
        </w:rPr>
        <w:t>个一级指标权重；</w:t>
      </w:r>
    </w:p>
    <w:p>
      <w:pPr>
        <w:pStyle w:val="BodyText"/>
        <w:spacing w:before="154" w:line="228" w:lineRule="auto"/>
        <w:ind w:left="457"/>
      </w:pPr>
      <w:r>
        <w:rPr>
          <w:rFonts w:ascii="Calibri" w:eastAsia="Calibri" w:hAnsi="Calibri" w:cs="Calibri"/>
          <w:spacing w:val="7"/>
        </w:rPr>
        <w:t>n</w:t>
      </w:r>
      <w:r>
        <w:rPr>
          <w:spacing w:val="7"/>
        </w:rPr>
        <w:t>——一级指标的个数。</w:t>
      </w:r>
    </w:p>
    <w:p>
      <w:pPr>
        <w:pStyle w:val="BodyText"/>
        <w:spacing w:before="218" w:line="228" w:lineRule="auto"/>
        <w:ind w:left="30"/>
      </w:pPr>
      <w:r>
        <w:rPr>
          <w:rFonts w:ascii="SimHei" w:eastAsia="SimHei" w:hAnsi="SimHei" w:cs="SimHei"/>
          <w:spacing w:val="7"/>
        </w:rPr>
        <w:t>7.1.2</w:t>
      </w:r>
      <w:r>
        <w:rPr>
          <w:rFonts w:ascii="SimHei" w:eastAsia="SimHei" w:hAnsi="SimHei" w:cs="SimHei"/>
          <w:spacing w:val="7"/>
        </w:rPr>
        <w:t xml:space="preserve">  </w:t>
      </w:r>
      <w:r>
        <w:rPr>
          <w:spacing w:val="7"/>
        </w:rPr>
        <w:t>一级指标得分按公式（2）进行计算。</w:t>
      </w:r>
    </w:p>
    <w:p>
      <w:pPr>
        <w:spacing w:line="317" w:lineRule="auto"/>
        <w:rPr>
          <w:rFonts w:ascii="Arial"/>
          <w:sz w:val="21"/>
        </w:rPr>
      </w:pPr>
    </w:p>
    <w:p>
      <w:pPr>
        <w:pStyle w:val="BodyText"/>
        <w:spacing w:before="66" w:line="164" w:lineRule="auto"/>
        <w:jc w:val="right"/>
      </w:pPr>
      <w:r>
        <w:rPr>
          <w:spacing w:val="-28"/>
          <w:position w:val="2"/>
        </w:rPr>
        <w:t>α</w:t>
      </w:r>
      <w:r>
        <w:rPr>
          <w:spacing w:val="-27"/>
          <w:position w:val="2"/>
        </w:rPr>
        <w:t xml:space="preserve"> </w:t>
      </w:r>
      <w:r>
        <w:rPr>
          <w:rFonts w:ascii="Cambria Math" w:eastAsia="Cambria Math" w:hAnsi="Cambria Math" w:cs="Cambria Math"/>
          <w:spacing w:val="-28"/>
          <w:position w:val="1"/>
        </w:rPr>
        <w:t>=</w:t>
      </w:r>
      <w:r>
        <w:rPr>
          <w:rFonts w:ascii="Cambria Math" w:eastAsia="Cambria Math" w:hAnsi="Cambria Math" w:cs="Cambria Math"/>
          <w:spacing w:val="18"/>
          <w:w w:val="102"/>
          <w:position w:val="1"/>
        </w:rPr>
        <w:t xml:space="preserve"> </w:t>
      </w:r>
      <w:r>
        <w:rPr>
          <w:position w:val="-12"/>
        </w:rPr>
        <w:drawing>
          <wp:inline distT="0" distB="0" distL="0" distR="0">
            <wp:extent cx="3135483" cy="163433"/>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3135483" cy="163433"/>
                    </a:xfrm>
                    <a:prstGeom prst="rect">
                      <a:avLst/>
                    </a:prstGeom>
                  </pic:spPr>
                </pic:pic>
              </a:graphicData>
            </a:graphic>
          </wp:inline>
        </w:drawing>
      </w:r>
    </w:p>
    <w:p>
      <w:pPr>
        <w:pStyle w:val="BodyText"/>
        <w:spacing w:before="293" w:line="228" w:lineRule="auto"/>
        <w:ind w:left="454"/>
      </w:pPr>
      <w:r>
        <w:rPr>
          <w:spacing w:val="1"/>
        </w:rPr>
        <w:t>式中：</w:t>
      </w:r>
    </w:p>
    <w:p>
      <w:pPr>
        <w:pStyle w:val="BodyText"/>
        <w:spacing w:before="151" w:line="226" w:lineRule="auto"/>
        <w:ind w:left="496"/>
      </w:pPr>
      <w:r>
        <w:rPr>
          <w:spacing w:val="3"/>
        </w:rPr>
        <w:t>α——服务评价得分；</w:t>
      </w:r>
    </w:p>
    <w:p>
      <w:pPr>
        <w:pStyle w:val="BodyText"/>
        <w:spacing w:before="156" w:line="400" w:lineRule="exact"/>
        <w:ind w:left="457"/>
      </w:pPr>
      <w:r>
        <w:rPr>
          <w:rFonts w:ascii="Calibri" w:eastAsia="Calibri" w:hAnsi="Calibri" w:cs="Calibri"/>
          <w:position w:val="14"/>
        </w:rPr>
        <w:t>b</w:t>
      </w:r>
      <w:r>
        <w:rPr>
          <w:rFonts w:ascii="Calibri" w:eastAsia="Calibri" w:hAnsi="Calibri" w:cs="Calibri"/>
          <w:position w:val="13"/>
          <w:sz w:val="13"/>
          <w:szCs w:val="13"/>
        </w:rPr>
        <w:t>i</w:t>
      </w:r>
      <w:r>
        <w:rPr>
          <w:spacing w:val="5"/>
          <w:position w:val="14"/>
        </w:rPr>
        <w:t>——第</w:t>
      </w:r>
      <w:r>
        <w:rPr>
          <w:spacing w:val="-26"/>
          <w:position w:val="14"/>
        </w:rPr>
        <w:t xml:space="preserve"> </w:t>
      </w:r>
      <w:r>
        <w:rPr>
          <w:rFonts w:ascii="Calibri" w:eastAsia="Calibri" w:hAnsi="Calibri" w:cs="Calibri"/>
          <w:spacing w:val="5"/>
          <w:position w:val="14"/>
        </w:rPr>
        <w:t>i</w:t>
      </w:r>
      <w:r>
        <w:rPr>
          <w:rFonts w:ascii="Calibri" w:eastAsia="Calibri" w:hAnsi="Calibri" w:cs="Calibri"/>
          <w:spacing w:val="16"/>
          <w:position w:val="14"/>
        </w:rPr>
        <w:t xml:space="preserve"> </w:t>
      </w:r>
      <w:r>
        <w:rPr>
          <w:spacing w:val="5"/>
          <w:position w:val="14"/>
        </w:rPr>
        <w:t>个一级指标得分；</w:t>
      </w:r>
    </w:p>
    <w:p>
      <w:pPr>
        <w:pStyle w:val="BodyText"/>
        <w:spacing w:before="1" w:line="227" w:lineRule="auto"/>
        <w:ind w:left="511"/>
      </w:pPr>
      <w:r>
        <w:rPr>
          <w:spacing w:val="-61"/>
        </w:rPr>
        <w:t>θ</w:t>
      </w:r>
      <w:r>
        <w:rPr>
          <w:rFonts w:ascii="Calibri" w:eastAsia="Calibri" w:hAnsi="Calibri" w:cs="Calibri"/>
          <w:spacing w:val="6"/>
          <w:position w:val="-1"/>
          <w:sz w:val="13"/>
          <w:szCs w:val="13"/>
        </w:rPr>
        <w:t>i</w:t>
      </w:r>
      <w:r>
        <w:rPr>
          <w:spacing w:val="6"/>
        </w:rPr>
        <w:t>——第</w:t>
      </w:r>
      <w:r>
        <w:rPr>
          <w:spacing w:val="-33"/>
        </w:rPr>
        <w:t xml:space="preserve"> </w:t>
      </w:r>
      <w:r>
        <w:rPr>
          <w:rFonts w:ascii="Calibri" w:eastAsia="Calibri" w:hAnsi="Calibri" w:cs="Calibri"/>
          <w:spacing w:val="6"/>
        </w:rPr>
        <w:t>i</w:t>
      </w:r>
      <w:r>
        <w:rPr>
          <w:rFonts w:ascii="Calibri" w:eastAsia="Calibri" w:hAnsi="Calibri" w:cs="Calibri"/>
          <w:spacing w:val="16"/>
        </w:rPr>
        <w:t xml:space="preserve"> </w:t>
      </w:r>
      <w:r>
        <w:rPr>
          <w:spacing w:val="6"/>
        </w:rPr>
        <w:t>个一级指标权重；</w:t>
      </w:r>
    </w:p>
    <w:p>
      <w:pPr>
        <w:pStyle w:val="BodyText"/>
        <w:spacing w:before="152" w:line="228" w:lineRule="auto"/>
        <w:ind w:left="457"/>
      </w:pPr>
      <w:r>
        <w:rPr>
          <w:rFonts w:ascii="Calibri" w:eastAsia="Calibri" w:hAnsi="Calibri" w:cs="Calibri"/>
          <w:spacing w:val="8"/>
        </w:rPr>
        <w:t>n</w:t>
      </w:r>
      <w:r>
        <w:rPr>
          <w:spacing w:val="8"/>
        </w:rPr>
        <w:t>——该一级指标下二级指标的个数。</w:t>
      </w:r>
    </w:p>
    <w:p>
      <w:pPr>
        <w:pStyle w:val="BodyText"/>
        <w:spacing w:before="221" w:line="228" w:lineRule="auto"/>
        <w:ind w:left="30"/>
      </w:pPr>
      <w:r>
        <w:rPr>
          <w:rFonts w:ascii="SimHei" w:eastAsia="SimHei" w:hAnsi="SimHei" w:cs="SimHei"/>
          <w:spacing w:val="7"/>
        </w:rPr>
        <w:t>7.1.3</w:t>
      </w:r>
      <w:r>
        <w:rPr>
          <w:rFonts w:ascii="SimHei" w:eastAsia="SimHei" w:hAnsi="SimHei" w:cs="SimHei"/>
          <w:spacing w:val="7"/>
        </w:rPr>
        <w:t xml:space="preserve">  </w:t>
      </w:r>
      <w:r>
        <w:rPr>
          <w:spacing w:val="7"/>
        </w:rPr>
        <w:t>二级指标得分按公式（3）进行计算。</w:t>
      </w:r>
    </w:p>
    <w:p>
      <w:pPr>
        <w:spacing w:line="317" w:lineRule="auto"/>
        <w:rPr>
          <w:rFonts w:ascii="Arial"/>
          <w:sz w:val="21"/>
        </w:rPr>
        <w:sectPr>
          <w:footerReference w:type="default" r:id="rId15"/>
          <w:pgSz w:w="11906" w:h="16839"/>
          <w:pgMar w:top="1406" w:right="1133" w:bottom="1312" w:left="1396" w:header="0" w:footer="1134" w:gutter="0"/>
          <w:pgNumType w:start="5"/>
          <w:cols w:space="708"/>
        </w:sectPr>
      </w:pPr>
    </w:p>
    <w:p>
      <w:pPr>
        <w:pStyle w:val="BodyText"/>
        <w:spacing w:before="65" w:line="162" w:lineRule="auto"/>
        <w:jc w:val="right"/>
      </w:pPr>
      <w:r>
        <w:rPr>
          <w:spacing w:val="3"/>
          <w:position w:val="2"/>
        </w:rPr>
        <w:t>b</w:t>
      </w:r>
      <w:r>
        <w:rPr>
          <w:rFonts w:ascii="Cambria Math" w:eastAsia="Cambria Math" w:hAnsi="Cambria Math" w:cs="Cambria Math"/>
          <w:spacing w:val="3"/>
        </w:rPr>
        <w:t>=</w:t>
      </w:r>
      <w:r>
        <w:rPr>
          <w:rFonts w:ascii="Cambria Math" w:eastAsia="Cambria Math" w:hAnsi="Cambria Math" w:cs="Cambria Math"/>
          <w:spacing w:val="16"/>
          <w:w w:val="101"/>
        </w:rPr>
        <w:t xml:space="preserve"> </w:t>
      </w:r>
      <w:r>
        <w:rPr>
          <w:position w:val="-12"/>
        </w:rPr>
        <w:drawing>
          <wp:inline distT="0" distB="0" distL="0" distR="0">
            <wp:extent cx="3219303" cy="16341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6"/>
                    <a:stretch>
                      <a:fillRect/>
                    </a:stretch>
                  </pic:blipFill>
                  <pic:spPr>
                    <a:xfrm>
                      <a:off x="0" y="0"/>
                      <a:ext cx="3219303" cy="163418"/>
                    </a:xfrm>
                    <a:prstGeom prst="rect">
                      <a:avLst/>
                    </a:prstGeom>
                  </pic:spPr>
                </pic:pic>
              </a:graphicData>
            </a:graphic>
          </wp:inline>
        </w:drawing>
      </w:r>
    </w:p>
    <w:p>
      <w:pPr>
        <w:pStyle w:val="BodyText"/>
        <w:spacing w:before="293" w:line="228" w:lineRule="auto"/>
        <w:ind w:left="454"/>
      </w:pPr>
      <w:r>
        <w:rPr>
          <w:spacing w:val="1"/>
        </w:rPr>
        <w:t>式中：</w:t>
      </w:r>
    </w:p>
    <w:p>
      <w:pPr>
        <w:pStyle w:val="BodyText"/>
        <w:spacing w:before="153" w:line="221" w:lineRule="auto"/>
        <w:ind w:left="451"/>
      </w:pPr>
      <w:r>
        <w:rPr>
          <w:rFonts w:ascii="Calibri" w:eastAsia="Calibri" w:hAnsi="Calibri" w:cs="Calibri"/>
          <w:spacing w:val="7"/>
        </w:rPr>
        <w:t>q</w:t>
      </w:r>
      <w:r>
        <w:rPr>
          <w:spacing w:val="7"/>
        </w:rPr>
        <w:t>——服务评价得分；</w:t>
      </w:r>
    </w:p>
    <w:p>
      <w:pPr>
        <w:pStyle w:val="BodyText"/>
        <w:spacing w:before="159" w:line="401" w:lineRule="exact"/>
        <w:ind w:left="450"/>
      </w:pPr>
      <w:r>
        <w:rPr>
          <w:rFonts w:ascii="Calibri" w:eastAsia="Calibri" w:hAnsi="Calibri" w:cs="Calibri"/>
          <w:position w:val="14"/>
        </w:rPr>
        <w:t>ci</w:t>
      </w:r>
      <w:r>
        <w:rPr>
          <w:spacing w:val="6"/>
          <w:position w:val="14"/>
        </w:rPr>
        <w:t>——第</w:t>
      </w:r>
      <w:r>
        <w:rPr>
          <w:spacing w:val="-32"/>
          <w:position w:val="14"/>
        </w:rPr>
        <w:t xml:space="preserve"> </w:t>
      </w:r>
      <w:r>
        <w:rPr>
          <w:rFonts w:ascii="Calibri" w:eastAsia="Calibri" w:hAnsi="Calibri" w:cs="Calibri"/>
          <w:spacing w:val="6"/>
          <w:position w:val="14"/>
        </w:rPr>
        <w:t>i</w:t>
      </w:r>
      <w:r>
        <w:rPr>
          <w:rFonts w:ascii="Calibri" w:eastAsia="Calibri" w:hAnsi="Calibri" w:cs="Calibri"/>
          <w:spacing w:val="16"/>
          <w:position w:val="14"/>
        </w:rPr>
        <w:t xml:space="preserve"> </w:t>
      </w:r>
      <w:r>
        <w:rPr>
          <w:spacing w:val="6"/>
          <w:position w:val="14"/>
        </w:rPr>
        <w:t>个三级指标得分；</w:t>
      </w:r>
    </w:p>
    <w:p>
      <w:pPr>
        <w:pStyle w:val="BodyText"/>
        <w:spacing w:before="1" w:line="227" w:lineRule="auto"/>
        <w:ind w:left="501"/>
      </w:pPr>
      <w:r>
        <w:rPr>
          <w:spacing w:val="2"/>
        </w:rPr>
        <w:t>μ</w:t>
      </w:r>
      <w:r>
        <w:rPr>
          <w:rFonts w:ascii="Calibri" w:eastAsia="Calibri" w:hAnsi="Calibri" w:cs="Calibri"/>
          <w:spacing w:val="2"/>
        </w:rPr>
        <w:t>i</w:t>
      </w:r>
      <w:r>
        <w:rPr>
          <w:spacing w:val="2"/>
        </w:rPr>
        <w:t>——第</w:t>
      </w:r>
      <w:r>
        <w:rPr>
          <w:spacing w:val="-34"/>
        </w:rPr>
        <w:t xml:space="preserve"> </w:t>
      </w:r>
      <w:r>
        <w:rPr>
          <w:rFonts w:ascii="Calibri" w:eastAsia="Calibri" w:hAnsi="Calibri" w:cs="Calibri"/>
          <w:spacing w:val="2"/>
        </w:rPr>
        <w:t>i</w:t>
      </w:r>
      <w:r>
        <w:rPr>
          <w:rFonts w:ascii="Calibri" w:eastAsia="Calibri" w:hAnsi="Calibri" w:cs="Calibri"/>
          <w:spacing w:val="18"/>
          <w:w w:val="102"/>
        </w:rPr>
        <w:t xml:space="preserve"> </w:t>
      </w:r>
      <w:r>
        <w:rPr>
          <w:spacing w:val="2"/>
        </w:rPr>
        <w:t>个三级指标权重；</w:t>
      </w:r>
    </w:p>
    <w:p>
      <w:pPr>
        <w:spacing w:line="227" w:lineRule="auto"/>
        <w:sectPr>
          <w:footerReference w:type="default" r:id="rId17"/>
          <w:type w:val="nextPage"/>
          <w:pgSz w:w="11906" w:h="16839"/>
          <w:pgMar w:top="1406" w:right="1133" w:bottom="1312" w:left="1396" w:header="0" w:footer="1134" w:gutter="0"/>
          <w:pgNumType w:start="6"/>
          <w:cols w:space="708"/>
          <w:titlePg w:val="0"/>
        </w:sectPr>
      </w:pPr>
    </w:p>
    <w:p>
      <w:pPr>
        <w:pStyle w:val="BodyText"/>
        <w:spacing w:before="42" w:line="265" w:lineRule="exact"/>
        <w:ind w:left="7701"/>
        <w:rPr>
          <w:rFonts w:ascii="SimHei" w:eastAsia="SimHei" w:hAnsi="SimHei" w:cs="SimHei"/>
        </w:rPr>
      </w:pPr>
      <w:r>
        <w:rPr>
          <w:rFonts w:ascii="SimHei" w:eastAsia="SimHei" w:hAnsi="SimHei" w:cs="SimHei"/>
          <w:position w:val="1"/>
        </w:rPr>
        <w:t>GB</w:t>
      </w:r>
      <w:r>
        <w:rPr>
          <w:rFonts w:ascii="SimHei" w:eastAsia="SimHei" w:hAnsi="SimHei" w:cs="SimHei"/>
          <w:spacing w:val="24"/>
          <w:position w:val="1"/>
        </w:rPr>
        <w:t>/</w:t>
      </w:r>
      <w:r>
        <w:rPr>
          <w:rFonts w:ascii="SimHei" w:eastAsia="SimHei" w:hAnsi="SimHei" w:cs="SimHei"/>
          <w:position w:val="1"/>
        </w:rPr>
        <w:t>T</w:t>
      </w:r>
      <w:r>
        <w:rPr>
          <w:rFonts w:ascii="SimHei" w:eastAsia="SimHei" w:hAnsi="SimHei" w:cs="SimHei"/>
          <w:spacing w:val="24"/>
          <w:position w:val="1"/>
        </w:rPr>
        <w:t xml:space="preserve"> </w:t>
      </w:r>
      <w:r>
        <w:rPr>
          <w:rFonts w:ascii="SimHei" w:eastAsia="SimHei" w:hAnsi="SimHei" w:cs="SimHei"/>
          <w:position w:val="1"/>
        </w:rPr>
        <w:t>XXXXX</w:t>
      </w:r>
      <w:r>
        <w:rPr>
          <w:spacing w:val="24"/>
          <w:position w:val="1"/>
        </w:rPr>
        <w:t>—</w:t>
      </w:r>
      <w:r>
        <w:rPr>
          <w:rFonts w:ascii="SimHei" w:eastAsia="SimHei" w:hAnsi="SimHei" w:cs="SimHei"/>
          <w:position w:val="1"/>
        </w:rPr>
        <w:t>XXXX</w:t>
      </w:r>
    </w:p>
    <w:p>
      <w:pPr>
        <w:spacing w:line="287" w:lineRule="auto"/>
        <w:rPr>
          <w:rFonts w:ascii="Arial"/>
          <w:sz w:val="21"/>
        </w:rPr>
      </w:pPr>
    </w:p>
    <w:p>
      <w:pPr>
        <w:pStyle w:val="BodyText"/>
        <w:spacing w:before="65" w:line="228" w:lineRule="auto"/>
        <w:ind w:left="457"/>
      </w:pPr>
      <w:r>
        <w:rPr>
          <w:rFonts w:ascii="Calibri" w:eastAsia="Calibri" w:hAnsi="Calibri" w:cs="Calibri"/>
          <w:spacing w:val="8"/>
        </w:rPr>
        <w:t>n</w:t>
      </w:r>
      <w:r>
        <w:rPr>
          <w:spacing w:val="8"/>
        </w:rPr>
        <w:t>——该二级指标下三级指标的个数。</w:t>
      </w:r>
    </w:p>
    <w:p>
      <w:pPr>
        <w:spacing w:before="221" w:line="229" w:lineRule="auto"/>
        <w:rPr>
          <w:rFonts w:ascii="SimHei" w:eastAsia="SimHei" w:hAnsi="SimHei" w:cs="SimHei"/>
          <w:sz w:val="20"/>
          <w:szCs w:val="20"/>
        </w:rPr>
      </w:pPr>
      <w:r>
        <w:rPr>
          <w:rFonts w:ascii="SimHei" w:eastAsia="SimHei" w:hAnsi="SimHei" w:cs="SimHei"/>
          <w:position w:val="-2"/>
          <w:sz w:val="20"/>
          <w:szCs w:val="20"/>
        </w:rPr>
        <w:drawing>
          <wp:inline distT="0" distB="0" distL="0" distR="0">
            <wp:extent cx="222046" cy="124612"/>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8"/>
                    <a:stretch>
                      <a:fillRect/>
                    </a:stretch>
                  </pic:blipFill>
                  <pic:spPr>
                    <a:xfrm>
                      <a:off x="0" y="0"/>
                      <a:ext cx="222046" cy="124612"/>
                    </a:xfrm>
                    <a:prstGeom prst="rect">
                      <a:avLst/>
                    </a:prstGeom>
                  </pic:spPr>
                </pic:pic>
              </a:graphicData>
            </a:graphic>
          </wp:inline>
        </w:drawing>
      </w:r>
      <w:r>
        <w:rPr>
          <w:rFonts w:ascii="SimHei" w:eastAsia="SimHei" w:hAnsi="SimHei" w:cs="SimHei"/>
          <w:spacing w:val="3"/>
          <w:sz w:val="20"/>
          <w:szCs w:val="20"/>
        </w:rPr>
        <w:t xml:space="preserve">  </w:t>
      </w:r>
      <w:r>
        <w:rPr>
          <w:rFonts w:ascii="SimHei" w:eastAsia="SimHei" w:hAnsi="SimHei" w:cs="SimHei"/>
          <w:spacing w:val="8"/>
          <w:sz w:val="20"/>
          <w:szCs w:val="20"/>
        </w:rPr>
        <w:t>权重确定方法</w:t>
      </w:r>
    </w:p>
    <w:p>
      <w:pPr>
        <w:pStyle w:val="BodyText"/>
        <w:spacing w:before="219" w:line="268" w:lineRule="auto"/>
        <w:ind w:left="29" w:firstLine="419"/>
        <w:jc w:val="both"/>
      </w:pPr>
      <w:r>
        <w:rPr>
          <w:spacing w:val="9"/>
        </w:rPr>
        <w:t>权重确定方法包括熵值法、专家打分法。其中，土地托管效果（C）</w:t>
      </w:r>
      <w:r>
        <w:rPr>
          <w:spacing w:val="-60"/>
        </w:rPr>
        <w:t xml:space="preserve"> </w:t>
      </w:r>
      <w:r>
        <w:rPr>
          <w:spacing w:val="9"/>
        </w:rPr>
        <w:t>中涉及的三级指标权重</w:t>
      </w:r>
      <w:r>
        <w:rPr>
          <w:spacing w:val="8"/>
        </w:rPr>
        <w:t>，即土</w:t>
      </w:r>
      <w:r>
        <w:t xml:space="preserve">  </w:t>
      </w:r>
      <w:r>
        <w:rPr>
          <w:spacing w:val="3"/>
        </w:rPr>
        <w:t>地利用经济效益（C</w:t>
      </w:r>
      <w:r>
        <w:rPr>
          <w:spacing w:val="3"/>
          <w:position w:val="-2"/>
          <w:sz w:val="10"/>
          <w:szCs w:val="10"/>
        </w:rPr>
        <w:t>21</w:t>
      </w:r>
      <w:r>
        <w:rPr>
          <w:spacing w:val="-20"/>
          <w:position w:val="-2"/>
          <w:sz w:val="10"/>
          <w:szCs w:val="10"/>
        </w:rPr>
        <w:t xml:space="preserve"> </w:t>
      </w:r>
      <w:r>
        <w:rPr>
          <w:spacing w:val="3"/>
        </w:rPr>
        <w:t>）、土地利用社会效益（C</w:t>
      </w:r>
      <w:r>
        <w:rPr>
          <w:spacing w:val="3"/>
          <w:position w:val="-2"/>
          <w:sz w:val="10"/>
          <w:szCs w:val="10"/>
        </w:rPr>
        <w:t>22</w:t>
      </w:r>
      <w:r>
        <w:rPr>
          <w:spacing w:val="-19"/>
          <w:position w:val="-2"/>
          <w:sz w:val="10"/>
          <w:szCs w:val="10"/>
        </w:rPr>
        <w:t xml:space="preserve"> </w:t>
      </w:r>
      <w:r>
        <w:rPr>
          <w:spacing w:val="3"/>
        </w:rPr>
        <w:t>）、土地利用生</w:t>
      </w:r>
      <w:r>
        <w:rPr>
          <w:spacing w:val="2"/>
        </w:rPr>
        <w:t>态效益（C</w:t>
      </w:r>
      <w:r>
        <w:rPr>
          <w:spacing w:val="2"/>
          <w:position w:val="-2"/>
          <w:sz w:val="10"/>
          <w:szCs w:val="10"/>
        </w:rPr>
        <w:t>23</w:t>
      </w:r>
      <w:r>
        <w:rPr>
          <w:spacing w:val="-20"/>
          <w:position w:val="-2"/>
          <w:sz w:val="10"/>
          <w:szCs w:val="10"/>
        </w:rPr>
        <w:t xml:space="preserve"> </w:t>
      </w:r>
      <w:r>
        <w:rPr>
          <w:spacing w:val="2"/>
        </w:rPr>
        <w:t>）、耕地集约利用水平（C</w:t>
      </w:r>
      <w:r>
        <w:rPr>
          <w:spacing w:val="2"/>
          <w:position w:val="-2"/>
          <w:sz w:val="10"/>
          <w:szCs w:val="10"/>
        </w:rPr>
        <w:t>24</w:t>
      </w:r>
      <w:r>
        <w:rPr>
          <w:spacing w:val="2"/>
        </w:rPr>
        <w:t>）</w:t>
      </w:r>
      <w:r>
        <w:t xml:space="preserve"> </w:t>
      </w:r>
      <w:r>
        <w:rPr>
          <w:spacing w:val="9"/>
        </w:rPr>
        <w:t>的指标权重由熵值法确定；其他各项指标权重由专家打分法确定。</w:t>
      </w:r>
    </w:p>
    <w:p>
      <w:pPr>
        <w:spacing w:before="221" w:line="229" w:lineRule="auto"/>
        <w:rPr>
          <w:rFonts w:ascii="SimHei" w:eastAsia="SimHei" w:hAnsi="SimHei" w:cs="SimHei"/>
          <w:sz w:val="20"/>
          <w:szCs w:val="20"/>
        </w:rPr>
      </w:pPr>
      <w:r>
        <w:rPr>
          <w:rFonts w:ascii="SimHei" w:eastAsia="SimHei" w:hAnsi="SimHei" w:cs="SimHei"/>
          <w:position w:val="-2"/>
          <w:sz w:val="20"/>
          <w:szCs w:val="20"/>
        </w:rPr>
        <w:drawing>
          <wp:inline distT="0" distB="0" distL="0" distR="0">
            <wp:extent cx="222110" cy="12490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9"/>
                    <a:stretch>
                      <a:fillRect/>
                    </a:stretch>
                  </pic:blipFill>
                  <pic:spPr>
                    <a:xfrm>
                      <a:off x="0" y="0"/>
                      <a:ext cx="222110" cy="124904"/>
                    </a:xfrm>
                    <a:prstGeom prst="rect">
                      <a:avLst/>
                    </a:prstGeom>
                  </pic:spPr>
                </pic:pic>
              </a:graphicData>
            </a:graphic>
          </wp:inline>
        </w:drawing>
      </w:r>
      <w:r>
        <w:rPr>
          <w:rFonts w:ascii="SimHei" w:eastAsia="SimHei" w:hAnsi="SimHei" w:cs="SimHei"/>
          <w:spacing w:val="3"/>
          <w:sz w:val="20"/>
          <w:szCs w:val="20"/>
        </w:rPr>
        <w:t xml:space="preserve">  </w:t>
      </w:r>
      <w:r>
        <w:rPr>
          <w:rFonts w:ascii="SimHei" w:eastAsia="SimHei" w:hAnsi="SimHei" w:cs="SimHei"/>
          <w:spacing w:val="8"/>
          <w:sz w:val="20"/>
          <w:szCs w:val="20"/>
        </w:rPr>
        <w:t>指标获取方法</w:t>
      </w:r>
    </w:p>
    <w:p>
      <w:pPr>
        <w:pStyle w:val="BodyText"/>
        <w:spacing w:before="220" w:line="257" w:lineRule="auto"/>
        <w:ind w:left="30" w:right="89" w:firstLine="421"/>
      </w:pPr>
      <w:r>
        <w:rPr>
          <w:spacing w:val="7"/>
        </w:rPr>
        <w:t>指标获取方法包括问卷调查法、目标比较法、抽样调查法、资料查阅法、现场调查法，具体每项指</w:t>
      </w:r>
      <w:r>
        <w:rPr>
          <w:spacing w:val="17"/>
        </w:rPr>
        <w:t xml:space="preserve"> </w:t>
      </w:r>
      <w:r>
        <w:rPr>
          <w:spacing w:val="7"/>
        </w:rPr>
        <w:t>标的获取方法详见附录B。</w:t>
      </w:r>
    </w:p>
    <w:p>
      <w:pPr>
        <w:spacing w:before="223" w:line="229" w:lineRule="auto"/>
        <w:rPr>
          <w:rFonts w:ascii="SimHei" w:eastAsia="SimHei" w:hAnsi="SimHei" w:cs="SimHei"/>
          <w:sz w:val="20"/>
          <w:szCs w:val="20"/>
        </w:rPr>
      </w:pPr>
      <w:r>
        <w:rPr>
          <w:rFonts w:ascii="SimHei" w:eastAsia="SimHei" w:hAnsi="SimHei" w:cs="SimHei"/>
          <w:position w:val="-2"/>
          <w:sz w:val="20"/>
          <w:szCs w:val="20"/>
        </w:rPr>
        <w:drawing>
          <wp:inline distT="0" distB="0" distL="0" distR="0">
            <wp:extent cx="227012" cy="123926"/>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0"/>
                    <a:stretch>
                      <a:fillRect/>
                    </a:stretch>
                  </pic:blipFill>
                  <pic:spPr>
                    <a:xfrm>
                      <a:off x="0" y="0"/>
                      <a:ext cx="227012" cy="123926"/>
                    </a:xfrm>
                    <a:prstGeom prst="rect">
                      <a:avLst/>
                    </a:prstGeom>
                  </pic:spPr>
                </pic:pic>
              </a:graphicData>
            </a:graphic>
          </wp:inline>
        </w:drawing>
      </w:r>
      <w:r>
        <w:rPr>
          <w:rFonts w:ascii="SimHei" w:eastAsia="SimHei" w:hAnsi="SimHei" w:cs="SimHei"/>
          <w:spacing w:val="102"/>
          <w:sz w:val="20"/>
          <w:szCs w:val="20"/>
        </w:rPr>
        <w:t xml:space="preserve"> </w:t>
      </w:r>
      <w:r>
        <w:rPr>
          <w:rFonts w:ascii="SimHei" w:eastAsia="SimHei" w:hAnsi="SimHei" w:cs="SimHei"/>
          <w:spacing w:val="8"/>
          <w:sz w:val="20"/>
          <w:szCs w:val="20"/>
        </w:rPr>
        <w:t>指标评价赋分方法</w:t>
      </w:r>
    </w:p>
    <w:p>
      <w:pPr>
        <w:pStyle w:val="BodyText"/>
        <w:spacing w:before="219" w:line="624" w:lineRule="exact"/>
        <w:ind w:left="454"/>
      </w:pPr>
      <w:r>
        <w:rPr>
          <w:spacing w:val="9"/>
          <w:position w:val="32"/>
        </w:rPr>
        <w:t>宜采用百分制法对各项指标进行评价赋分，具体每项指标的赋分方法详见附录B。</w:t>
      </w:r>
    </w:p>
    <w:p>
      <w:pPr>
        <w:spacing w:before="1" w:line="229" w:lineRule="auto"/>
        <w:ind w:left="27"/>
        <w:rPr>
          <w:rFonts w:ascii="SimHei" w:eastAsia="SimHei" w:hAnsi="SimHei" w:cs="SimHei"/>
          <w:sz w:val="20"/>
          <w:szCs w:val="20"/>
        </w:rPr>
      </w:pPr>
      <w:r>
        <w:rPr>
          <w:rFonts w:ascii="SimHei" w:eastAsia="SimHei" w:hAnsi="SimHei" w:cs="SimHei"/>
          <w:spacing w:val="7"/>
          <w:sz w:val="20"/>
          <w:szCs w:val="20"/>
        </w:rPr>
        <w:t>8</w:t>
      </w:r>
      <w:r>
        <w:rPr>
          <w:rFonts w:ascii="SimHei" w:eastAsia="SimHei" w:hAnsi="SimHei" w:cs="SimHei"/>
          <w:spacing w:val="7"/>
          <w:sz w:val="20"/>
          <w:szCs w:val="20"/>
        </w:rPr>
        <w:t xml:space="preserve">  </w:t>
      </w:r>
      <w:r>
        <w:rPr>
          <w:rFonts w:ascii="SimHei" w:eastAsia="SimHei" w:hAnsi="SimHei" w:cs="SimHei"/>
          <w:spacing w:val="7"/>
          <w:sz w:val="20"/>
          <w:szCs w:val="20"/>
        </w:rPr>
        <w:t>评价报告要求</w:t>
      </w:r>
    </w:p>
    <w:p>
      <w:pPr>
        <w:spacing w:line="308" w:lineRule="auto"/>
        <w:rPr>
          <w:rFonts w:ascii="Arial"/>
          <w:sz w:val="21"/>
        </w:rPr>
      </w:pPr>
    </w:p>
    <w:p>
      <w:pPr>
        <w:pStyle w:val="BodyText"/>
        <w:spacing w:before="66" w:line="257" w:lineRule="auto"/>
        <w:ind w:left="30" w:right="89" w:firstLine="419"/>
      </w:pPr>
      <w:r>
        <w:rPr>
          <w:spacing w:val="8"/>
        </w:rPr>
        <w:t>根据各项分值，结合综合分析，给出评价书面</w:t>
      </w:r>
      <w:r>
        <w:rPr>
          <w:spacing w:val="7"/>
        </w:rPr>
        <w:t>报告，并附带评价过程记录，评价报告内容应包括评</w:t>
      </w:r>
      <w:r>
        <w:t xml:space="preserve"> </w:t>
      </w:r>
      <w:r>
        <w:rPr>
          <w:spacing w:val="9"/>
        </w:rPr>
        <w:t>价依据、评价流程、评价结果、存在问题、改进建议等。</w:t>
      </w:r>
    </w:p>
    <w:p>
      <w:pPr>
        <w:pStyle w:val="BodyText"/>
        <w:spacing w:before="67" w:line="226" w:lineRule="auto"/>
        <w:ind w:left="449"/>
      </w:pPr>
      <w:r>
        <w:rPr>
          <w:spacing w:val="8"/>
        </w:rPr>
        <w:t>评价报告应至少满足以下要求；</w:t>
      </w:r>
    </w:p>
    <w:p>
      <w:pPr>
        <w:pStyle w:val="BodyText"/>
        <w:spacing w:before="67" w:line="226" w:lineRule="auto"/>
        <w:ind w:left="455"/>
      </w:pPr>
      <w:r>
        <w:rPr>
          <w:spacing w:val="9"/>
        </w:rPr>
        <w:t>a)  对采集的数据和信息进行定性或定量分析，根据分析结果评价土地托管服务水平；</w:t>
      </w:r>
    </w:p>
    <w:p>
      <w:pPr>
        <w:pStyle w:val="BodyText"/>
        <w:spacing w:before="67" w:line="312" w:lineRule="exact"/>
        <w:ind w:left="451"/>
      </w:pPr>
      <w:r>
        <w:rPr>
          <w:spacing w:val="9"/>
          <w:position w:val="7"/>
        </w:rPr>
        <w:t>b)  评价结果应当能够反映具体土地托管服务的</w:t>
      </w:r>
      <w:r>
        <w:rPr>
          <w:spacing w:val="8"/>
          <w:position w:val="7"/>
        </w:rPr>
        <w:t>客观水平；</w:t>
      </w:r>
    </w:p>
    <w:p>
      <w:pPr>
        <w:pStyle w:val="BodyText"/>
        <w:spacing w:line="227" w:lineRule="auto"/>
        <w:ind w:left="458"/>
      </w:pPr>
      <w:r>
        <w:rPr>
          <w:spacing w:val="6"/>
        </w:rPr>
        <w:t>c)  提出改进建议沟通。</w:t>
      </w:r>
    </w:p>
    <w:p>
      <w:pPr>
        <w:pStyle w:val="BodyText"/>
        <w:spacing w:before="66" w:line="226" w:lineRule="auto"/>
        <w:ind w:left="448"/>
      </w:pPr>
      <w:r>
        <w:rPr>
          <w:spacing w:val="9"/>
        </w:rPr>
        <w:t>报告内容见土地托管服务评价报告（附录C）的规定。</w:t>
      </w:r>
    </w:p>
    <w:p>
      <w:pPr>
        <w:spacing w:line="226" w:lineRule="auto"/>
        <w:sectPr>
          <w:footerReference w:type="default" r:id="rId21"/>
          <w:pgSz w:w="11906" w:h="16839"/>
          <w:pgMar w:top="1406" w:right="1047" w:bottom="1312" w:left="1396" w:header="0" w:footer="1134" w:gutter="0"/>
          <w:pgNumType w:start="7"/>
          <w:cols w:space="708"/>
        </w:sectPr>
      </w:pPr>
    </w:p>
    <w:p>
      <w:pPr>
        <w:pStyle w:val="BodyText"/>
        <w:spacing w:before="42" w:line="265" w:lineRule="exact"/>
        <w:ind w:left="7793"/>
        <w:rPr>
          <w:rFonts w:ascii="SimHei" w:eastAsia="SimHei" w:hAnsi="SimHei" w:cs="SimHei"/>
        </w:rPr>
      </w:pPr>
      <w:r>
        <w:rPr>
          <w:rFonts w:ascii="SimHei" w:eastAsia="SimHei" w:hAnsi="SimHei" w:cs="SimHei"/>
          <w:position w:val="1"/>
        </w:rPr>
        <w:t>GB</w:t>
      </w:r>
      <w:r>
        <w:rPr>
          <w:rFonts w:ascii="SimHei" w:eastAsia="SimHei" w:hAnsi="SimHei" w:cs="SimHei"/>
          <w:spacing w:val="24"/>
          <w:position w:val="1"/>
        </w:rPr>
        <w:t>/</w:t>
      </w:r>
      <w:r>
        <w:rPr>
          <w:rFonts w:ascii="SimHei" w:eastAsia="SimHei" w:hAnsi="SimHei" w:cs="SimHei"/>
          <w:position w:val="1"/>
        </w:rPr>
        <w:t>T</w:t>
      </w:r>
      <w:r>
        <w:rPr>
          <w:rFonts w:ascii="SimHei" w:eastAsia="SimHei" w:hAnsi="SimHei" w:cs="SimHei"/>
          <w:spacing w:val="24"/>
          <w:position w:val="1"/>
        </w:rPr>
        <w:t xml:space="preserve"> </w:t>
      </w:r>
      <w:r>
        <w:rPr>
          <w:rFonts w:ascii="SimHei" w:eastAsia="SimHei" w:hAnsi="SimHei" w:cs="SimHei"/>
          <w:position w:val="1"/>
        </w:rPr>
        <w:t>XXXXX</w:t>
      </w:r>
      <w:r>
        <w:rPr>
          <w:spacing w:val="24"/>
          <w:position w:val="1"/>
        </w:rPr>
        <w:t>—</w:t>
      </w:r>
      <w:r>
        <w:rPr>
          <w:rFonts w:ascii="SimHei" w:eastAsia="SimHei" w:hAnsi="SimHei" w:cs="SimHei"/>
          <w:position w:val="1"/>
        </w:rPr>
        <w:t>XXXX</w:t>
      </w:r>
    </w:p>
    <w:p>
      <w:pPr>
        <w:pStyle w:val="BodyText"/>
        <w:spacing w:before="210" w:line="28" w:lineRule="exact"/>
        <w:ind w:left="4791"/>
        <w:rPr>
          <w:sz w:val="2"/>
          <w:szCs w:val="2"/>
        </w:rPr>
      </w:pPr>
      <w:r>
        <w:rPr>
          <w:rFonts w:ascii="SimHei" w:eastAsia="SimHei" w:hAnsi="SimHei" w:cs="SimHei"/>
          <w:spacing w:val="-1"/>
          <w:sz w:val="2"/>
          <w:szCs w:val="2"/>
        </w:rPr>
        <w:t>A</w:t>
      </w:r>
      <w:r>
        <w:rPr>
          <w:rFonts w:ascii="SimHei" w:eastAsia="SimHei" w:hAnsi="SimHei" w:cs="SimHei"/>
          <w:sz w:val="2"/>
          <w:szCs w:val="2"/>
        </w:rPr>
        <w:t xml:space="preserve">                   </w:t>
      </w:r>
      <w:r>
        <w:rPr>
          <w:spacing w:val="-1"/>
          <w:sz w:val="2"/>
          <w:szCs w:val="2"/>
        </w:rPr>
        <w:t>A</w:t>
      </w:r>
    </w:p>
    <w:p>
      <w:pPr>
        <w:spacing w:line="273" w:lineRule="auto"/>
        <w:rPr>
          <w:rFonts w:ascii="Arial"/>
          <w:sz w:val="21"/>
        </w:rPr>
      </w:pPr>
    </w:p>
    <w:p>
      <w:pPr>
        <w:spacing w:line="273" w:lineRule="auto"/>
        <w:rPr>
          <w:rFonts w:ascii="Arial"/>
          <w:sz w:val="21"/>
        </w:rPr>
      </w:pPr>
    </w:p>
    <w:p>
      <w:pPr>
        <w:spacing w:before="65" w:line="312" w:lineRule="exact"/>
        <w:ind w:left="4246"/>
        <w:rPr>
          <w:rFonts w:ascii="SimHei" w:eastAsia="SimHei" w:hAnsi="SimHei" w:cs="SimHei"/>
          <w:sz w:val="20"/>
          <w:szCs w:val="20"/>
        </w:rPr>
      </w:pPr>
      <w:r>
        <w:rPr>
          <w:rFonts w:ascii="SimHei" w:eastAsia="SimHei" w:hAnsi="SimHei" w:cs="SimHei"/>
          <w:spacing w:val="-4"/>
          <w:position w:val="7"/>
          <w:sz w:val="20"/>
          <w:szCs w:val="20"/>
        </w:rPr>
        <w:t>附</w:t>
      </w:r>
      <w:r>
        <w:rPr>
          <w:rFonts w:ascii="SimHei" w:eastAsia="SimHei" w:hAnsi="SimHei" w:cs="SimHei"/>
          <w:spacing w:val="6"/>
          <w:position w:val="7"/>
          <w:sz w:val="20"/>
          <w:szCs w:val="20"/>
        </w:rPr>
        <w:t xml:space="preserve">  </w:t>
      </w:r>
      <w:r>
        <w:rPr>
          <w:rFonts w:ascii="SimHei" w:eastAsia="SimHei" w:hAnsi="SimHei" w:cs="SimHei"/>
          <w:spacing w:val="-4"/>
          <w:position w:val="7"/>
          <w:sz w:val="20"/>
          <w:szCs w:val="20"/>
        </w:rPr>
        <w:t>录</w:t>
      </w:r>
      <w:r>
        <w:rPr>
          <w:rFonts w:ascii="SimHei" w:eastAsia="SimHei" w:hAnsi="SimHei" w:cs="SimHei"/>
          <w:spacing w:val="1"/>
          <w:position w:val="7"/>
          <w:sz w:val="20"/>
          <w:szCs w:val="20"/>
        </w:rPr>
        <w:t xml:space="preserve">   </w:t>
      </w:r>
      <w:r>
        <w:rPr>
          <w:rFonts w:ascii="SimHei" w:eastAsia="SimHei" w:hAnsi="SimHei" w:cs="SimHei"/>
          <w:spacing w:val="-4"/>
          <w:position w:val="7"/>
          <w:sz w:val="20"/>
          <w:szCs w:val="20"/>
        </w:rPr>
        <w:t>A</w:t>
      </w:r>
    </w:p>
    <w:p>
      <w:pPr>
        <w:spacing w:line="231" w:lineRule="auto"/>
        <w:ind w:left="4291"/>
        <w:rPr>
          <w:rFonts w:ascii="SimHei" w:eastAsia="SimHei" w:hAnsi="SimHei" w:cs="SimHei"/>
          <w:sz w:val="20"/>
          <w:szCs w:val="20"/>
        </w:rPr>
      </w:pPr>
      <w:r>
        <w:rPr>
          <w:rFonts w:ascii="SimHei" w:eastAsia="SimHei" w:hAnsi="SimHei" w:cs="SimHei"/>
          <w:spacing w:val="2"/>
          <w:sz w:val="20"/>
          <w:szCs w:val="20"/>
        </w:rPr>
        <w:t>（规范性）</w:t>
      </w:r>
    </w:p>
    <w:p>
      <w:pPr>
        <w:spacing w:before="61" w:line="468" w:lineRule="exact"/>
        <w:ind w:left="3853"/>
        <w:rPr>
          <w:rFonts w:ascii="SimHei" w:eastAsia="SimHei" w:hAnsi="SimHei" w:cs="SimHei"/>
          <w:sz w:val="20"/>
          <w:szCs w:val="20"/>
        </w:rPr>
      </w:pPr>
      <w:r>
        <w:rPr>
          <w:rFonts w:ascii="SimHei" w:eastAsia="SimHei" w:hAnsi="SimHei" w:cs="SimHei"/>
          <w:spacing w:val="8"/>
          <w:position w:val="20"/>
          <w:sz w:val="20"/>
          <w:szCs w:val="20"/>
        </w:rPr>
        <w:t>土地托管服务评价表</w:t>
      </w:r>
    </w:p>
    <w:p>
      <w:pPr>
        <w:pStyle w:val="BodyText"/>
        <w:spacing w:line="226" w:lineRule="auto"/>
        <w:ind w:left="542"/>
      </w:pPr>
      <w:r>
        <w:rPr>
          <w:spacing w:val="8"/>
        </w:rPr>
        <w:t>土地托管服务评价指标体系表见表A.1。</w:t>
      </w:r>
    </w:p>
    <w:p>
      <w:pPr>
        <w:spacing w:before="223" w:line="229" w:lineRule="auto"/>
        <w:ind w:left="3093"/>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28"/>
          <w:sz w:val="20"/>
          <w:szCs w:val="20"/>
        </w:rPr>
        <w:t xml:space="preserve"> </w:t>
      </w:r>
      <w:r>
        <w:rPr>
          <w:rFonts w:ascii="SimHei" w:eastAsia="SimHei" w:hAnsi="SimHei" w:cs="SimHei"/>
          <w:spacing w:val="7"/>
          <w:sz w:val="20"/>
          <w:szCs w:val="20"/>
        </w:rPr>
        <w:t>A.1</w:t>
      </w:r>
      <w:r>
        <w:rPr>
          <w:rFonts w:ascii="SimHei" w:eastAsia="SimHei" w:hAnsi="SimHei" w:cs="SimHei"/>
          <w:spacing w:val="7"/>
          <w:sz w:val="20"/>
          <w:szCs w:val="20"/>
        </w:rPr>
        <w:t xml:space="preserve"> </w:t>
      </w:r>
      <w:r>
        <w:rPr>
          <w:rFonts w:ascii="SimHei" w:eastAsia="SimHei" w:hAnsi="SimHei" w:cs="SimHei"/>
          <w:spacing w:val="7"/>
          <w:sz w:val="20"/>
          <w:szCs w:val="20"/>
        </w:rPr>
        <w:t>土地托管服务评价指标体系表</w:t>
      </w:r>
    </w:p>
    <w:tbl>
      <w:tblPr>
        <w:tblStyle w:val="TableNormal0"/>
        <w:tblW w:w="95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8"/>
        <w:gridCol w:w="1417"/>
        <w:gridCol w:w="1840"/>
        <w:gridCol w:w="4928"/>
      </w:tblGrid>
      <w:tr>
        <w:tblPrEx>
          <w:tblW w:w="95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9"/>
        </w:trPr>
        <w:tc>
          <w:tcPr>
            <w:tcW w:w="1388" w:type="dxa"/>
            <w:vAlign w:val="top"/>
          </w:tcPr>
          <w:p>
            <w:pPr>
              <w:spacing w:before="171" w:line="221" w:lineRule="auto"/>
              <w:ind w:left="341"/>
              <w:rPr>
                <w:rFonts w:ascii="SimHei" w:eastAsia="SimHei" w:hAnsi="SimHei" w:cs="SimHei"/>
                <w:sz w:val="18"/>
                <w:szCs w:val="18"/>
              </w:rPr>
            </w:pPr>
            <w:r>
              <w:rPr>
                <w:rFonts w:ascii="SimHei" w:eastAsia="SimHei" w:hAnsi="SimHei" w:cs="SimHei"/>
                <w:spacing w:val="-3"/>
                <w:sz w:val="18"/>
                <w:szCs w:val="18"/>
              </w:rPr>
              <w:t>一级指标</w:t>
            </w:r>
          </w:p>
        </w:tc>
        <w:tc>
          <w:tcPr>
            <w:tcW w:w="1417" w:type="dxa"/>
            <w:vAlign w:val="top"/>
          </w:tcPr>
          <w:p>
            <w:pPr>
              <w:spacing w:before="171" w:line="221" w:lineRule="auto"/>
              <w:ind w:left="354"/>
              <w:rPr>
                <w:rFonts w:ascii="SimHei" w:eastAsia="SimHei" w:hAnsi="SimHei" w:cs="SimHei"/>
                <w:sz w:val="18"/>
                <w:szCs w:val="18"/>
              </w:rPr>
            </w:pPr>
            <w:r>
              <w:rPr>
                <w:rFonts w:ascii="SimHei" w:eastAsia="SimHei" w:hAnsi="SimHei" w:cs="SimHei"/>
                <w:spacing w:val="-3"/>
                <w:sz w:val="18"/>
                <w:szCs w:val="18"/>
              </w:rPr>
              <w:t>二级指标</w:t>
            </w:r>
          </w:p>
        </w:tc>
        <w:tc>
          <w:tcPr>
            <w:tcW w:w="1840" w:type="dxa"/>
            <w:vAlign w:val="top"/>
          </w:tcPr>
          <w:p>
            <w:pPr>
              <w:spacing w:before="171" w:line="221" w:lineRule="auto"/>
              <w:ind w:left="568"/>
              <w:rPr>
                <w:rFonts w:ascii="SimHei" w:eastAsia="SimHei" w:hAnsi="SimHei" w:cs="SimHei"/>
                <w:sz w:val="18"/>
                <w:szCs w:val="18"/>
              </w:rPr>
            </w:pPr>
            <w:r>
              <w:rPr>
                <w:rFonts w:ascii="SimHei" w:eastAsia="SimHei" w:hAnsi="SimHei" w:cs="SimHei"/>
                <w:spacing w:val="-3"/>
                <w:sz w:val="18"/>
                <w:szCs w:val="18"/>
              </w:rPr>
              <w:t>三级指标</w:t>
            </w:r>
          </w:p>
        </w:tc>
        <w:tc>
          <w:tcPr>
            <w:tcW w:w="4928" w:type="dxa"/>
            <w:vAlign w:val="top"/>
          </w:tcPr>
          <w:p>
            <w:pPr>
              <w:spacing w:before="171" w:line="223" w:lineRule="auto"/>
              <w:ind w:left="2107"/>
              <w:rPr>
                <w:rFonts w:ascii="SimHei" w:eastAsia="SimHei" w:hAnsi="SimHei" w:cs="SimHei"/>
                <w:sz w:val="18"/>
                <w:szCs w:val="18"/>
              </w:rPr>
            </w:pPr>
            <w:r>
              <w:rPr>
                <w:rFonts w:ascii="SimHei" w:eastAsia="SimHei" w:hAnsi="SimHei" w:cs="SimHei"/>
                <w:spacing w:val="-2"/>
                <w:sz w:val="18"/>
                <w:szCs w:val="18"/>
              </w:rPr>
              <w:t>指标内涵</w:t>
            </w:r>
          </w:p>
        </w:tc>
      </w:tr>
      <w:tr>
        <w:tblPrEx>
          <w:tblW w:w="9573" w:type="dxa"/>
          <w:tblInd w:w="2" w:type="dxa"/>
          <w:tblLayout w:type="fixed"/>
        </w:tblPrEx>
        <w:trPr>
          <w:trHeight w:val="405"/>
        </w:trPr>
        <w:tc>
          <w:tcPr>
            <w:tcW w:w="1388"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59" w:line="219" w:lineRule="auto"/>
              <w:ind w:left="115"/>
            </w:pPr>
            <w:r>
              <w:rPr>
                <w:spacing w:val="-2"/>
              </w:rPr>
              <w:t>基本要求（A）</w:t>
            </w:r>
          </w:p>
        </w:tc>
        <w:tc>
          <w:tcPr>
            <w:tcW w:w="1417" w:type="dxa"/>
            <w:vMerge w:val="restart"/>
            <w:tcBorders>
              <w:bottom w:val="nil"/>
            </w:tcBorders>
            <w:vAlign w:val="top"/>
          </w:tcPr>
          <w:p>
            <w:pPr>
              <w:spacing w:line="311" w:lineRule="auto"/>
              <w:rPr>
                <w:rFonts w:ascii="Arial"/>
                <w:sz w:val="21"/>
              </w:rPr>
            </w:pPr>
          </w:p>
          <w:p>
            <w:pPr>
              <w:pStyle w:val="TableText"/>
              <w:spacing w:before="59" w:line="219" w:lineRule="auto"/>
              <w:ind w:left="111"/>
            </w:pPr>
            <w:r>
              <w:rPr>
                <w:spacing w:val="-1"/>
              </w:rPr>
              <w:t>组织资质（A</w:t>
            </w:r>
            <w:r>
              <w:rPr>
                <w:spacing w:val="-1"/>
                <w:position w:val="-2"/>
                <w:sz w:val="8"/>
                <w:szCs w:val="8"/>
              </w:rPr>
              <w:t>1</w:t>
            </w:r>
            <w:r>
              <w:rPr>
                <w:spacing w:val="-1"/>
              </w:rPr>
              <w:t>）</w:t>
            </w:r>
          </w:p>
        </w:tc>
        <w:tc>
          <w:tcPr>
            <w:tcW w:w="1840" w:type="dxa"/>
            <w:vAlign w:val="top"/>
          </w:tcPr>
          <w:p>
            <w:pPr>
              <w:pStyle w:val="TableText"/>
              <w:spacing w:before="168" w:line="219" w:lineRule="auto"/>
              <w:ind w:left="110"/>
            </w:pPr>
            <w:r>
              <w:t>服务组织资质（A</w:t>
            </w:r>
            <w:r>
              <w:rPr>
                <w:position w:val="-2"/>
                <w:sz w:val="8"/>
                <w:szCs w:val="8"/>
              </w:rPr>
              <w:t>11</w:t>
            </w:r>
            <w:r>
              <w:t>）</w:t>
            </w:r>
          </w:p>
        </w:tc>
        <w:tc>
          <w:tcPr>
            <w:tcW w:w="4928" w:type="dxa"/>
            <w:vAlign w:val="top"/>
          </w:tcPr>
          <w:p>
            <w:pPr>
              <w:pStyle w:val="TableText"/>
              <w:spacing w:before="168" w:line="219" w:lineRule="auto"/>
              <w:ind w:left="111"/>
            </w:pPr>
            <w:r>
              <w:rPr>
                <w:spacing w:val="-1"/>
              </w:rPr>
              <w:t>服务组织在该领域内具备从事托管服务的资格和条件</w:t>
            </w:r>
          </w:p>
        </w:tc>
      </w:tr>
      <w:tr>
        <w:tblPrEx>
          <w:tblW w:w="9573" w:type="dxa"/>
          <w:tblInd w:w="2" w:type="dxa"/>
          <w:tblLayout w:type="fixed"/>
        </w:tblPrEx>
        <w:trPr>
          <w:trHeight w:val="405"/>
        </w:trPr>
        <w:tc>
          <w:tcPr>
            <w:tcW w:w="1388" w:type="dxa"/>
            <w:vMerge/>
            <w:tcBorders>
              <w:top w:val="nil"/>
              <w:bottom w:val="nil"/>
            </w:tcBorders>
            <w:vAlign w:val="top"/>
          </w:tcPr>
          <w:p>
            <w:pPr>
              <w:rPr>
                <w:rFonts w:ascii="Arial"/>
                <w:sz w:val="21"/>
              </w:rPr>
            </w:pPr>
          </w:p>
        </w:tc>
        <w:tc>
          <w:tcPr>
            <w:tcW w:w="1417" w:type="dxa"/>
            <w:vMerge/>
            <w:tcBorders>
              <w:top w:val="nil"/>
            </w:tcBorders>
            <w:vAlign w:val="top"/>
          </w:tcPr>
          <w:p>
            <w:pPr>
              <w:rPr>
                <w:rFonts w:ascii="Arial"/>
                <w:sz w:val="21"/>
              </w:rPr>
            </w:pPr>
          </w:p>
        </w:tc>
        <w:tc>
          <w:tcPr>
            <w:tcW w:w="1840" w:type="dxa"/>
            <w:vAlign w:val="top"/>
          </w:tcPr>
          <w:p>
            <w:pPr>
              <w:pStyle w:val="TableText"/>
              <w:spacing w:before="166" w:line="219" w:lineRule="auto"/>
              <w:ind w:left="110"/>
            </w:pPr>
            <w:r>
              <w:t>服务人员资质（A</w:t>
            </w:r>
            <w:r>
              <w:rPr>
                <w:position w:val="-2"/>
                <w:sz w:val="8"/>
                <w:szCs w:val="8"/>
              </w:rPr>
              <w:t>12</w:t>
            </w:r>
            <w:r>
              <w:t>）</w:t>
            </w:r>
          </w:p>
        </w:tc>
        <w:tc>
          <w:tcPr>
            <w:tcW w:w="4928" w:type="dxa"/>
            <w:vAlign w:val="top"/>
          </w:tcPr>
          <w:p>
            <w:pPr>
              <w:pStyle w:val="TableText"/>
              <w:spacing w:before="166" w:line="219" w:lineRule="auto"/>
              <w:ind w:left="113"/>
            </w:pPr>
            <w:r>
              <w:rPr>
                <w:spacing w:val="-1"/>
              </w:rPr>
              <w:t>从事服务行业的工作人员所具备的专业知识、技能和素养</w:t>
            </w:r>
          </w:p>
        </w:tc>
      </w:tr>
      <w:tr>
        <w:tblPrEx>
          <w:tblW w:w="9573" w:type="dxa"/>
          <w:tblInd w:w="2" w:type="dxa"/>
          <w:tblLayout w:type="fixed"/>
        </w:tblPrEx>
        <w:trPr>
          <w:trHeight w:val="405"/>
        </w:trPr>
        <w:tc>
          <w:tcPr>
            <w:tcW w:w="1388" w:type="dxa"/>
            <w:vMerge/>
            <w:tcBorders>
              <w:top w:val="nil"/>
              <w:bottom w:val="nil"/>
            </w:tcBorders>
            <w:vAlign w:val="top"/>
          </w:tcPr>
          <w:p>
            <w:pPr>
              <w:rPr>
                <w:rFonts w:ascii="Arial"/>
                <w:sz w:val="21"/>
              </w:rPr>
            </w:pPr>
          </w:p>
        </w:tc>
        <w:tc>
          <w:tcPr>
            <w:tcW w:w="1417" w:type="dxa"/>
            <w:vMerge w:val="restart"/>
            <w:tcBorders>
              <w:bottom w:val="nil"/>
            </w:tcBorders>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58" w:line="219" w:lineRule="auto"/>
              <w:ind w:left="112"/>
            </w:pPr>
            <w:r>
              <w:rPr>
                <w:spacing w:val="-1"/>
              </w:rPr>
              <w:t>设施设备（A</w:t>
            </w:r>
            <w:r>
              <w:rPr>
                <w:spacing w:val="-1"/>
                <w:position w:val="-2"/>
                <w:sz w:val="8"/>
                <w:szCs w:val="8"/>
              </w:rPr>
              <w:t>2</w:t>
            </w:r>
            <w:r>
              <w:rPr>
                <w:spacing w:val="-1"/>
              </w:rPr>
              <w:t>）</w:t>
            </w:r>
          </w:p>
        </w:tc>
        <w:tc>
          <w:tcPr>
            <w:tcW w:w="1840" w:type="dxa"/>
            <w:vAlign w:val="top"/>
          </w:tcPr>
          <w:p>
            <w:pPr>
              <w:pStyle w:val="TableText"/>
              <w:spacing w:before="166" w:line="219" w:lineRule="auto"/>
              <w:ind w:left="112"/>
            </w:pPr>
            <w:r>
              <w:t>经营服务场所（A</w:t>
            </w:r>
            <w:r>
              <w:rPr>
                <w:position w:val="-2"/>
                <w:sz w:val="8"/>
                <w:szCs w:val="8"/>
              </w:rPr>
              <w:t>21</w:t>
            </w:r>
            <w:r>
              <w:t>）</w:t>
            </w:r>
          </w:p>
        </w:tc>
        <w:tc>
          <w:tcPr>
            <w:tcW w:w="4928" w:type="dxa"/>
            <w:vAlign w:val="top"/>
          </w:tcPr>
          <w:p>
            <w:pPr>
              <w:pStyle w:val="TableText"/>
              <w:spacing w:before="166" w:line="219" w:lineRule="auto"/>
              <w:ind w:left="112"/>
            </w:pPr>
            <w:r>
              <w:rPr>
                <w:spacing w:val="-1"/>
              </w:rPr>
              <w:t>提供土地托管服务所需要的固定空间和办公设施等</w:t>
            </w:r>
          </w:p>
        </w:tc>
      </w:tr>
      <w:tr>
        <w:tblPrEx>
          <w:tblW w:w="9573" w:type="dxa"/>
          <w:tblInd w:w="2" w:type="dxa"/>
          <w:tblLayout w:type="fixed"/>
        </w:tblPrEx>
        <w:trPr>
          <w:trHeight w:val="1204"/>
        </w:trPr>
        <w:tc>
          <w:tcPr>
            <w:tcW w:w="1388" w:type="dxa"/>
            <w:vMerge/>
            <w:tcBorders>
              <w:top w:val="nil"/>
              <w:bottom w:val="nil"/>
            </w:tcBorders>
            <w:vAlign w:val="top"/>
          </w:tcPr>
          <w:p>
            <w:pPr>
              <w:rPr>
                <w:rFonts w:ascii="Arial"/>
                <w:sz w:val="21"/>
              </w:rPr>
            </w:pPr>
          </w:p>
        </w:tc>
        <w:tc>
          <w:tcPr>
            <w:tcW w:w="1417" w:type="dxa"/>
            <w:vMerge/>
            <w:tcBorders>
              <w:top w:val="nil"/>
              <w:bottom w:val="nil"/>
            </w:tcBorders>
            <w:vAlign w:val="top"/>
          </w:tcPr>
          <w:p>
            <w:pPr>
              <w:rPr>
                <w:rFonts w:ascii="Arial"/>
                <w:sz w:val="21"/>
              </w:rPr>
            </w:pPr>
          </w:p>
        </w:tc>
        <w:tc>
          <w:tcPr>
            <w:tcW w:w="1840" w:type="dxa"/>
            <w:vAlign w:val="top"/>
          </w:tcPr>
          <w:p>
            <w:pPr>
              <w:spacing w:line="253" w:lineRule="auto"/>
              <w:rPr>
                <w:rFonts w:ascii="Arial"/>
                <w:sz w:val="21"/>
              </w:rPr>
            </w:pPr>
          </w:p>
          <w:p>
            <w:pPr>
              <w:spacing w:line="253" w:lineRule="auto"/>
              <w:rPr>
                <w:rFonts w:ascii="Arial"/>
                <w:sz w:val="21"/>
              </w:rPr>
            </w:pPr>
          </w:p>
          <w:p>
            <w:pPr>
              <w:pStyle w:val="TableText"/>
              <w:spacing w:before="58" w:line="219" w:lineRule="auto"/>
              <w:ind w:left="110"/>
            </w:pPr>
            <w:r>
              <w:t>配套设备（A</w:t>
            </w:r>
            <w:r>
              <w:rPr>
                <w:position w:val="-2"/>
                <w:sz w:val="8"/>
                <w:szCs w:val="8"/>
              </w:rPr>
              <w:t>22</w:t>
            </w:r>
            <w:r>
              <w:t>）</w:t>
            </w:r>
          </w:p>
        </w:tc>
        <w:tc>
          <w:tcPr>
            <w:tcW w:w="4928" w:type="dxa"/>
            <w:vAlign w:val="top"/>
          </w:tcPr>
          <w:p>
            <w:pPr>
              <w:pStyle w:val="TableText"/>
              <w:spacing w:before="166" w:line="410" w:lineRule="auto"/>
              <w:ind w:left="114" w:right="108"/>
              <w:jc w:val="both"/>
            </w:pPr>
            <w:r>
              <w:t>与土地托管服务相关的设备、工具或设施，用于支持和提供</w:t>
            </w:r>
            <w:r>
              <w:rPr>
                <w:spacing w:val="17"/>
              </w:rPr>
              <w:t xml:space="preserve"> </w:t>
            </w:r>
            <w:r>
              <w:rPr>
                <w:spacing w:val="2"/>
              </w:rPr>
              <w:t>该服务的顺利进行，其中，农业机械的使用符合</w:t>
            </w:r>
            <w:r>
              <w:rPr>
                <w:spacing w:val="-37"/>
              </w:rPr>
              <w:t xml:space="preserve"> </w:t>
            </w:r>
            <w:r>
              <w:t>NY</w:t>
            </w:r>
            <w:r>
              <w:rPr>
                <w:spacing w:val="2"/>
              </w:rPr>
              <w:t>/T 2090</w:t>
            </w:r>
          </w:p>
          <w:p>
            <w:pPr>
              <w:pStyle w:val="TableText"/>
              <w:spacing w:line="219" w:lineRule="auto"/>
              <w:ind w:left="111"/>
            </w:pPr>
            <w:r>
              <w:rPr>
                <w:spacing w:val="-2"/>
              </w:rPr>
              <w:t>相关内容的要求</w:t>
            </w:r>
          </w:p>
        </w:tc>
      </w:tr>
      <w:tr>
        <w:tblPrEx>
          <w:tblW w:w="9573" w:type="dxa"/>
          <w:tblInd w:w="2" w:type="dxa"/>
          <w:tblLayout w:type="fixed"/>
        </w:tblPrEx>
        <w:trPr>
          <w:trHeight w:val="1204"/>
        </w:trPr>
        <w:tc>
          <w:tcPr>
            <w:tcW w:w="1388" w:type="dxa"/>
            <w:vMerge/>
            <w:tcBorders>
              <w:top w:val="nil"/>
              <w:bottom w:val="nil"/>
            </w:tcBorders>
            <w:vAlign w:val="top"/>
          </w:tcPr>
          <w:p>
            <w:pPr>
              <w:rPr>
                <w:rFonts w:ascii="Arial"/>
                <w:sz w:val="21"/>
              </w:rPr>
            </w:pPr>
          </w:p>
        </w:tc>
        <w:tc>
          <w:tcPr>
            <w:tcW w:w="1417" w:type="dxa"/>
            <w:vMerge/>
            <w:tcBorders>
              <w:top w:val="nil"/>
            </w:tcBorders>
            <w:vAlign w:val="top"/>
          </w:tcPr>
          <w:p>
            <w:pPr>
              <w:rPr>
                <w:rFonts w:ascii="Arial"/>
                <w:sz w:val="21"/>
              </w:rPr>
            </w:pPr>
          </w:p>
        </w:tc>
        <w:tc>
          <w:tcPr>
            <w:tcW w:w="1840" w:type="dxa"/>
            <w:vAlign w:val="top"/>
          </w:tcPr>
          <w:p>
            <w:pPr>
              <w:spacing w:line="253" w:lineRule="auto"/>
              <w:rPr>
                <w:rFonts w:ascii="Arial"/>
                <w:sz w:val="21"/>
              </w:rPr>
            </w:pPr>
          </w:p>
          <w:p>
            <w:pPr>
              <w:spacing w:line="253" w:lineRule="auto"/>
              <w:rPr>
                <w:rFonts w:ascii="Arial"/>
                <w:sz w:val="21"/>
              </w:rPr>
            </w:pPr>
          </w:p>
          <w:p>
            <w:pPr>
              <w:pStyle w:val="TableText"/>
              <w:spacing w:before="58" w:line="219" w:lineRule="auto"/>
              <w:ind w:left="110"/>
            </w:pPr>
            <w:r>
              <w:t>存储条件（A</w:t>
            </w:r>
            <w:r>
              <w:rPr>
                <w:position w:val="-2"/>
                <w:sz w:val="8"/>
                <w:szCs w:val="8"/>
              </w:rPr>
              <w:t>23</w:t>
            </w:r>
            <w:r>
              <w:t>）</w:t>
            </w:r>
          </w:p>
        </w:tc>
        <w:tc>
          <w:tcPr>
            <w:tcW w:w="4928" w:type="dxa"/>
            <w:vAlign w:val="top"/>
          </w:tcPr>
          <w:p>
            <w:pPr>
              <w:pStyle w:val="TableText"/>
              <w:spacing w:before="167" w:line="411" w:lineRule="auto"/>
              <w:ind w:left="112" w:right="109" w:hanging="2"/>
              <w:jc w:val="both"/>
            </w:pPr>
            <w:r>
              <w:rPr>
                <w:spacing w:val="1"/>
              </w:rPr>
              <w:t>将土地交由托管方管理时，为了确保土地的安全、</w:t>
            </w:r>
            <w:r>
              <w:t xml:space="preserve">保护土地 </w:t>
            </w:r>
            <w:r>
              <w:rPr>
                <w:spacing w:val="1"/>
              </w:rPr>
              <w:t>价值和维护土地的可持续性而设立的土地保</w:t>
            </w:r>
            <w:r>
              <w:t>管和储存的要求</w:t>
            </w:r>
          </w:p>
          <w:p>
            <w:pPr>
              <w:pStyle w:val="TableText"/>
              <w:spacing w:line="219" w:lineRule="auto"/>
              <w:ind w:left="112"/>
            </w:pPr>
            <w:r>
              <w:rPr>
                <w:spacing w:val="-1"/>
              </w:rPr>
              <w:t>和规定，其中，存储条件符合</w:t>
            </w:r>
            <w:r>
              <w:rPr>
                <w:spacing w:val="-29"/>
              </w:rPr>
              <w:t xml:space="preserve"> </w:t>
            </w:r>
            <w:r>
              <w:rPr>
                <w:spacing w:val="-1"/>
              </w:rPr>
              <w:t>GB/T 29890</w:t>
            </w:r>
            <w:r>
              <w:rPr>
                <w:spacing w:val="-39"/>
              </w:rPr>
              <w:t xml:space="preserve"> </w:t>
            </w:r>
            <w:r>
              <w:rPr>
                <w:spacing w:val="-1"/>
              </w:rPr>
              <w:t>相关内容的要求</w:t>
            </w:r>
          </w:p>
        </w:tc>
      </w:tr>
      <w:tr>
        <w:tblPrEx>
          <w:tblW w:w="9573" w:type="dxa"/>
          <w:tblInd w:w="2" w:type="dxa"/>
          <w:tblLayout w:type="fixed"/>
        </w:tblPrEx>
        <w:trPr>
          <w:trHeight w:val="1604"/>
        </w:trPr>
        <w:tc>
          <w:tcPr>
            <w:tcW w:w="1388" w:type="dxa"/>
            <w:vMerge/>
            <w:tcBorders>
              <w:top w:val="nil"/>
            </w:tcBorders>
            <w:vAlign w:val="top"/>
          </w:tcPr>
          <w:p>
            <w:pPr>
              <w:rPr>
                <w:rFonts w:ascii="Arial"/>
                <w:sz w:val="21"/>
              </w:rPr>
            </w:pPr>
          </w:p>
        </w:tc>
        <w:tc>
          <w:tcPr>
            <w:tcW w:w="1417" w:type="dxa"/>
            <w:vAlign w:val="top"/>
          </w:tcPr>
          <w:p>
            <w:pPr>
              <w:spacing w:line="352" w:lineRule="auto"/>
              <w:rPr>
                <w:rFonts w:ascii="Arial"/>
                <w:sz w:val="21"/>
              </w:rPr>
            </w:pPr>
          </w:p>
          <w:p>
            <w:pPr>
              <w:spacing w:line="353" w:lineRule="auto"/>
              <w:rPr>
                <w:rFonts w:ascii="Arial"/>
                <w:sz w:val="21"/>
              </w:rPr>
            </w:pPr>
          </w:p>
          <w:p>
            <w:pPr>
              <w:pStyle w:val="TableText"/>
              <w:spacing w:before="58" w:line="219" w:lineRule="auto"/>
              <w:ind w:left="111"/>
            </w:pPr>
            <w:r>
              <w:rPr>
                <w:spacing w:val="-1"/>
              </w:rPr>
              <w:t>组织管理（A</w:t>
            </w:r>
            <w:r>
              <w:rPr>
                <w:spacing w:val="-1"/>
                <w:position w:val="-2"/>
                <w:sz w:val="8"/>
                <w:szCs w:val="8"/>
              </w:rPr>
              <w:t>3</w:t>
            </w:r>
            <w:r>
              <w:rPr>
                <w:spacing w:val="-1"/>
              </w:rPr>
              <w:t>）</w:t>
            </w:r>
          </w:p>
        </w:tc>
        <w:tc>
          <w:tcPr>
            <w:tcW w:w="1840" w:type="dxa"/>
            <w:vAlign w:val="top"/>
          </w:tcPr>
          <w:p>
            <w:pPr>
              <w:spacing w:line="352" w:lineRule="auto"/>
              <w:rPr>
                <w:rFonts w:ascii="Arial"/>
                <w:sz w:val="21"/>
              </w:rPr>
            </w:pPr>
          </w:p>
          <w:p>
            <w:pPr>
              <w:spacing w:line="353" w:lineRule="auto"/>
              <w:rPr>
                <w:rFonts w:ascii="Arial"/>
                <w:sz w:val="21"/>
              </w:rPr>
            </w:pPr>
          </w:p>
          <w:p>
            <w:pPr>
              <w:pStyle w:val="TableText"/>
              <w:spacing w:before="58" w:line="219" w:lineRule="auto"/>
              <w:ind w:left="115"/>
            </w:pPr>
            <w:r>
              <w:rPr>
                <w:spacing w:val="-1"/>
              </w:rPr>
              <w:t>管理制度（A</w:t>
            </w:r>
            <w:r>
              <w:rPr>
                <w:spacing w:val="-1"/>
                <w:position w:val="-2"/>
                <w:sz w:val="8"/>
                <w:szCs w:val="8"/>
              </w:rPr>
              <w:t>31</w:t>
            </w:r>
            <w:r>
              <w:rPr>
                <w:spacing w:val="-1"/>
              </w:rPr>
              <w:t>）</w:t>
            </w:r>
          </w:p>
        </w:tc>
        <w:tc>
          <w:tcPr>
            <w:tcW w:w="4928" w:type="dxa"/>
            <w:vAlign w:val="top"/>
          </w:tcPr>
          <w:p>
            <w:pPr>
              <w:pStyle w:val="TableText"/>
              <w:spacing w:before="168" w:line="410" w:lineRule="auto"/>
              <w:ind w:left="111" w:right="109"/>
              <w:jc w:val="both"/>
            </w:pPr>
            <w:r>
              <w:rPr>
                <w:spacing w:val="1"/>
              </w:rPr>
              <w:t>土地托管服务中旨在确保土地托管服务的高</w:t>
            </w:r>
            <w:r>
              <w:t xml:space="preserve">效运行、保护土 </w:t>
            </w:r>
            <w:r>
              <w:rPr>
                <w:spacing w:val="1"/>
              </w:rPr>
              <w:t>地权益，以及维护土地的可持续利用的规范和</w:t>
            </w:r>
            <w:r>
              <w:t xml:space="preserve">规定，用于指 </w:t>
            </w:r>
            <w:r>
              <w:rPr>
                <w:spacing w:val="1"/>
              </w:rPr>
              <w:t>导和管理土地托管方对托管土地的操作和行为</w:t>
            </w:r>
            <w:r>
              <w:t>，其中，组织</w:t>
            </w:r>
          </w:p>
          <w:p>
            <w:pPr>
              <w:pStyle w:val="TableText"/>
              <w:spacing w:line="219" w:lineRule="auto"/>
              <w:ind w:left="116"/>
            </w:pPr>
            <w:r>
              <w:rPr>
                <w:spacing w:val="-1"/>
              </w:rPr>
              <w:t>管理制度符合</w:t>
            </w:r>
            <w:r>
              <w:rPr>
                <w:spacing w:val="-40"/>
              </w:rPr>
              <w:t xml:space="preserve"> </w:t>
            </w:r>
            <w:r>
              <w:rPr>
                <w:spacing w:val="-1"/>
              </w:rPr>
              <w:t>GB/T 33130</w:t>
            </w:r>
            <w:r>
              <w:rPr>
                <w:spacing w:val="-39"/>
              </w:rPr>
              <w:t xml:space="preserve"> </w:t>
            </w:r>
            <w:r>
              <w:rPr>
                <w:spacing w:val="-1"/>
              </w:rPr>
              <w:t>相关内容的要求</w:t>
            </w:r>
          </w:p>
        </w:tc>
      </w:tr>
      <w:tr>
        <w:tblPrEx>
          <w:tblW w:w="9573" w:type="dxa"/>
          <w:tblInd w:w="2" w:type="dxa"/>
          <w:tblLayout w:type="fixed"/>
        </w:tblPrEx>
        <w:trPr>
          <w:trHeight w:val="2004"/>
        </w:trPr>
        <w:tc>
          <w:tcPr>
            <w:tcW w:w="1388" w:type="dxa"/>
            <w:tcBorders>
              <w:bottom w:val="nil"/>
            </w:tcBorders>
            <w:vAlign w:val="top"/>
          </w:tcPr>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tc>
        <w:tc>
          <w:tcPr>
            <w:tcW w:w="1417" w:type="dxa"/>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tc>
        <w:tc>
          <w:tcPr>
            <w:tcW w:w="1840" w:type="dxa"/>
            <w:vAlign w:val="top"/>
          </w:tcPr>
          <w:p>
            <w:pPr>
              <w:spacing w:line="302" w:lineRule="auto"/>
              <w:rPr>
                <w:rFonts w:ascii="Arial"/>
                <w:sz w:val="21"/>
              </w:rPr>
            </w:pPr>
          </w:p>
          <w:p>
            <w:pPr>
              <w:spacing w:line="302" w:lineRule="auto"/>
              <w:rPr>
                <w:rFonts w:ascii="Arial"/>
                <w:sz w:val="21"/>
              </w:rPr>
            </w:pPr>
          </w:p>
          <w:p>
            <w:pPr>
              <w:spacing w:line="302" w:lineRule="auto"/>
              <w:rPr>
                <w:rFonts w:ascii="Arial"/>
                <w:sz w:val="21"/>
              </w:rPr>
            </w:pPr>
          </w:p>
          <w:p>
            <w:pPr>
              <w:pStyle w:val="TableText"/>
              <w:spacing w:before="59" w:line="219" w:lineRule="auto"/>
              <w:ind w:left="111"/>
            </w:pPr>
            <w:r>
              <w:t>技术方法科学（B</w:t>
            </w:r>
            <w:r>
              <w:rPr>
                <w:position w:val="-2"/>
                <w:sz w:val="8"/>
                <w:szCs w:val="8"/>
              </w:rPr>
              <w:t>11</w:t>
            </w:r>
            <w:r>
              <w:t>）</w:t>
            </w:r>
          </w:p>
        </w:tc>
        <w:tc>
          <w:tcPr>
            <w:tcW w:w="4928" w:type="dxa"/>
            <w:vAlign w:val="top"/>
          </w:tcPr>
          <w:p>
            <w:pPr>
              <w:pStyle w:val="TableText"/>
              <w:spacing w:before="171" w:line="410" w:lineRule="auto"/>
              <w:ind w:left="111" w:right="107"/>
              <w:jc w:val="both"/>
            </w:pPr>
            <w:r>
              <w:rPr>
                <w:spacing w:val="1"/>
              </w:rPr>
              <w:t>土地托管服务中所采用的多项技术方法，包</w:t>
            </w:r>
            <w:r>
              <w:t xml:space="preserve">括但不限于测土 </w:t>
            </w:r>
            <w:r>
              <w:rPr>
                <w:spacing w:val="1"/>
              </w:rPr>
              <w:t>配方施肥、病虫草害的统防统治、植物营养诊</w:t>
            </w:r>
            <w:r>
              <w:t xml:space="preserve">断、节水灌溉 </w:t>
            </w:r>
            <w:r>
              <w:t>等技术方法，其中，测土配方施肥符合</w:t>
            </w:r>
            <w:r>
              <w:rPr>
                <w:spacing w:val="-29"/>
              </w:rPr>
              <w:t xml:space="preserve"> </w:t>
            </w:r>
            <w:r>
              <w:t>NY/T 2911</w:t>
            </w:r>
            <w:r>
              <w:rPr>
                <w:spacing w:val="-38"/>
              </w:rPr>
              <w:t xml:space="preserve"> </w:t>
            </w:r>
            <w:r>
              <w:t xml:space="preserve">相关内容 </w:t>
            </w:r>
            <w:r>
              <w:rPr>
                <w:spacing w:val="-2"/>
              </w:rPr>
              <w:t>的要求；病虫草害的统防统治符合</w:t>
            </w:r>
            <w:r>
              <w:rPr>
                <w:spacing w:val="-29"/>
              </w:rPr>
              <w:t xml:space="preserve"> </w:t>
            </w:r>
            <w:r>
              <w:rPr>
                <w:spacing w:val="-2"/>
              </w:rPr>
              <w:t>GB/T</w:t>
            </w:r>
            <w:r>
              <w:rPr>
                <w:spacing w:val="-35"/>
              </w:rPr>
              <w:t xml:space="preserve"> </w:t>
            </w:r>
            <w:r>
              <w:rPr>
                <w:spacing w:val="-2"/>
              </w:rPr>
              <w:t>32980</w:t>
            </w:r>
            <w:r>
              <w:rPr>
                <w:spacing w:val="-40"/>
              </w:rPr>
              <w:t xml:space="preserve"> </w:t>
            </w:r>
            <w:r>
              <w:rPr>
                <w:spacing w:val="-2"/>
              </w:rPr>
              <w:t>及</w:t>
            </w:r>
            <w:r>
              <w:rPr>
                <w:spacing w:val="-39"/>
              </w:rPr>
              <w:t xml:space="preserve"> </w:t>
            </w:r>
            <w:r>
              <w:rPr>
                <w:spacing w:val="-2"/>
              </w:rPr>
              <w:t>GB/T</w:t>
            </w:r>
            <w:r>
              <w:rPr>
                <w:spacing w:val="-38"/>
              </w:rPr>
              <w:t xml:space="preserve"> </w:t>
            </w:r>
            <w:r>
              <w:rPr>
                <w:spacing w:val="-2"/>
              </w:rPr>
              <w:t>33311</w:t>
            </w:r>
          </w:p>
          <w:p>
            <w:pPr>
              <w:pStyle w:val="TableText"/>
              <w:spacing w:line="219" w:lineRule="auto"/>
              <w:ind w:left="111"/>
            </w:pPr>
            <w:r>
              <w:rPr>
                <w:spacing w:val="-1"/>
              </w:rPr>
              <w:t>相关内容的要求；节水灌溉符合</w:t>
            </w:r>
            <w:r>
              <w:rPr>
                <w:spacing w:val="-30"/>
              </w:rPr>
              <w:t xml:space="preserve"> </w:t>
            </w:r>
            <w:r>
              <w:rPr>
                <w:spacing w:val="-1"/>
              </w:rPr>
              <w:t>GB 5084</w:t>
            </w:r>
            <w:r>
              <w:rPr>
                <w:spacing w:val="-41"/>
              </w:rPr>
              <w:t xml:space="preserve"> </w:t>
            </w:r>
            <w:r>
              <w:rPr>
                <w:spacing w:val="-1"/>
              </w:rPr>
              <w:t>相关内容的要求</w:t>
            </w:r>
          </w:p>
        </w:tc>
      </w:tr>
    </w:tbl>
    <w:p>
      <w:pPr>
        <w:sectPr>
          <w:footerReference w:type="default" r:id="rId22"/>
          <w:pgSz w:w="11906" w:h="16839"/>
          <w:pgMar w:top="1406" w:right="1022" w:bottom="1311" w:left="1305" w:header="0" w:footer="1134" w:gutter="0"/>
          <w:pgNumType w:start="8"/>
          <w:cols w:space="708"/>
        </w:sectPr>
      </w:pPr>
    </w:p>
    <w:tbl>
      <w:tblPr>
        <w:tblStyle w:val="TableNormal1"/>
        <w:tblW w:w="95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8"/>
        <w:gridCol w:w="1417"/>
        <w:gridCol w:w="1840"/>
        <w:gridCol w:w="4928"/>
      </w:tblGrid>
      <w:tr>
        <w:tblPrEx>
          <w:tblW w:w="95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004"/>
        </w:trPr>
        <w:tc>
          <w:tcPr>
            <w:tcW w:w="1388" w:type="dxa"/>
            <w:vMerge w:val="restart"/>
            <w:tcBorders>
              <w:bottom w:val="nil"/>
            </w:tcBorders>
            <w:vAlign w:val="top"/>
          </w:tcPr>
          <w:p>
            <w:pPr>
              <w:spacing w:line="266" w:lineRule="auto"/>
              <w:rPr>
                <w:rFonts w:ascii="Arial"/>
                <w:sz w:val="21"/>
              </w:rPr>
            </w:pPr>
          </w:p>
          <w:p>
            <w:pPr>
              <w:pStyle w:val="TableText"/>
              <w:spacing w:before="58" w:line="220" w:lineRule="auto"/>
              <w:ind w:left="115"/>
            </w:pPr>
            <w:r>
              <w:rPr>
                <w:spacing w:val="-2"/>
              </w:rPr>
              <w:t>过程质量（B）</w:t>
            </w:r>
          </w:p>
        </w:tc>
        <w:tc>
          <w:tcPr>
            <w:tcW w:w="1417" w:type="dxa"/>
            <w:vMerge w:val="restart"/>
            <w:tcBorders>
              <w:bottom w:val="nil"/>
            </w:tcBorders>
            <w:vAlign w:val="top"/>
          </w:tcPr>
          <w:p>
            <w:pPr>
              <w:spacing w:line="266" w:lineRule="auto"/>
              <w:rPr>
                <w:rFonts w:ascii="Arial"/>
                <w:sz w:val="21"/>
              </w:rPr>
            </w:pPr>
          </w:p>
          <w:p>
            <w:pPr>
              <w:pStyle w:val="TableText"/>
              <w:spacing w:before="59" w:line="219" w:lineRule="auto"/>
              <w:ind w:left="110"/>
            </w:pPr>
            <w:r>
              <w:rPr>
                <w:spacing w:val="-1"/>
              </w:rPr>
              <w:t>技术质量（B</w:t>
            </w:r>
            <w:r>
              <w:rPr>
                <w:spacing w:val="-1"/>
                <w:position w:val="-2"/>
                <w:sz w:val="8"/>
                <w:szCs w:val="8"/>
              </w:rPr>
              <w:t>1</w:t>
            </w:r>
            <w:r>
              <w:rPr>
                <w:spacing w:val="-1"/>
              </w:rPr>
              <w:t>）</w:t>
            </w:r>
          </w:p>
        </w:tc>
        <w:tc>
          <w:tcPr>
            <w:tcW w:w="1840" w:type="dxa"/>
            <w:vAlign w:val="top"/>
          </w:tcPr>
          <w:p/>
        </w:tc>
        <w:tc>
          <w:tcPr>
            <w:tcW w:w="4928" w:type="dxa"/>
            <w:vAlign w:val="top"/>
          </w:tcPr>
          <w:p/>
        </w:tc>
      </w:tr>
      <w:tr>
        <w:tblPrEx>
          <w:tblW w:w="9573" w:type="dxa"/>
          <w:tblInd w:w="2" w:type="dxa"/>
          <w:tblLayout w:type="fixed"/>
        </w:tblPrEx>
        <w:trPr>
          <w:trHeight w:val="489"/>
        </w:trPr>
        <w:tc>
          <w:tcPr>
            <w:tcW w:w="1388" w:type="dxa"/>
            <w:vMerge/>
            <w:tcBorders>
              <w:top w:val="nil"/>
              <w:bottom w:val="nil"/>
            </w:tcBorders>
            <w:vAlign w:val="top"/>
          </w:tcPr>
          <w:p>
            <w:pPr>
              <w:rPr>
                <w:rFonts w:ascii="Arial"/>
                <w:sz w:val="21"/>
              </w:rPr>
            </w:pPr>
          </w:p>
        </w:tc>
        <w:tc>
          <w:tcPr>
            <w:tcW w:w="1417" w:type="dxa"/>
            <w:vMerge/>
            <w:tcBorders>
              <w:top w:val="nil"/>
              <w:bottom w:val="nil"/>
            </w:tcBorders>
            <w:vAlign w:val="top"/>
          </w:tcPr>
          <w:p>
            <w:pPr>
              <w:rPr>
                <w:rFonts w:ascii="Arial"/>
                <w:sz w:val="21"/>
              </w:rPr>
            </w:pPr>
          </w:p>
        </w:tc>
        <w:tc>
          <w:tcPr>
            <w:tcW w:w="1840" w:type="dxa"/>
            <w:vAlign w:val="top"/>
          </w:tcPr>
          <w:p>
            <w:pPr>
              <w:pStyle w:val="TableText"/>
              <w:spacing w:before="212" w:line="219" w:lineRule="auto"/>
              <w:ind w:left="111"/>
            </w:pPr>
            <w:r>
              <w:t>方案设计适用（B</w:t>
            </w:r>
            <w:r>
              <w:rPr>
                <w:position w:val="-2"/>
                <w:sz w:val="8"/>
                <w:szCs w:val="8"/>
              </w:rPr>
              <w:t>12</w:t>
            </w:r>
            <w:r>
              <w:t>）</w:t>
            </w:r>
          </w:p>
        </w:tc>
        <w:tc>
          <w:tcPr>
            <w:tcW w:w="4928" w:type="dxa"/>
            <w:vAlign w:val="top"/>
          </w:tcPr>
          <w:p>
            <w:pPr>
              <w:pStyle w:val="TableText"/>
              <w:spacing w:before="212" w:line="219" w:lineRule="auto"/>
              <w:ind w:left="111"/>
            </w:pPr>
            <w:r>
              <w:rPr>
                <w:spacing w:val="-1"/>
              </w:rPr>
              <w:t>满足</w:t>
            </w:r>
            <w:r>
              <w:rPr>
                <w:spacing w:val="-38"/>
              </w:rPr>
              <w:t xml:space="preserve"> </w:t>
            </w:r>
            <w:r>
              <w:rPr>
                <w:spacing w:val="-1"/>
              </w:rPr>
              <w:t>GB/T 34802</w:t>
            </w:r>
            <w:r>
              <w:rPr>
                <w:spacing w:val="-38"/>
              </w:rPr>
              <w:t xml:space="preserve"> </w:t>
            </w:r>
            <w:r>
              <w:rPr>
                <w:spacing w:val="-1"/>
              </w:rPr>
              <w:t>规定的方案设计要求</w:t>
            </w:r>
          </w:p>
        </w:tc>
      </w:tr>
      <w:tr>
        <w:tblPrEx>
          <w:tblW w:w="9573" w:type="dxa"/>
          <w:tblInd w:w="2" w:type="dxa"/>
          <w:tblLayout w:type="fixed"/>
        </w:tblPrEx>
        <w:trPr>
          <w:trHeight w:val="888"/>
        </w:trPr>
        <w:tc>
          <w:tcPr>
            <w:tcW w:w="1388" w:type="dxa"/>
            <w:vMerge/>
            <w:tcBorders>
              <w:top w:val="nil"/>
            </w:tcBorders>
            <w:vAlign w:val="top"/>
          </w:tcPr>
          <w:p>
            <w:pPr>
              <w:rPr>
                <w:rFonts w:ascii="Arial"/>
                <w:sz w:val="21"/>
              </w:rPr>
            </w:pPr>
          </w:p>
        </w:tc>
        <w:tc>
          <w:tcPr>
            <w:tcW w:w="1417" w:type="dxa"/>
            <w:vMerge/>
            <w:tcBorders>
              <w:top w:val="nil"/>
            </w:tcBorders>
            <w:vAlign w:val="top"/>
          </w:tcPr>
          <w:p>
            <w:pPr>
              <w:rPr>
                <w:rFonts w:ascii="Arial"/>
                <w:sz w:val="21"/>
              </w:rPr>
            </w:pPr>
          </w:p>
        </w:tc>
        <w:tc>
          <w:tcPr>
            <w:tcW w:w="1840" w:type="dxa"/>
            <w:vAlign w:val="top"/>
          </w:tcPr>
          <w:p>
            <w:pPr>
              <w:spacing w:line="348" w:lineRule="auto"/>
              <w:rPr>
                <w:rFonts w:ascii="Arial"/>
                <w:sz w:val="21"/>
              </w:rPr>
            </w:pPr>
          </w:p>
          <w:p>
            <w:pPr>
              <w:pStyle w:val="TableText"/>
              <w:spacing w:before="59" w:line="219" w:lineRule="auto"/>
              <w:ind w:left="111"/>
            </w:pPr>
            <w:r>
              <w:t>作业服务合规（B</w:t>
            </w:r>
            <w:r>
              <w:rPr>
                <w:position w:val="-2"/>
                <w:sz w:val="8"/>
                <w:szCs w:val="8"/>
              </w:rPr>
              <w:t>13</w:t>
            </w:r>
            <w:r>
              <w:t>）</w:t>
            </w:r>
          </w:p>
        </w:tc>
        <w:tc>
          <w:tcPr>
            <w:tcW w:w="4928" w:type="dxa"/>
            <w:vAlign w:val="top"/>
          </w:tcPr>
          <w:p>
            <w:pPr>
              <w:pStyle w:val="TableText"/>
              <w:spacing w:before="210" w:line="401" w:lineRule="exact"/>
              <w:ind w:left="112"/>
            </w:pPr>
            <w:r>
              <w:rPr>
                <w:spacing w:val="1"/>
                <w:position w:val="17"/>
              </w:rPr>
              <w:t>土地托管服务中耕、种、管、收、储、售等</w:t>
            </w:r>
            <w:r>
              <w:rPr>
                <w:position w:val="17"/>
              </w:rPr>
              <w:t>各项作业服务流</w:t>
            </w:r>
          </w:p>
          <w:p>
            <w:pPr>
              <w:pStyle w:val="TableText"/>
              <w:spacing w:line="219" w:lineRule="auto"/>
              <w:ind w:left="111"/>
            </w:pPr>
            <w:r>
              <w:rPr>
                <w:spacing w:val="-1"/>
              </w:rPr>
              <w:t>程及再改服务过程中的各项制度或管理标准</w:t>
            </w:r>
          </w:p>
        </w:tc>
      </w:tr>
    </w:tbl>
    <w:p>
      <w:pPr>
        <w:rPr>
          <w:rFonts w:ascii="Arial"/>
          <w:sz w:val="21"/>
        </w:rPr>
      </w:pPr>
    </w:p>
    <w:p>
      <w:pPr>
        <w:rPr>
          <w:rFonts w:ascii="Arial" w:eastAsia="Arial" w:hAnsi="Arial" w:cs="Arial"/>
          <w:sz w:val="21"/>
          <w:szCs w:val="21"/>
        </w:rPr>
        <w:sectPr>
          <w:footerReference w:type="default" r:id="rId23"/>
          <w:type w:val="nextPage"/>
          <w:pgSz w:w="11906" w:h="16839"/>
          <w:pgMar w:top="1406" w:right="1022" w:bottom="1311" w:left="1305" w:header="0" w:footer="1134" w:gutter="0"/>
          <w:pgNumType w:start="9"/>
          <w:cols w:space="708"/>
          <w:titlePg w:val="0"/>
        </w:sectPr>
      </w:pPr>
    </w:p>
    <w:p>
      <w:pPr>
        <w:pStyle w:val="BodyText"/>
        <w:spacing w:before="42" w:line="265" w:lineRule="exact"/>
        <w:ind w:left="7793"/>
        <w:rPr>
          <w:rFonts w:ascii="SimHei" w:eastAsia="SimHei" w:hAnsi="SimHei" w:cs="SimHei"/>
        </w:rPr>
      </w:pPr>
      <w:r>
        <w:rPr>
          <w:rFonts w:ascii="SimHei" w:eastAsia="SimHei" w:hAnsi="SimHei" w:cs="SimHei"/>
          <w:position w:val="1"/>
        </w:rPr>
        <w:t>GB</w:t>
      </w:r>
      <w:r>
        <w:rPr>
          <w:rFonts w:ascii="SimHei" w:eastAsia="SimHei" w:hAnsi="SimHei" w:cs="SimHei"/>
          <w:spacing w:val="24"/>
          <w:position w:val="1"/>
        </w:rPr>
        <w:t>/</w:t>
      </w:r>
      <w:r>
        <w:rPr>
          <w:rFonts w:ascii="SimHei" w:eastAsia="SimHei" w:hAnsi="SimHei" w:cs="SimHei"/>
          <w:position w:val="1"/>
        </w:rPr>
        <w:t>T</w:t>
      </w:r>
      <w:r>
        <w:rPr>
          <w:rFonts w:ascii="SimHei" w:eastAsia="SimHei" w:hAnsi="SimHei" w:cs="SimHei"/>
          <w:spacing w:val="24"/>
          <w:position w:val="1"/>
        </w:rPr>
        <w:t xml:space="preserve"> </w:t>
      </w:r>
      <w:r>
        <w:rPr>
          <w:rFonts w:ascii="SimHei" w:eastAsia="SimHei" w:hAnsi="SimHei" w:cs="SimHei"/>
          <w:position w:val="1"/>
        </w:rPr>
        <w:t>XXXXX</w:t>
      </w:r>
      <w:r>
        <w:rPr>
          <w:spacing w:val="24"/>
          <w:position w:val="1"/>
        </w:rPr>
        <w:t>—</w:t>
      </w:r>
      <w:r>
        <w:rPr>
          <w:rFonts w:ascii="SimHei" w:eastAsia="SimHei" w:hAnsi="SimHei" w:cs="SimHei"/>
          <w:position w:val="1"/>
        </w:rPr>
        <w:t>XXXX</w:t>
      </w:r>
    </w:p>
    <w:p>
      <w:pPr>
        <w:pStyle w:val="BodyText"/>
        <w:spacing w:before="265" w:line="229" w:lineRule="auto"/>
        <w:ind w:left="2779"/>
      </w:pPr>
      <w:r>
        <w:rPr>
          <w:rFonts w:ascii="SimHei" w:eastAsia="SimHei" w:hAnsi="SimHei" w:cs="SimHei"/>
          <w:spacing w:val="7"/>
        </w:rPr>
        <w:t>表</w:t>
      </w:r>
      <w:r>
        <w:rPr>
          <w:rFonts w:ascii="SimHei" w:eastAsia="SimHei" w:hAnsi="SimHei" w:cs="SimHei"/>
          <w:spacing w:val="-29"/>
        </w:rPr>
        <w:t xml:space="preserve"> </w:t>
      </w:r>
      <w:r>
        <w:rPr>
          <w:rFonts w:ascii="SimHei" w:eastAsia="SimHei" w:hAnsi="SimHei" w:cs="SimHei"/>
          <w:spacing w:val="7"/>
        </w:rPr>
        <w:t>A.1</w:t>
      </w:r>
      <w:r>
        <w:rPr>
          <w:rFonts w:ascii="SimHei" w:eastAsia="SimHei" w:hAnsi="SimHei" w:cs="SimHei"/>
          <w:spacing w:val="7"/>
        </w:rPr>
        <w:t xml:space="preserve"> </w:t>
      </w:r>
      <w:r>
        <w:rPr>
          <w:rFonts w:ascii="SimHei" w:eastAsia="SimHei" w:hAnsi="SimHei" w:cs="SimHei"/>
          <w:spacing w:val="7"/>
        </w:rPr>
        <w:t>土地托管服务评价指标体系表</w:t>
      </w:r>
      <w:r>
        <w:rPr>
          <w:spacing w:val="7"/>
        </w:rPr>
        <w:t>（续）</w:t>
      </w:r>
    </w:p>
    <w:tbl>
      <w:tblPr>
        <w:tblStyle w:val="TableNormal2"/>
        <w:tblW w:w="95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8"/>
        <w:gridCol w:w="1417"/>
        <w:gridCol w:w="1838"/>
        <w:gridCol w:w="4930"/>
      </w:tblGrid>
      <w:tr>
        <w:tblPrEx>
          <w:tblW w:w="95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0"/>
        </w:trPr>
        <w:tc>
          <w:tcPr>
            <w:tcW w:w="1388" w:type="dxa"/>
            <w:vAlign w:val="top"/>
          </w:tcPr>
          <w:p>
            <w:pPr>
              <w:spacing w:before="171" w:line="221" w:lineRule="auto"/>
              <w:ind w:left="341"/>
              <w:rPr>
                <w:rFonts w:ascii="SimHei" w:eastAsia="SimHei" w:hAnsi="SimHei" w:cs="SimHei"/>
                <w:sz w:val="18"/>
                <w:szCs w:val="18"/>
              </w:rPr>
            </w:pPr>
            <w:r>
              <w:rPr>
                <w:rFonts w:ascii="SimHei" w:eastAsia="SimHei" w:hAnsi="SimHei" w:cs="SimHei"/>
                <w:spacing w:val="-3"/>
                <w:sz w:val="18"/>
                <w:szCs w:val="18"/>
              </w:rPr>
              <w:t>一级指标</w:t>
            </w:r>
          </w:p>
        </w:tc>
        <w:tc>
          <w:tcPr>
            <w:tcW w:w="1417" w:type="dxa"/>
            <w:vAlign w:val="top"/>
          </w:tcPr>
          <w:p>
            <w:pPr>
              <w:spacing w:before="171" w:line="221" w:lineRule="auto"/>
              <w:ind w:left="354"/>
              <w:rPr>
                <w:rFonts w:ascii="SimHei" w:eastAsia="SimHei" w:hAnsi="SimHei" w:cs="SimHei"/>
                <w:sz w:val="18"/>
                <w:szCs w:val="18"/>
              </w:rPr>
            </w:pPr>
            <w:r>
              <w:rPr>
                <w:rFonts w:ascii="SimHei" w:eastAsia="SimHei" w:hAnsi="SimHei" w:cs="SimHei"/>
                <w:spacing w:val="-3"/>
                <w:sz w:val="18"/>
                <w:szCs w:val="18"/>
              </w:rPr>
              <w:t>二级指标</w:t>
            </w:r>
          </w:p>
        </w:tc>
        <w:tc>
          <w:tcPr>
            <w:tcW w:w="1838" w:type="dxa"/>
            <w:vAlign w:val="top"/>
          </w:tcPr>
          <w:p>
            <w:pPr>
              <w:spacing w:before="171" w:line="221" w:lineRule="auto"/>
              <w:ind w:left="565"/>
              <w:rPr>
                <w:rFonts w:ascii="SimHei" w:eastAsia="SimHei" w:hAnsi="SimHei" w:cs="SimHei"/>
                <w:sz w:val="18"/>
                <w:szCs w:val="18"/>
              </w:rPr>
            </w:pPr>
            <w:r>
              <w:rPr>
                <w:rFonts w:ascii="SimHei" w:eastAsia="SimHei" w:hAnsi="SimHei" w:cs="SimHei"/>
                <w:spacing w:val="-3"/>
                <w:sz w:val="18"/>
                <w:szCs w:val="18"/>
              </w:rPr>
              <w:t>三级指标</w:t>
            </w:r>
          </w:p>
        </w:tc>
        <w:tc>
          <w:tcPr>
            <w:tcW w:w="4930" w:type="dxa"/>
            <w:vAlign w:val="top"/>
          </w:tcPr>
          <w:p>
            <w:pPr>
              <w:spacing w:before="171" w:line="223" w:lineRule="auto"/>
              <w:ind w:left="2107"/>
              <w:rPr>
                <w:rFonts w:ascii="SimHei" w:eastAsia="SimHei" w:hAnsi="SimHei" w:cs="SimHei"/>
                <w:sz w:val="18"/>
                <w:szCs w:val="18"/>
              </w:rPr>
            </w:pPr>
            <w:r>
              <w:rPr>
                <w:rFonts w:ascii="SimHei" w:eastAsia="SimHei" w:hAnsi="SimHei" w:cs="SimHei"/>
                <w:spacing w:val="-2"/>
                <w:sz w:val="18"/>
                <w:szCs w:val="18"/>
              </w:rPr>
              <w:t>指标内涵</w:t>
            </w:r>
          </w:p>
        </w:tc>
      </w:tr>
      <w:tr>
        <w:tblPrEx>
          <w:tblW w:w="9573" w:type="dxa"/>
          <w:tblInd w:w="2" w:type="dxa"/>
          <w:tblLayout w:type="fixed"/>
        </w:tblPrEx>
        <w:trPr>
          <w:trHeight w:val="405"/>
        </w:trPr>
        <w:tc>
          <w:tcPr>
            <w:tcW w:w="1388"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59" w:line="220" w:lineRule="auto"/>
              <w:ind w:left="115"/>
            </w:pPr>
            <w:r>
              <w:rPr>
                <w:spacing w:val="-2"/>
              </w:rPr>
              <w:t>过程质量（B）</w:t>
            </w:r>
          </w:p>
        </w:tc>
        <w:tc>
          <w:tcPr>
            <w:tcW w:w="1417"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pStyle w:val="TableText"/>
              <w:spacing w:before="58" w:line="219" w:lineRule="auto"/>
              <w:ind w:left="113"/>
            </w:pPr>
            <w:r>
              <w:rPr>
                <w:spacing w:val="-1"/>
              </w:rPr>
              <w:t>管理质量（B</w:t>
            </w:r>
            <w:r>
              <w:rPr>
                <w:spacing w:val="-1"/>
                <w:position w:val="-2"/>
                <w:sz w:val="8"/>
                <w:szCs w:val="8"/>
              </w:rPr>
              <w:t>2</w:t>
            </w:r>
            <w:r>
              <w:rPr>
                <w:spacing w:val="-1"/>
              </w:rPr>
              <w:t>）</w:t>
            </w:r>
          </w:p>
        </w:tc>
        <w:tc>
          <w:tcPr>
            <w:tcW w:w="1838" w:type="dxa"/>
            <w:vAlign w:val="top"/>
          </w:tcPr>
          <w:p>
            <w:pPr>
              <w:pStyle w:val="TableText"/>
              <w:spacing w:before="167" w:line="219" w:lineRule="auto"/>
              <w:ind w:left="115"/>
            </w:pPr>
            <w:r>
              <w:rPr>
                <w:spacing w:val="-1"/>
              </w:rPr>
              <w:t>管理制度有效（B</w:t>
            </w:r>
            <w:r>
              <w:rPr>
                <w:spacing w:val="-1"/>
                <w:position w:val="-2"/>
                <w:sz w:val="8"/>
                <w:szCs w:val="8"/>
              </w:rPr>
              <w:t>21</w:t>
            </w:r>
            <w:r>
              <w:rPr>
                <w:spacing w:val="-1"/>
              </w:rPr>
              <w:t>）</w:t>
            </w:r>
          </w:p>
        </w:tc>
        <w:tc>
          <w:tcPr>
            <w:tcW w:w="4930" w:type="dxa"/>
            <w:vAlign w:val="top"/>
          </w:tcPr>
          <w:p>
            <w:pPr>
              <w:pStyle w:val="TableText"/>
              <w:spacing w:before="167" w:line="219" w:lineRule="auto"/>
              <w:ind w:left="114"/>
            </w:pPr>
            <w:r>
              <w:rPr>
                <w:spacing w:val="-1"/>
              </w:rPr>
              <w:t>土地托管服务中管理方法、管理标准、风险控制的有效程度</w:t>
            </w:r>
          </w:p>
        </w:tc>
      </w:tr>
      <w:tr>
        <w:tblPrEx>
          <w:tblW w:w="9573" w:type="dxa"/>
          <w:tblInd w:w="2" w:type="dxa"/>
          <w:tblLayout w:type="fixed"/>
        </w:tblPrEx>
        <w:trPr>
          <w:trHeight w:val="1205"/>
        </w:trPr>
        <w:tc>
          <w:tcPr>
            <w:tcW w:w="1388" w:type="dxa"/>
            <w:vMerge/>
            <w:tcBorders>
              <w:top w:val="nil"/>
              <w:bottom w:val="nil"/>
            </w:tcBorders>
            <w:vAlign w:val="top"/>
          </w:tcPr>
          <w:p>
            <w:pPr>
              <w:rPr>
                <w:rFonts w:ascii="Arial"/>
                <w:sz w:val="21"/>
              </w:rPr>
            </w:pPr>
          </w:p>
        </w:tc>
        <w:tc>
          <w:tcPr>
            <w:tcW w:w="1417" w:type="dxa"/>
            <w:vMerge/>
            <w:tcBorders>
              <w:top w:val="nil"/>
              <w:bottom w:val="nil"/>
            </w:tcBorders>
            <w:vAlign w:val="top"/>
          </w:tcPr>
          <w:p>
            <w:pPr>
              <w:rPr>
                <w:rFonts w:ascii="Arial"/>
                <w:sz w:val="21"/>
              </w:rPr>
            </w:pPr>
          </w:p>
        </w:tc>
        <w:tc>
          <w:tcPr>
            <w:tcW w:w="1838" w:type="dxa"/>
            <w:vAlign w:val="top"/>
          </w:tcPr>
          <w:p>
            <w:pPr>
              <w:spacing w:line="252" w:lineRule="auto"/>
              <w:rPr>
                <w:rFonts w:ascii="Arial"/>
                <w:sz w:val="21"/>
              </w:rPr>
            </w:pPr>
          </w:p>
          <w:p>
            <w:pPr>
              <w:spacing w:line="252" w:lineRule="auto"/>
              <w:rPr>
                <w:rFonts w:ascii="Arial"/>
                <w:sz w:val="21"/>
              </w:rPr>
            </w:pPr>
          </w:p>
          <w:p>
            <w:pPr>
              <w:pStyle w:val="TableText"/>
              <w:spacing w:before="58" w:line="219" w:lineRule="auto"/>
              <w:ind w:left="112"/>
            </w:pPr>
            <w:r>
              <w:t>用户反馈便利（B</w:t>
            </w:r>
            <w:r>
              <w:rPr>
                <w:position w:val="-2"/>
                <w:sz w:val="8"/>
                <w:szCs w:val="8"/>
              </w:rPr>
              <w:t>22</w:t>
            </w:r>
            <w:r>
              <w:t>）</w:t>
            </w:r>
          </w:p>
        </w:tc>
        <w:tc>
          <w:tcPr>
            <w:tcW w:w="4930" w:type="dxa"/>
            <w:vAlign w:val="top"/>
          </w:tcPr>
          <w:p>
            <w:pPr>
              <w:pStyle w:val="TableText"/>
              <w:spacing w:before="165" w:line="411" w:lineRule="auto"/>
              <w:ind w:left="117" w:right="107" w:hanging="2"/>
            </w:pPr>
            <w:r>
              <w:rPr>
                <w:spacing w:val="1"/>
              </w:rPr>
              <w:t>用户在使用土地托管服务时，能够方便地提供反</w:t>
            </w:r>
            <w:r>
              <w:t xml:space="preserve">馈和意见， </w:t>
            </w:r>
            <w:r>
              <w:t>并且这些反馈能够被及时、有效地收集、处理和回应，使用</w:t>
            </w:r>
          </w:p>
          <w:p>
            <w:pPr>
              <w:pStyle w:val="TableText"/>
              <w:spacing w:line="219" w:lineRule="auto"/>
              <w:ind w:left="114"/>
            </w:pPr>
            <w:r>
              <w:rPr>
                <w:spacing w:val="-1"/>
              </w:rPr>
              <w:t>户可以轻松地表达他们的意见、问题或建议</w:t>
            </w:r>
          </w:p>
        </w:tc>
      </w:tr>
      <w:tr>
        <w:tblPrEx>
          <w:tblW w:w="9573" w:type="dxa"/>
          <w:tblInd w:w="2" w:type="dxa"/>
          <w:tblLayout w:type="fixed"/>
        </w:tblPrEx>
        <w:trPr>
          <w:trHeight w:val="1604"/>
        </w:trPr>
        <w:tc>
          <w:tcPr>
            <w:tcW w:w="1388" w:type="dxa"/>
            <w:vMerge/>
            <w:tcBorders>
              <w:top w:val="nil"/>
              <w:bottom w:val="nil"/>
            </w:tcBorders>
            <w:vAlign w:val="top"/>
          </w:tcPr>
          <w:p>
            <w:pPr>
              <w:rPr>
                <w:rFonts w:ascii="Arial"/>
                <w:sz w:val="21"/>
              </w:rPr>
            </w:pPr>
          </w:p>
        </w:tc>
        <w:tc>
          <w:tcPr>
            <w:tcW w:w="1417" w:type="dxa"/>
            <w:vMerge/>
            <w:tcBorders>
              <w:top w:val="nil"/>
            </w:tcBorders>
            <w:vAlign w:val="top"/>
          </w:tcPr>
          <w:p>
            <w:pPr>
              <w:rPr>
                <w:rFonts w:ascii="Arial"/>
                <w:sz w:val="21"/>
              </w:rPr>
            </w:pPr>
          </w:p>
        </w:tc>
        <w:tc>
          <w:tcPr>
            <w:tcW w:w="1838" w:type="dxa"/>
            <w:vAlign w:val="top"/>
          </w:tcPr>
          <w:p>
            <w:pPr>
              <w:spacing w:line="352" w:lineRule="auto"/>
              <w:rPr>
                <w:rFonts w:ascii="Arial"/>
                <w:sz w:val="21"/>
              </w:rPr>
            </w:pPr>
          </w:p>
          <w:p>
            <w:pPr>
              <w:spacing w:line="352" w:lineRule="auto"/>
              <w:rPr>
                <w:rFonts w:ascii="Arial"/>
                <w:sz w:val="21"/>
              </w:rPr>
            </w:pPr>
          </w:p>
          <w:p>
            <w:pPr>
              <w:pStyle w:val="TableText"/>
              <w:spacing w:before="59" w:line="218" w:lineRule="auto"/>
              <w:ind w:left="111"/>
            </w:pPr>
            <w:r>
              <w:t>档案管理完整（B</w:t>
            </w:r>
            <w:r>
              <w:rPr>
                <w:position w:val="-2"/>
                <w:sz w:val="8"/>
                <w:szCs w:val="8"/>
              </w:rPr>
              <w:t>23</w:t>
            </w:r>
            <w:r>
              <w:t>）</w:t>
            </w:r>
          </w:p>
        </w:tc>
        <w:tc>
          <w:tcPr>
            <w:tcW w:w="4930" w:type="dxa"/>
            <w:vAlign w:val="top"/>
          </w:tcPr>
          <w:p>
            <w:pPr>
              <w:pStyle w:val="TableText"/>
              <w:spacing w:before="167" w:line="410" w:lineRule="auto"/>
              <w:ind w:left="114" w:right="49" w:hanging="1"/>
              <w:jc w:val="both"/>
            </w:pPr>
            <w:r>
              <w:t xml:space="preserve">对土地托管活动中产生的各类档案进行全面、准确、有序的 </w:t>
            </w:r>
            <w:r>
              <w:rPr>
                <w:spacing w:val="-4"/>
              </w:rPr>
              <w:t>管理和保存。包括但不限于土地托管方对托管土地相关文件、</w:t>
            </w:r>
            <w:r>
              <w:rPr>
                <w:spacing w:val="8"/>
              </w:rPr>
              <w:t xml:space="preserve"> </w:t>
            </w:r>
            <w:r>
              <w:rPr>
                <w:spacing w:val="1"/>
              </w:rPr>
              <w:t>合同、协议、报告、记录等信息进行有效的整理、分类、归</w:t>
            </w:r>
          </w:p>
          <w:p>
            <w:pPr>
              <w:pStyle w:val="TableText"/>
              <w:spacing w:line="219" w:lineRule="auto"/>
              <w:ind w:left="114"/>
            </w:pPr>
            <w:r>
              <w:rPr>
                <w:spacing w:val="-1"/>
              </w:rPr>
              <w:t>档和存储，以确保档案的完整性和可追溯性</w:t>
            </w:r>
          </w:p>
        </w:tc>
      </w:tr>
      <w:tr>
        <w:tblPrEx>
          <w:tblW w:w="9573" w:type="dxa"/>
          <w:tblInd w:w="2" w:type="dxa"/>
          <w:tblLayout w:type="fixed"/>
        </w:tblPrEx>
        <w:trPr>
          <w:trHeight w:val="1205"/>
        </w:trPr>
        <w:tc>
          <w:tcPr>
            <w:tcW w:w="1388" w:type="dxa"/>
            <w:vMerge/>
            <w:tcBorders>
              <w:top w:val="nil"/>
              <w:bottom w:val="nil"/>
            </w:tcBorders>
            <w:vAlign w:val="top"/>
          </w:tcPr>
          <w:p>
            <w:pPr>
              <w:rPr>
                <w:rFonts w:ascii="Arial"/>
                <w:sz w:val="21"/>
              </w:rPr>
            </w:pPr>
          </w:p>
        </w:tc>
        <w:tc>
          <w:tcPr>
            <w:tcW w:w="1417"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59" w:line="219" w:lineRule="auto"/>
              <w:ind w:left="109"/>
            </w:pPr>
            <w:r>
              <w:rPr>
                <w:spacing w:val="-1"/>
              </w:rPr>
              <w:t>服务质量（B</w:t>
            </w:r>
            <w:r>
              <w:rPr>
                <w:spacing w:val="-1"/>
                <w:position w:val="-2"/>
                <w:sz w:val="8"/>
                <w:szCs w:val="8"/>
              </w:rPr>
              <w:t>3</w:t>
            </w:r>
            <w:r>
              <w:rPr>
                <w:spacing w:val="-1"/>
              </w:rPr>
              <w:t>）</w:t>
            </w:r>
          </w:p>
        </w:tc>
        <w:tc>
          <w:tcPr>
            <w:tcW w:w="1838" w:type="dxa"/>
            <w:vAlign w:val="top"/>
          </w:tcPr>
          <w:p>
            <w:pPr>
              <w:spacing w:line="252" w:lineRule="auto"/>
              <w:rPr>
                <w:rFonts w:ascii="Arial"/>
                <w:sz w:val="21"/>
              </w:rPr>
            </w:pPr>
          </w:p>
          <w:p>
            <w:pPr>
              <w:spacing w:line="253" w:lineRule="auto"/>
              <w:rPr>
                <w:rFonts w:ascii="Arial"/>
                <w:sz w:val="21"/>
              </w:rPr>
            </w:pPr>
          </w:p>
          <w:p>
            <w:pPr>
              <w:pStyle w:val="TableText"/>
              <w:spacing w:before="58" w:line="219" w:lineRule="auto"/>
              <w:ind w:left="110"/>
            </w:pPr>
            <w:r>
              <w:t>服务态度（B</w:t>
            </w:r>
            <w:r>
              <w:rPr>
                <w:position w:val="-2"/>
                <w:sz w:val="8"/>
                <w:szCs w:val="8"/>
              </w:rPr>
              <w:t>31</w:t>
            </w:r>
            <w:r>
              <w:t>）</w:t>
            </w:r>
          </w:p>
        </w:tc>
        <w:tc>
          <w:tcPr>
            <w:tcW w:w="4930" w:type="dxa"/>
            <w:vAlign w:val="top"/>
          </w:tcPr>
          <w:p>
            <w:pPr>
              <w:pStyle w:val="TableText"/>
              <w:spacing w:before="166" w:line="411" w:lineRule="auto"/>
              <w:ind w:left="113" w:right="107" w:firstLine="1"/>
            </w:pPr>
            <w:r>
              <w:rPr>
                <w:spacing w:val="1"/>
              </w:rPr>
              <w:t>土地托管方对待托管土地的态度和行为方式，应体</w:t>
            </w:r>
            <w:r>
              <w:t xml:space="preserve">现专业、 </w:t>
            </w:r>
            <w:r>
              <w:rPr>
                <w:spacing w:val="1"/>
              </w:rPr>
              <w:t>诚信、高效和关注可持续发展的原则，以确保土地的</w:t>
            </w:r>
            <w:r>
              <w:t>有效管</w:t>
            </w:r>
          </w:p>
          <w:p>
            <w:pPr>
              <w:pStyle w:val="TableText"/>
              <w:spacing w:line="220" w:lineRule="auto"/>
              <w:ind w:left="115"/>
            </w:pPr>
            <w:r>
              <w:rPr>
                <w:spacing w:val="-3"/>
              </w:rPr>
              <w:t>理和利用</w:t>
            </w:r>
          </w:p>
        </w:tc>
      </w:tr>
      <w:tr>
        <w:tblPrEx>
          <w:tblW w:w="9573" w:type="dxa"/>
          <w:tblInd w:w="2" w:type="dxa"/>
          <w:tblLayout w:type="fixed"/>
        </w:tblPrEx>
        <w:trPr>
          <w:trHeight w:val="1604"/>
        </w:trPr>
        <w:tc>
          <w:tcPr>
            <w:tcW w:w="1388" w:type="dxa"/>
            <w:vMerge/>
            <w:tcBorders>
              <w:top w:val="nil"/>
              <w:bottom w:val="nil"/>
            </w:tcBorders>
            <w:vAlign w:val="top"/>
          </w:tcPr>
          <w:p>
            <w:pPr>
              <w:rPr>
                <w:rFonts w:ascii="Arial"/>
                <w:sz w:val="21"/>
              </w:rPr>
            </w:pPr>
          </w:p>
        </w:tc>
        <w:tc>
          <w:tcPr>
            <w:tcW w:w="1417" w:type="dxa"/>
            <w:vMerge/>
            <w:tcBorders>
              <w:top w:val="nil"/>
              <w:bottom w:val="nil"/>
            </w:tcBorders>
            <w:vAlign w:val="top"/>
          </w:tcPr>
          <w:p>
            <w:pPr>
              <w:rPr>
                <w:rFonts w:ascii="Arial"/>
                <w:sz w:val="21"/>
              </w:rPr>
            </w:pPr>
          </w:p>
        </w:tc>
        <w:tc>
          <w:tcPr>
            <w:tcW w:w="1838" w:type="dxa"/>
            <w:vAlign w:val="top"/>
          </w:tcPr>
          <w:p>
            <w:pPr>
              <w:spacing w:line="352" w:lineRule="auto"/>
              <w:rPr>
                <w:rFonts w:ascii="Arial"/>
                <w:sz w:val="21"/>
              </w:rPr>
            </w:pPr>
          </w:p>
          <w:p>
            <w:pPr>
              <w:spacing w:line="353" w:lineRule="auto"/>
              <w:rPr>
                <w:rFonts w:ascii="Arial"/>
                <w:sz w:val="21"/>
              </w:rPr>
            </w:pPr>
          </w:p>
          <w:p>
            <w:pPr>
              <w:pStyle w:val="TableText"/>
              <w:spacing w:before="59" w:line="218" w:lineRule="auto"/>
              <w:ind w:left="110"/>
            </w:pPr>
            <w:r>
              <w:t>服务方式（B</w:t>
            </w:r>
            <w:r>
              <w:rPr>
                <w:position w:val="-2"/>
                <w:sz w:val="8"/>
                <w:szCs w:val="8"/>
              </w:rPr>
              <w:t>32</w:t>
            </w:r>
            <w:r>
              <w:t>）</w:t>
            </w:r>
          </w:p>
        </w:tc>
        <w:tc>
          <w:tcPr>
            <w:tcW w:w="4930" w:type="dxa"/>
            <w:vAlign w:val="top"/>
          </w:tcPr>
          <w:p>
            <w:pPr>
              <w:pStyle w:val="TableText"/>
              <w:spacing w:before="168" w:line="410" w:lineRule="auto"/>
              <w:ind w:left="114" w:right="107"/>
            </w:pPr>
            <w:r>
              <w:rPr>
                <w:spacing w:val="1"/>
              </w:rPr>
              <w:t>土地托管方为土地所有者提供服务的方式和方法，</w:t>
            </w:r>
            <w:r>
              <w:t xml:space="preserve">应体现定 </w:t>
            </w:r>
            <w:r>
              <w:rPr>
                <w:spacing w:val="1"/>
              </w:rPr>
              <w:t>制化、及时响应、信息透明、教育培训和合作共赢</w:t>
            </w:r>
            <w:r>
              <w:t xml:space="preserve">的原则， </w:t>
            </w:r>
            <w:r>
              <w:rPr>
                <w:spacing w:val="1"/>
              </w:rPr>
              <w:t>以满足土地所有者的需求，提供优质的服务，并实</w:t>
            </w:r>
            <w:r>
              <w:t>现双方的</w:t>
            </w:r>
          </w:p>
          <w:p>
            <w:pPr>
              <w:pStyle w:val="TableText"/>
              <w:spacing w:line="219" w:lineRule="auto"/>
              <w:ind w:left="113"/>
            </w:pPr>
            <w:r>
              <w:rPr>
                <w:spacing w:val="-2"/>
              </w:rPr>
              <w:t>共同利益</w:t>
            </w:r>
          </w:p>
        </w:tc>
      </w:tr>
      <w:tr>
        <w:tblPrEx>
          <w:tblW w:w="9573" w:type="dxa"/>
          <w:tblInd w:w="2" w:type="dxa"/>
          <w:tblLayout w:type="fixed"/>
        </w:tblPrEx>
        <w:trPr>
          <w:trHeight w:val="1205"/>
        </w:trPr>
        <w:tc>
          <w:tcPr>
            <w:tcW w:w="1388" w:type="dxa"/>
            <w:vMerge/>
            <w:tcBorders>
              <w:top w:val="nil"/>
              <w:bottom w:val="nil"/>
            </w:tcBorders>
            <w:vAlign w:val="top"/>
          </w:tcPr>
          <w:p>
            <w:pPr>
              <w:rPr>
                <w:rFonts w:ascii="Arial"/>
                <w:sz w:val="21"/>
              </w:rPr>
            </w:pPr>
          </w:p>
        </w:tc>
        <w:tc>
          <w:tcPr>
            <w:tcW w:w="1417" w:type="dxa"/>
            <w:vMerge/>
            <w:tcBorders>
              <w:top w:val="nil"/>
              <w:bottom w:val="nil"/>
            </w:tcBorders>
            <w:vAlign w:val="top"/>
          </w:tcPr>
          <w:p>
            <w:pPr>
              <w:rPr>
                <w:rFonts w:ascii="Arial"/>
                <w:sz w:val="21"/>
              </w:rPr>
            </w:pPr>
          </w:p>
        </w:tc>
        <w:tc>
          <w:tcPr>
            <w:tcW w:w="1838" w:type="dxa"/>
            <w:vAlign w:val="top"/>
          </w:tcPr>
          <w:p>
            <w:pPr>
              <w:spacing w:line="253" w:lineRule="auto"/>
              <w:rPr>
                <w:rFonts w:ascii="Arial"/>
                <w:sz w:val="21"/>
              </w:rPr>
            </w:pPr>
          </w:p>
          <w:p>
            <w:pPr>
              <w:spacing w:line="253" w:lineRule="auto"/>
              <w:rPr>
                <w:rFonts w:ascii="Arial"/>
                <w:sz w:val="21"/>
              </w:rPr>
            </w:pPr>
          </w:p>
          <w:p>
            <w:pPr>
              <w:pStyle w:val="TableText"/>
              <w:spacing w:before="58" w:line="219" w:lineRule="auto"/>
              <w:ind w:left="113"/>
            </w:pPr>
            <w:r>
              <w:t>指导易懂性（B</w:t>
            </w:r>
            <w:r>
              <w:rPr>
                <w:position w:val="-2"/>
                <w:sz w:val="8"/>
                <w:szCs w:val="8"/>
              </w:rPr>
              <w:t>33</w:t>
            </w:r>
            <w:r>
              <w:t>）</w:t>
            </w:r>
          </w:p>
        </w:tc>
        <w:tc>
          <w:tcPr>
            <w:tcW w:w="4930" w:type="dxa"/>
            <w:vAlign w:val="top"/>
          </w:tcPr>
          <w:p>
            <w:pPr>
              <w:pStyle w:val="TableText"/>
              <w:spacing w:before="167" w:line="411" w:lineRule="auto"/>
              <w:ind w:left="115" w:right="107" w:hanging="2"/>
              <w:jc w:val="both"/>
            </w:pPr>
            <w:r>
              <w:rPr>
                <w:spacing w:val="1"/>
              </w:rPr>
              <w:t>通过提供简单明了的指导，托管方能够更好地理解和</w:t>
            </w:r>
            <w:r>
              <w:t xml:space="preserve">遵守相 </w:t>
            </w:r>
            <w:r>
              <w:rPr>
                <w:spacing w:val="1"/>
              </w:rPr>
              <w:t>关规定，从而保护土地权益、维护土地可持续</w:t>
            </w:r>
            <w:r>
              <w:t>利用，并确保</w:t>
            </w:r>
          </w:p>
          <w:p>
            <w:pPr>
              <w:pStyle w:val="TableText"/>
              <w:spacing w:line="219" w:lineRule="auto"/>
              <w:ind w:left="113"/>
            </w:pPr>
            <w:r>
              <w:rPr>
                <w:spacing w:val="-2"/>
              </w:rPr>
              <w:t>服务的高效运行</w:t>
            </w:r>
          </w:p>
        </w:tc>
      </w:tr>
      <w:tr>
        <w:tblPrEx>
          <w:tblW w:w="9573" w:type="dxa"/>
          <w:tblInd w:w="2" w:type="dxa"/>
          <w:tblLayout w:type="fixed"/>
        </w:tblPrEx>
        <w:trPr>
          <w:trHeight w:val="1366"/>
        </w:trPr>
        <w:tc>
          <w:tcPr>
            <w:tcW w:w="1388" w:type="dxa"/>
            <w:vMerge/>
            <w:tcBorders>
              <w:top w:val="nil"/>
              <w:bottom w:val="nil"/>
            </w:tcBorders>
            <w:vAlign w:val="top"/>
          </w:tcPr>
          <w:p>
            <w:pPr>
              <w:rPr>
                <w:rFonts w:ascii="Arial"/>
                <w:sz w:val="21"/>
              </w:rPr>
            </w:pPr>
          </w:p>
        </w:tc>
        <w:tc>
          <w:tcPr>
            <w:tcW w:w="1417" w:type="dxa"/>
            <w:vMerge/>
            <w:tcBorders>
              <w:top w:val="nil"/>
              <w:bottom w:val="nil"/>
            </w:tcBorders>
            <w:vAlign w:val="top"/>
          </w:tcPr>
          <w:p>
            <w:pPr>
              <w:rPr>
                <w:rFonts w:ascii="Arial"/>
                <w:sz w:val="21"/>
              </w:rPr>
            </w:pPr>
          </w:p>
        </w:tc>
        <w:tc>
          <w:tcPr>
            <w:tcW w:w="1838" w:type="dxa"/>
            <w:vAlign w:val="top"/>
          </w:tcPr>
          <w:p>
            <w:pPr>
              <w:spacing w:line="293" w:lineRule="auto"/>
              <w:rPr>
                <w:rFonts w:ascii="Arial"/>
                <w:sz w:val="21"/>
              </w:rPr>
            </w:pPr>
          </w:p>
          <w:p>
            <w:pPr>
              <w:spacing w:line="293" w:lineRule="auto"/>
              <w:rPr>
                <w:rFonts w:ascii="Arial"/>
                <w:sz w:val="21"/>
              </w:rPr>
            </w:pPr>
          </w:p>
          <w:p>
            <w:pPr>
              <w:pStyle w:val="TableText"/>
              <w:spacing w:before="59" w:line="219" w:lineRule="auto"/>
              <w:ind w:left="113"/>
            </w:pPr>
            <w:r>
              <w:t>指导专业性（B</w:t>
            </w:r>
            <w:r>
              <w:rPr>
                <w:position w:val="-2"/>
                <w:sz w:val="8"/>
                <w:szCs w:val="8"/>
              </w:rPr>
              <w:t>34</w:t>
            </w:r>
            <w:r>
              <w:t>）</w:t>
            </w:r>
          </w:p>
        </w:tc>
        <w:tc>
          <w:tcPr>
            <w:tcW w:w="4930" w:type="dxa"/>
            <w:vAlign w:val="top"/>
          </w:tcPr>
          <w:p>
            <w:pPr>
              <w:pStyle w:val="TableText"/>
              <w:spacing w:before="248" w:line="411" w:lineRule="auto"/>
              <w:ind w:left="113" w:right="107"/>
              <w:jc w:val="both"/>
            </w:pPr>
            <w:r>
              <w:rPr>
                <w:spacing w:val="1"/>
              </w:rPr>
              <w:t>确保相关规定、要求和指导方针具有专业性和专业知</w:t>
            </w:r>
            <w:r>
              <w:t xml:space="preserve">识的准 </w:t>
            </w:r>
            <w:r>
              <w:rPr>
                <w:spacing w:val="1"/>
              </w:rPr>
              <w:t>确性，强调服务提供方在制定规程和管理制度时，应</w:t>
            </w:r>
            <w:r>
              <w:t>基于专</w:t>
            </w:r>
          </w:p>
          <w:p>
            <w:pPr>
              <w:pStyle w:val="TableText"/>
              <w:spacing w:line="218" w:lineRule="auto"/>
              <w:ind w:left="113"/>
            </w:pPr>
            <w:r>
              <w:rPr>
                <w:spacing w:val="-1"/>
              </w:rPr>
              <w:t>业知识和经验，确保规定的科学性和可行性</w:t>
            </w:r>
          </w:p>
        </w:tc>
      </w:tr>
      <w:tr>
        <w:tblPrEx>
          <w:tblW w:w="9573" w:type="dxa"/>
          <w:tblInd w:w="2" w:type="dxa"/>
          <w:tblLayout w:type="fixed"/>
        </w:tblPrEx>
        <w:trPr>
          <w:trHeight w:val="1440"/>
        </w:trPr>
        <w:tc>
          <w:tcPr>
            <w:tcW w:w="1388" w:type="dxa"/>
            <w:vMerge/>
            <w:tcBorders>
              <w:top w:val="nil"/>
              <w:bottom w:val="nil"/>
            </w:tcBorders>
            <w:vAlign w:val="top"/>
          </w:tcPr>
          <w:p>
            <w:pPr>
              <w:rPr>
                <w:rFonts w:ascii="Arial"/>
                <w:sz w:val="21"/>
              </w:rPr>
            </w:pPr>
          </w:p>
        </w:tc>
        <w:tc>
          <w:tcPr>
            <w:tcW w:w="1417" w:type="dxa"/>
            <w:vMerge/>
            <w:tcBorders>
              <w:top w:val="nil"/>
            </w:tcBorders>
            <w:vAlign w:val="top"/>
          </w:tcPr>
          <w:p>
            <w:pPr>
              <w:rPr>
                <w:rFonts w:ascii="Arial"/>
                <w:sz w:val="21"/>
              </w:rPr>
            </w:pPr>
          </w:p>
        </w:tc>
        <w:tc>
          <w:tcPr>
            <w:tcW w:w="1838" w:type="dxa"/>
            <w:vAlign w:val="top"/>
          </w:tcPr>
          <w:p>
            <w:pPr>
              <w:spacing w:line="312" w:lineRule="auto"/>
              <w:rPr>
                <w:rFonts w:ascii="Arial"/>
                <w:sz w:val="21"/>
              </w:rPr>
            </w:pPr>
          </w:p>
          <w:p>
            <w:pPr>
              <w:spacing w:line="312" w:lineRule="auto"/>
              <w:rPr>
                <w:rFonts w:ascii="Arial"/>
                <w:sz w:val="21"/>
              </w:rPr>
            </w:pPr>
          </w:p>
          <w:p>
            <w:pPr>
              <w:pStyle w:val="TableText"/>
              <w:spacing w:before="58" w:line="219" w:lineRule="auto"/>
              <w:ind w:left="113"/>
            </w:pPr>
            <w:r>
              <w:t>指导及时性（B</w:t>
            </w:r>
            <w:r>
              <w:rPr>
                <w:position w:val="-2"/>
                <w:sz w:val="8"/>
                <w:szCs w:val="8"/>
              </w:rPr>
              <w:t>35</w:t>
            </w:r>
            <w:r>
              <w:t>）</w:t>
            </w:r>
          </w:p>
        </w:tc>
        <w:tc>
          <w:tcPr>
            <w:tcW w:w="4930" w:type="dxa"/>
            <w:vAlign w:val="top"/>
          </w:tcPr>
          <w:p>
            <w:pPr>
              <w:pStyle w:val="TableText"/>
              <w:spacing w:before="286" w:line="411" w:lineRule="auto"/>
              <w:ind w:left="113" w:right="107"/>
              <w:jc w:val="both"/>
            </w:pPr>
            <w:r>
              <w:rPr>
                <w:spacing w:val="1"/>
              </w:rPr>
              <w:t>确保相关规定、要求和指导方针具有及时性和时效性</w:t>
            </w:r>
            <w:r>
              <w:t xml:space="preserve">，强调 </w:t>
            </w:r>
            <w:r>
              <w:rPr>
                <w:spacing w:val="1"/>
              </w:rPr>
              <w:t>服务提供方在制定规程和管理制度时，应根据当前的</w:t>
            </w:r>
            <w:r>
              <w:t>需求和</w:t>
            </w:r>
          </w:p>
          <w:p>
            <w:pPr>
              <w:pStyle w:val="TableText"/>
              <w:spacing w:line="220" w:lineRule="auto"/>
              <w:ind w:left="114"/>
            </w:pPr>
            <w:r>
              <w:rPr>
                <w:spacing w:val="-1"/>
              </w:rPr>
              <w:t>情况，及时更新和调整相关指导</w:t>
            </w:r>
          </w:p>
        </w:tc>
      </w:tr>
    </w:tbl>
    <w:p>
      <w:pPr>
        <w:sectPr>
          <w:footerReference w:type="default" r:id="rId24"/>
          <w:pgSz w:w="11906" w:h="16839"/>
          <w:pgMar w:top="1406" w:right="1022" w:bottom="1312" w:left="1305" w:header="0" w:footer="1134" w:gutter="0"/>
          <w:pgNumType w:start="10"/>
          <w:cols w:space="708"/>
        </w:sectPr>
      </w:pPr>
    </w:p>
    <w:tbl>
      <w:tblPr>
        <w:tblStyle w:val="TableNormal3"/>
        <w:tblW w:w="95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8"/>
        <w:gridCol w:w="1417"/>
        <w:gridCol w:w="1838"/>
        <w:gridCol w:w="4930"/>
      </w:tblGrid>
      <w:tr>
        <w:tblPrEx>
          <w:tblW w:w="95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58"/>
        </w:trPr>
        <w:tc>
          <w:tcPr>
            <w:tcW w:w="1388" w:type="dxa"/>
            <w:vMerge w:val="restart"/>
            <w:tcBorders>
              <w:top w:val="nil"/>
              <w:bottom w:val="nil"/>
            </w:tcBorders>
            <w:vAlign w:val="top"/>
          </w:tcPr>
          <w:p>
            <w:pPr>
              <w:rPr>
                <w:rFonts w:ascii="Arial"/>
                <w:sz w:val="21"/>
              </w:rPr>
            </w:pPr>
          </w:p>
        </w:tc>
        <w:tc>
          <w:tcPr>
            <w:tcW w:w="1417" w:type="dxa"/>
            <w:vMerge w:val="restart"/>
            <w:tcBorders>
              <w:bottom w:val="nil"/>
            </w:tcBorders>
            <w:vAlign w:val="top"/>
          </w:tcPr>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58" w:line="219" w:lineRule="auto"/>
              <w:ind w:left="110"/>
            </w:pPr>
            <w:r>
              <w:rPr>
                <w:spacing w:val="-1"/>
              </w:rPr>
              <w:t>作业质量（B</w:t>
            </w:r>
            <w:r>
              <w:rPr>
                <w:spacing w:val="-1"/>
                <w:position w:val="-2"/>
                <w:sz w:val="8"/>
                <w:szCs w:val="8"/>
              </w:rPr>
              <w:t>4</w:t>
            </w:r>
            <w:r>
              <w:rPr>
                <w:spacing w:val="-1"/>
              </w:rPr>
              <w:t>）</w:t>
            </w:r>
          </w:p>
        </w:tc>
        <w:tc>
          <w:tcPr>
            <w:tcW w:w="1838" w:type="dxa"/>
            <w:vAlign w:val="top"/>
          </w:tcPr>
          <w:p>
            <w:pPr>
              <w:spacing w:line="293" w:lineRule="auto"/>
              <w:rPr>
                <w:rFonts w:ascii="Arial"/>
                <w:sz w:val="21"/>
              </w:rPr>
            </w:pPr>
          </w:p>
          <w:p>
            <w:pPr>
              <w:spacing w:line="293" w:lineRule="auto"/>
              <w:rPr>
                <w:rFonts w:ascii="Arial"/>
                <w:sz w:val="21"/>
              </w:rPr>
            </w:pPr>
          </w:p>
          <w:p>
            <w:pPr>
              <w:pStyle w:val="TableText"/>
              <w:spacing w:before="58" w:line="219" w:lineRule="auto"/>
              <w:ind w:left="111"/>
            </w:pPr>
            <w:r>
              <w:t>土壤物理性状（B</w:t>
            </w:r>
            <w:r>
              <w:rPr>
                <w:position w:val="-2"/>
                <w:sz w:val="8"/>
                <w:szCs w:val="8"/>
              </w:rPr>
              <w:t>41</w:t>
            </w:r>
            <w:r>
              <w:t>）</w:t>
            </w:r>
          </w:p>
        </w:tc>
        <w:tc>
          <w:tcPr>
            <w:tcW w:w="4930" w:type="dxa"/>
            <w:vAlign w:val="top"/>
          </w:tcPr>
          <w:p>
            <w:pPr>
              <w:pStyle w:val="TableText"/>
              <w:spacing w:before="247" w:line="410" w:lineRule="auto"/>
              <w:ind w:left="113" w:right="107"/>
            </w:pPr>
            <w:r>
              <w:rPr>
                <w:spacing w:val="1"/>
              </w:rPr>
              <w:t>土地托管服务中对土壤进行物理性质和特征的描述</w:t>
            </w:r>
            <w:r>
              <w:t xml:space="preserve">和评估， </w:t>
            </w:r>
            <w:r>
              <w:rPr>
                <w:spacing w:val="1"/>
              </w:rPr>
              <w:t>包括但不限于土壤结构、土壤容重、土壤透气性、土</w:t>
            </w:r>
            <w:r>
              <w:t>壤湿度</w:t>
            </w:r>
          </w:p>
          <w:p>
            <w:pPr>
              <w:pStyle w:val="TableText"/>
              <w:spacing w:line="219" w:lineRule="auto"/>
              <w:ind w:left="115"/>
            </w:pPr>
            <w:r>
              <w:rPr>
                <w:spacing w:val="-1"/>
              </w:rPr>
              <w:t>等土壤物理性状影响因素</w:t>
            </w:r>
          </w:p>
        </w:tc>
      </w:tr>
      <w:tr>
        <w:tblPrEx>
          <w:tblW w:w="9573" w:type="dxa"/>
          <w:tblInd w:w="2" w:type="dxa"/>
          <w:tblLayout w:type="fixed"/>
        </w:tblPrEx>
        <w:trPr>
          <w:trHeight w:val="1209"/>
        </w:trPr>
        <w:tc>
          <w:tcPr>
            <w:tcW w:w="1388" w:type="dxa"/>
            <w:vMerge/>
            <w:tcBorders>
              <w:top w:val="nil"/>
            </w:tcBorders>
            <w:vAlign w:val="top"/>
          </w:tcPr>
          <w:p>
            <w:pPr>
              <w:rPr>
                <w:rFonts w:ascii="Arial"/>
                <w:sz w:val="21"/>
              </w:rPr>
            </w:pPr>
          </w:p>
        </w:tc>
        <w:tc>
          <w:tcPr>
            <w:tcW w:w="1417" w:type="dxa"/>
            <w:vMerge/>
            <w:tcBorders>
              <w:top w:val="nil"/>
            </w:tcBorders>
            <w:vAlign w:val="top"/>
          </w:tcPr>
          <w:p>
            <w:pPr>
              <w:rPr>
                <w:rFonts w:ascii="Arial"/>
                <w:sz w:val="21"/>
              </w:rPr>
            </w:pPr>
          </w:p>
        </w:tc>
        <w:tc>
          <w:tcPr>
            <w:tcW w:w="1838" w:type="dxa"/>
            <w:vAlign w:val="top"/>
          </w:tcPr>
          <w:p>
            <w:pPr>
              <w:spacing w:line="254" w:lineRule="auto"/>
              <w:rPr>
                <w:rFonts w:ascii="Arial"/>
                <w:sz w:val="21"/>
              </w:rPr>
            </w:pPr>
          </w:p>
          <w:p>
            <w:pPr>
              <w:spacing w:line="255" w:lineRule="auto"/>
              <w:rPr>
                <w:rFonts w:ascii="Arial"/>
                <w:sz w:val="21"/>
              </w:rPr>
            </w:pPr>
          </w:p>
          <w:p>
            <w:pPr>
              <w:pStyle w:val="TableText"/>
              <w:spacing w:before="59" w:line="219" w:lineRule="auto"/>
              <w:ind w:left="111"/>
            </w:pPr>
            <w:r>
              <w:t>土壤化学性状（B</w:t>
            </w:r>
            <w:r>
              <w:rPr>
                <w:position w:val="-2"/>
                <w:sz w:val="8"/>
                <w:szCs w:val="8"/>
              </w:rPr>
              <w:t>42</w:t>
            </w:r>
            <w:r>
              <w:t>）</w:t>
            </w:r>
          </w:p>
        </w:tc>
        <w:tc>
          <w:tcPr>
            <w:tcW w:w="4930" w:type="dxa"/>
            <w:vAlign w:val="top"/>
          </w:tcPr>
          <w:p>
            <w:pPr>
              <w:pStyle w:val="TableText"/>
              <w:spacing w:before="170" w:line="410" w:lineRule="auto"/>
              <w:ind w:left="113" w:right="107"/>
            </w:pPr>
            <w:r>
              <w:rPr>
                <w:spacing w:val="1"/>
              </w:rPr>
              <w:t>土地托管服务中对土壤进行化学性质和特征的描述</w:t>
            </w:r>
            <w:r>
              <w:t xml:space="preserve">和评估， </w:t>
            </w:r>
            <w:r>
              <w:rPr>
                <w:spacing w:val="-1"/>
              </w:rPr>
              <w:t>包括但不限于土壤pH</w:t>
            </w:r>
            <w:r>
              <w:rPr>
                <w:spacing w:val="-38"/>
              </w:rPr>
              <w:t xml:space="preserve"> </w:t>
            </w:r>
            <w:r>
              <w:rPr>
                <w:spacing w:val="-1"/>
              </w:rPr>
              <w:t>值、有机质含量、矿物成分、微量</w:t>
            </w:r>
            <w:r>
              <w:rPr>
                <w:spacing w:val="-2"/>
              </w:rPr>
              <w:t>元素</w:t>
            </w:r>
          </w:p>
          <w:p>
            <w:pPr>
              <w:pStyle w:val="TableText"/>
              <w:spacing w:line="219" w:lineRule="auto"/>
              <w:ind w:left="115"/>
            </w:pPr>
            <w:r>
              <w:rPr>
                <w:spacing w:val="-1"/>
              </w:rPr>
              <w:t>等土壤化学性状影响因素</w:t>
            </w:r>
          </w:p>
        </w:tc>
      </w:tr>
    </w:tbl>
    <w:p>
      <w:pPr>
        <w:spacing w:line="47" w:lineRule="exact"/>
        <w:rPr>
          <w:rFonts w:ascii="Arial"/>
          <w:sz w:val="4"/>
        </w:rPr>
      </w:pPr>
    </w:p>
    <w:p>
      <w:pPr>
        <w:spacing w:line="47" w:lineRule="exact"/>
        <w:rPr>
          <w:rFonts w:ascii="Arial" w:eastAsia="Arial" w:hAnsi="Arial" w:cs="Arial"/>
          <w:sz w:val="4"/>
          <w:szCs w:val="4"/>
        </w:rPr>
        <w:sectPr>
          <w:footerReference w:type="default" r:id="rId25"/>
          <w:type w:val="nextPage"/>
          <w:pgSz w:w="11906" w:h="16839"/>
          <w:pgMar w:top="1406" w:right="1022" w:bottom="1312" w:left="1305" w:header="0" w:footer="1134" w:gutter="0"/>
          <w:pgNumType w:start="11"/>
          <w:cols w:space="708"/>
          <w:titlePg w:val="0"/>
        </w:sectPr>
      </w:pPr>
    </w:p>
    <w:p>
      <w:pPr>
        <w:pStyle w:val="BodyText"/>
        <w:spacing w:before="42" w:line="265" w:lineRule="exact"/>
        <w:ind w:left="7722"/>
        <w:rPr>
          <w:rFonts w:ascii="SimHei" w:eastAsia="SimHei" w:hAnsi="SimHei" w:cs="SimHei"/>
        </w:rPr>
      </w:pPr>
      <w:r>
        <w:rPr>
          <w:rFonts w:ascii="SimHei" w:eastAsia="SimHei" w:hAnsi="SimHei" w:cs="SimHei"/>
          <w:position w:val="1"/>
        </w:rPr>
        <w:t>GB</w:t>
      </w:r>
      <w:r>
        <w:rPr>
          <w:rFonts w:ascii="SimHei" w:eastAsia="SimHei" w:hAnsi="SimHei" w:cs="SimHei"/>
          <w:spacing w:val="24"/>
          <w:position w:val="1"/>
        </w:rPr>
        <w:t>/</w:t>
      </w:r>
      <w:r>
        <w:rPr>
          <w:rFonts w:ascii="SimHei" w:eastAsia="SimHei" w:hAnsi="SimHei" w:cs="SimHei"/>
          <w:position w:val="1"/>
        </w:rPr>
        <w:t>T</w:t>
      </w:r>
      <w:r>
        <w:rPr>
          <w:rFonts w:ascii="SimHei" w:eastAsia="SimHei" w:hAnsi="SimHei" w:cs="SimHei"/>
          <w:spacing w:val="24"/>
          <w:position w:val="1"/>
        </w:rPr>
        <w:t xml:space="preserve"> </w:t>
      </w:r>
      <w:r>
        <w:rPr>
          <w:rFonts w:ascii="SimHei" w:eastAsia="SimHei" w:hAnsi="SimHei" w:cs="SimHei"/>
          <w:position w:val="1"/>
        </w:rPr>
        <w:t>XXXXX</w:t>
      </w:r>
      <w:r>
        <w:rPr>
          <w:spacing w:val="24"/>
          <w:position w:val="1"/>
        </w:rPr>
        <w:t>—</w:t>
      </w:r>
      <w:r>
        <w:rPr>
          <w:rFonts w:ascii="SimHei" w:eastAsia="SimHei" w:hAnsi="SimHei" w:cs="SimHei"/>
          <w:position w:val="1"/>
        </w:rPr>
        <w:t>XXXX</w:t>
      </w:r>
    </w:p>
    <w:p>
      <w:pPr>
        <w:pStyle w:val="BodyText"/>
        <w:spacing w:before="265" w:line="229" w:lineRule="auto"/>
        <w:ind w:left="2708"/>
      </w:pPr>
      <w:r>
        <w:rPr>
          <w:rFonts w:ascii="SimHei" w:eastAsia="SimHei" w:hAnsi="SimHei" w:cs="SimHei"/>
          <w:spacing w:val="7"/>
        </w:rPr>
        <w:t>表</w:t>
      </w:r>
      <w:r>
        <w:rPr>
          <w:rFonts w:ascii="SimHei" w:eastAsia="SimHei" w:hAnsi="SimHei" w:cs="SimHei"/>
          <w:spacing w:val="-29"/>
        </w:rPr>
        <w:t xml:space="preserve"> </w:t>
      </w:r>
      <w:r>
        <w:rPr>
          <w:rFonts w:ascii="SimHei" w:eastAsia="SimHei" w:hAnsi="SimHei" w:cs="SimHei"/>
          <w:spacing w:val="7"/>
        </w:rPr>
        <w:t>A.1</w:t>
      </w:r>
      <w:r>
        <w:rPr>
          <w:rFonts w:ascii="SimHei" w:eastAsia="SimHei" w:hAnsi="SimHei" w:cs="SimHei"/>
          <w:spacing w:val="7"/>
        </w:rPr>
        <w:t xml:space="preserve"> </w:t>
      </w:r>
      <w:r>
        <w:rPr>
          <w:rFonts w:ascii="SimHei" w:eastAsia="SimHei" w:hAnsi="SimHei" w:cs="SimHei"/>
          <w:spacing w:val="7"/>
        </w:rPr>
        <w:t>土地托管服务评价指标体系表</w:t>
      </w:r>
      <w:r>
        <w:rPr>
          <w:spacing w:val="7"/>
        </w:rPr>
        <w:t>（续）</w:t>
      </w:r>
    </w:p>
    <w:tbl>
      <w:tblPr>
        <w:tblStyle w:val="TableNormal4"/>
        <w:tblW w:w="94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16"/>
        <w:gridCol w:w="1415"/>
        <w:gridCol w:w="1911"/>
        <w:gridCol w:w="4790"/>
      </w:tblGrid>
      <w:tr>
        <w:tblPrEx>
          <w:tblW w:w="94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0"/>
        </w:trPr>
        <w:tc>
          <w:tcPr>
            <w:tcW w:w="1316" w:type="dxa"/>
            <w:vAlign w:val="top"/>
          </w:tcPr>
          <w:p>
            <w:pPr>
              <w:spacing w:before="171" w:line="221" w:lineRule="auto"/>
              <w:ind w:left="306"/>
              <w:rPr>
                <w:rFonts w:ascii="SimHei" w:eastAsia="SimHei" w:hAnsi="SimHei" w:cs="SimHei"/>
                <w:sz w:val="18"/>
                <w:szCs w:val="18"/>
              </w:rPr>
            </w:pPr>
            <w:r>
              <w:rPr>
                <w:rFonts w:ascii="SimHei" w:eastAsia="SimHei" w:hAnsi="SimHei" w:cs="SimHei"/>
                <w:spacing w:val="-3"/>
                <w:sz w:val="18"/>
                <w:szCs w:val="18"/>
              </w:rPr>
              <w:t>一级指标</w:t>
            </w:r>
          </w:p>
        </w:tc>
        <w:tc>
          <w:tcPr>
            <w:tcW w:w="1415" w:type="dxa"/>
            <w:vAlign w:val="top"/>
          </w:tcPr>
          <w:p>
            <w:pPr>
              <w:spacing w:before="171" w:line="221" w:lineRule="auto"/>
              <w:ind w:left="353"/>
              <w:rPr>
                <w:rFonts w:ascii="SimHei" w:eastAsia="SimHei" w:hAnsi="SimHei" w:cs="SimHei"/>
                <w:sz w:val="18"/>
                <w:szCs w:val="18"/>
              </w:rPr>
            </w:pPr>
            <w:r>
              <w:rPr>
                <w:rFonts w:ascii="SimHei" w:eastAsia="SimHei" w:hAnsi="SimHei" w:cs="SimHei"/>
                <w:spacing w:val="-3"/>
                <w:sz w:val="18"/>
                <w:szCs w:val="18"/>
              </w:rPr>
              <w:t>二级指标</w:t>
            </w:r>
          </w:p>
        </w:tc>
        <w:tc>
          <w:tcPr>
            <w:tcW w:w="1911" w:type="dxa"/>
            <w:vAlign w:val="top"/>
          </w:tcPr>
          <w:p>
            <w:pPr>
              <w:spacing w:before="171" w:line="221" w:lineRule="auto"/>
              <w:ind w:left="602"/>
              <w:rPr>
                <w:rFonts w:ascii="SimHei" w:eastAsia="SimHei" w:hAnsi="SimHei" w:cs="SimHei"/>
                <w:sz w:val="18"/>
                <w:szCs w:val="18"/>
              </w:rPr>
            </w:pPr>
            <w:r>
              <w:rPr>
                <w:rFonts w:ascii="SimHei" w:eastAsia="SimHei" w:hAnsi="SimHei" w:cs="SimHei"/>
                <w:spacing w:val="-3"/>
                <w:sz w:val="18"/>
                <w:szCs w:val="18"/>
              </w:rPr>
              <w:t>三级指标</w:t>
            </w:r>
          </w:p>
        </w:tc>
        <w:tc>
          <w:tcPr>
            <w:tcW w:w="4790" w:type="dxa"/>
            <w:vAlign w:val="top"/>
          </w:tcPr>
          <w:p>
            <w:pPr>
              <w:spacing w:before="171" w:line="223" w:lineRule="auto"/>
              <w:ind w:left="2037"/>
              <w:rPr>
                <w:rFonts w:ascii="SimHei" w:eastAsia="SimHei" w:hAnsi="SimHei" w:cs="SimHei"/>
                <w:sz w:val="18"/>
                <w:szCs w:val="18"/>
              </w:rPr>
            </w:pPr>
            <w:r>
              <w:rPr>
                <w:rFonts w:ascii="SimHei" w:eastAsia="SimHei" w:hAnsi="SimHei" w:cs="SimHei"/>
                <w:spacing w:val="-2"/>
                <w:sz w:val="18"/>
                <w:szCs w:val="18"/>
              </w:rPr>
              <w:t>指标内涵</w:t>
            </w:r>
          </w:p>
        </w:tc>
      </w:tr>
      <w:tr>
        <w:tblPrEx>
          <w:tblW w:w="9432" w:type="dxa"/>
          <w:tblInd w:w="2" w:type="dxa"/>
          <w:tblLayout w:type="fixed"/>
        </w:tblPrEx>
        <w:trPr>
          <w:trHeight w:val="1604"/>
        </w:trPr>
        <w:tc>
          <w:tcPr>
            <w:tcW w:w="1316" w:type="dxa"/>
            <w:vMerge w:val="restart"/>
            <w:tcBorders>
              <w:bottom w:val="nil"/>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58" w:line="220" w:lineRule="auto"/>
              <w:ind w:left="114"/>
            </w:pPr>
            <w:r>
              <w:rPr>
                <w:spacing w:val="-2"/>
              </w:rPr>
              <w:t>过程质量（B）</w:t>
            </w:r>
          </w:p>
        </w:tc>
        <w:tc>
          <w:tcPr>
            <w:tcW w:w="1415" w:type="dxa"/>
            <w:vMerge w:val="restart"/>
            <w:tcBorders>
              <w:bottom w:val="nil"/>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58" w:line="219" w:lineRule="auto"/>
              <w:ind w:left="111"/>
            </w:pPr>
            <w:r>
              <w:rPr>
                <w:spacing w:val="-1"/>
              </w:rPr>
              <w:t>作业质量（B</w:t>
            </w:r>
            <w:r>
              <w:rPr>
                <w:spacing w:val="-1"/>
                <w:position w:val="-2"/>
                <w:sz w:val="8"/>
                <w:szCs w:val="8"/>
              </w:rPr>
              <w:t>4</w:t>
            </w:r>
            <w:r>
              <w:rPr>
                <w:spacing w:val="-1"/>
              </w:rPr>
              <w:t>）</w:t>
            </w:r>
          </w:p>
        </w:tc>
        <w:tc>
          <w:tcPr>
            <w:tcW w:w="1911" w:type="dxa"/>
            <w:vAlign w:val="top"/>
          </w:tcPr>
          <w:p>
            <w:pPr>
              <w:spacing w:line="352" w:lineRule="auto"/>
              <w:rPr>
                <w:rFonts w:ascii="Arial"/>
                <w:sz w:val="21"/>
              </w:rPr>
            </w:pPr>
          </w:p>
          <w:p>
            <w:pPr>
              <w:spacing w:line="352" w:lineRule="auto"/>
              <w:rPr>
                <w:rFonts w:ascii="Arial"/>
                <w:sz w:val="21"/>
              </w:rPr>
            </w:pPr>
          </w:p>
          <w:p>
            <w:pPr>
              <w:pStyle w:val="TableText"/>
              <w:spacing w:before="59" w:line="218" w:lineRule="auto"/>
              <w:ind w:left="112"/>
            </w:pPr>
            <w:r>
              <w:t>土壤肥力（B</w:t>
            </w:r>
            <w:r>
              <w:rPr>
                <w:position w:val="-2"/>
                <w:sz w:val="8"/>
                <w:szCs w:val="8"/>
              </w:rPr>
              <w:t>43</w:t>
            </w:r>
            <w:r>
              <w:t>）</w:t>
            </w:r>
          </w:p>
        </w:tc>
        <w:tc>
          <w:tcPr>
            <w:tcW w:w="4790" w:type="dxa"/>
            <w:vAlign w:val="top"/>
          </w:tcPr>
          <w:p>
            <w:pPr>
              <w:pStyle w:val="TableText"/>
              <w:spacing w:before="167" w:line="410" w:lineRule="auto"/>
              <w:ind w:left="119" w:right="106" w:hanging="5"/>
              <w:jc w:val="both"/>
            </w:pPr>
            <w:r>
              <w:rPr>
                <w:spacing w:val="2"/>
              </w:rPr>
              <w:t>土地托管服务中对土壤进行养分补给、有机质添加、土壤</w:t>
            </w:r>
            <w:r>
              <w:rPr>
                <w:spacing w:val="13"/>
              </w:rPr>
              <w:t xml:space="preserve"> </w:t>
            </w:r>
            <w:r>
              <w:rPr>
                <w:spacing w:val="2"/>
              </w:rPr>
              <w:t>改良和保护等措施，以提高土壤的肥力水平，保证农作物</w:t>
            </w:r>
            <w:r>
              <w:rPr>
                <w:spacing w:val="7"/>
              </w:rPr>
              <w:t xml:space="preserve"> </w:t>
            </w:r>
            <w:r>
              <w:rPr>
                <w:spacing w:val="-2"/>
              </w:rPr>
              <w:t>的产量和质量，其中，肥力水平符合</w:t>
            </w:r>
            <w:r>
              <w:rPr>
                <w:spacing w:val="-29"/>
              </w:rPr>
              <w:t xml:space="preserve"> </w:t>
            </w:r>
            <w:r>
              <w:rPr>
                <w:spacing w:val="-2"/>
              </w:rPr>
              <w:t>GB 18382</w:t>
            </w:r>
            <w:r>
              <w:rPr>
                <w:spacing w:val="-36"/>
              </w:rPr>
              <w:t xml:space="preserve"> </w:t>
            </w:r>
            <w:r>
              <w:rPr>
                <w:spacing w:val="-2"/>
              </w:rPr>
              <w:t>相关内容的</w:t>
            </w:r>
          </w:p>
          <w:p>
            <w:pPr>
              <w:pStyle w:val="TableText"/>
              <w:spacing w:line="220" w:lineRule="auto"/>
              <w:ind w:left="114"/>
            </w:pPr>
            <w:r>
              <w:rPr>
                <w:spacing w:val="-4"/>
              </w:rPr>
              <w:t>要求</w:t>
            </w:r>
          </w:p>
        </w:tc>
      </w:tr>
      <w:tr>
        <w:tblPrEx>
          <w:tblW w:w="9432" w:type="dxa"/>
          <w:tblInd w:w="2" w:type="dxa"/>
          <w:tblLayout w:type="fixed"/>
        </w:tblPrEx>
        <w:trPr>
          <w:trHeight w:val="1205"/>
        </w:trPr>
        <w:tc>
          <w:tcPr>
            <w:tcW w:w="1316" w:type="dxa"/>
            <w:vMerge/>
            <w:tcBorders>
              <w:top w:val="nil"/>
            </w:tcBorders>
            <w:vAlign w:val="top"/>
          </w:tcPr>
          <w:p>
            <w:pPr>
              <w:rPr>
                <w:rFonts w:ascii="Arial"/>
                <w:sz w:val="21"/>
              </w:rPr>
            </w:pPr>
          </w:p>
        </w:tc>
        <w:tc>
          <w:tcPr>
            <w:tcW w:w="1415" w:type="dxa"/>
            <w:vMerge/>
            <w:tcBorders>
              <w:top w:val="nil"/>
            </w:tcBorders>
            <w:vAlign w:val="top"/>
          </w:tcPr>
          <w:p>
            <w:pPr>
              <w:rPr>
                <w:rFonts w:ascii="Arial"/>
                <w:sz w:val="21"/>
              </w:rPr>
            </w:pPr>
          </w:p>
        </w:tc>
        <w:tc>
          <w:tcPr>
            <w:tcW w:w="1911" w:type="dxa"/>
            <w:vAlign w:val="top"/>
          </w:tcPr>
          <w:p>
            <w:pPr>
              <w:spacing w:line="252" w:lineRule="auto"/>
              <w:rPr>
                <w:rFonts w:ascii="Arial"/>
                <w:sz w:val="21"/>
              </w:rPr>
            </w:pPr>
          </w:p>
          <w:p>
            <w:pPr>
              <w:spacing w:line="253" w:lineRule="auto"/>
              <w:rPr>
                <w:rFonts w:ascii="Arial"/>
                <w:sz w:val="21"/>
              </w:rPr>
            </w:pPr>
          </w:p>
          <w:p>
            <w:pPr>
              <w:pStyle w:val="TableText"/>
              <w:spacing w:before="58" w:line="219" w:lineRule="auto"/>
              <w:ind w:left="112"/>
            </w:pPr>
            <w:r>
              <w:t>土壤环境（B</w:t>
            </w:r>
            <w:r>
              <w:rPr>
                <w:position w:val="-2"/>
                <w:sz w:val="8"/>
                <w:szCs w:val="8"/>
              </w:rPr>
              <w:t>44</w:t>
            </w:r>
            <w:r>
              <w:t>）</w:t>
            </w:r>
          </w:p>
        </w:tc>
        <w:tc>
          <w:tcPr>
            <w:tcW w:w="4790" w:type="dxa"/>
            <w:vAlign w:val="top"/>
          </w:tcPr>
          <w:p>
            <w:pPr>
              <w:pStyle w:val="TableText"/>
              <w:spacing w:before="166" w:line="411" w:lineRule="auto"/>
              <w:ind w:left="114" w:right="106"/>
              <w:jc w:val="both"/>
            </w:pPr>
            <w:r>
              <w:rPr>
                <w:spacing w:val="2"/>
              </w:rPr>
              <w:t>土地托管服务中对土壤的环境质量和生态条件进行管理和</w:t>
            </w:r>
            <w:r>
              <w:rPr>
                <w:spacing w:val="13"/>
              </w:rPr>
              <w:t xml:space="preserve"> </w:t>
            </w:r>
            <w:r>
              <w:rPr>
                <w:spacing w:val="2"/>
              </w:rPr>
              <w:t>保护，包括但不限于土壤污染物含量、生物多样性、土壤</w:t>
            </w:r>
          </w:p>
          <w:p>
            <w:pPr>
              <w:pStyle w:val="TableText"/>
              <w:spacing w:line="219" w:lineRule="auto"/>
              <w:ind w:left="114"/>
            </w:pPr>
            <w:r>
              <w:rPr>
                <w:spacing w:val="-1"/>
              </w:rPr>
              <w:t>侵蚀和沉积等土壤环境影响因素</w:t>
            </w:r>
          </w:p>
        </w:tc>
      </w:tr>
      <w:tr>
        <w:tblPrEx>
          <w:tblW w:w="9432" w:type="dxa"/>
          <w:tblInd w:w="2" w:type="dxa"/>
          <w:tblLayout w:type="fixed"/>
        </w:tblPrEx>
        <w:trPr>
          <w:trHeight w:val="1604"/>
        </w:trPr>
        <w:tc>
          <w:tcPr>
            <w:tcW w:w="1316"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58" w:line="219" w:lineRule="auto"/>
              <w:ind w:left="124"/>
            </w:pPr>
            <w:r>
              <w:rPr>
                <w:spacing w:val="-2"/>
              </w:rPr>
              <w:t>土地托管效果</w:t>
            </w:r>
          </w:p>
          <w:p>
            <w:pPr>
              <w:pStyle w:val="TableText"/>
              <w:spacing w:before="186" w:line="232" w:lineRule="auto"/>
              <w:ind w:left="447"/>
            </w:pPr>
            <w:r>
              <w:rPr>
                <w:spacing w:val="-6"/>
              </w:rPr>
              <w:t>（C）</w:t>
            </w:r>
          </w:p>
        </w:tc>
        <w:tc>
          <w:tcPr>
            <w:tcW w:w="1415"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58" w:line="219" w:lineRule="auto"/>
              <w:ind w:left="171"/>
            </w:pPr>
            <w:r>
              <w:rPr>
                <w:spacing w:val="-2"/>
              </w:rPr>
              <w:t>土地生产效率</w:t>
            </w:r>
          </w:p>
          <w:p>
            <w:pPr>
              <w:pStyle w:val="TableText"/>
              <w:spacing w:before="186" w:line="219" w:lineRule="auto"/>
              <w:ind w:left="473"/>
            </w:pPr>
            <w:r>
              <w:rPr>
                <w:spacing w:val="-4"/>
              </w:rPr>
              <w:t>（C</w:t>
            </w:r>
            <w:r>
              <w:rPr>
                <w:spacing w:val="-4"/>
                <w:position w:val="-2"/>
                <w:sz w:val="8"/>
                <w:szCs w:val="8"/>
              </w:rPr>
              <w:t>1</w:t>
            </w:r>
            <w:r>
              <w:rPr>
                <w:spacing w:val="-4"/>
              </w:rPr>
              <w:t>）</w:t>
            </w:r>
          </w:p>
        </w:tc>
        <w:tc>
          <w:tcPr>
            <w:tcW w:w="1911" w:type="dxa"/>
            <w:vAlign w:val="top"/>
          </w:tcPr>
          <w:p>
            <w:pPr>
              <w:spacing w:line="352" w:lineRule="auto"/>
              <w:rPr>
                <w:rFonts w:ascii="Arial"/>
                <w:sz w:val="21"/>
              </w:rPr>
            </w:pPr>
          </w:p>
          <w:p>
            <w:pPr>
              <w:spacing w:line="353" w:lineRule="auto"/>
              <w:rPr>
                <w:rFonts w:ascii="Arial"/>
                <w:sz w:val="21"/>
              </w:rPr>
            </w:pPr>
          </w:p>
          <w:p>
            <w:pPr>
              <w:pStyle w:val="TableText"/>
              <w:spacing w:before="58" w:line="219" w:lineRule="auto"/>
              <w:ind w:left="113"/>
            </w:pPr>
            <w:r>
              <w:t>经营收益提升（C</w:t>
            </w:r>
            <w:r>
              <w:rPr>
                <w:position w:val="-2"/>
                <w:sz w:val="8"/>
                <w:szCs w:val="8"/>
              </w:rPr>
              <w:t>11</w:t>
            </w:r>
            <w:r>
              <w:t>）</w:t>
            </w:r>
          </w:p>
        </w:tc>
        <w:tc>
          <w:tcPr>
            <w:tcW w:w="4790" w:type="dxa"/>
            <w:vAlign w:val="top"/>
          </w:tcPr>
          <w:p>
            <w:pPr>
              <w:pStyle w:val="TableText"/>
              <w:spacing w:before="168" w:line="410" w:lineRule="auto"/>
              <w:ind w:left="113" w:right="106"/>
              <w:jc w:val="both"/>
            </w:pPr>
            <w:r>
              <w:rPr>
                <w:spacing w:val="2"/>
              </w:rPr>
              <w:t>土地托管服务过程中，通过有效的土地管理和利用，实现</w:t>
            </w:r>
            <w:r>
              <w:rPr>
                <w:spacing w:val="13"/>
              </w:rPr>
              <w:t xml:space="preserve"> </w:t>
            </w:r>
            <w:r>
              <w:rPr>
                <w:spacing w:val="2"/>
              </w:rPr>
              <w:t>农作物产量和质量的提高，降低生产成本，开展多元经营</w:t>
            </w:r>
            <w:r>
              <w:rPr>
                <w:spacing w:val="13"/>
              </w:rPr>
              <w:t xml:space="preserve"> </w:t>
            </w:r>
            <w:r>
              <w:rPr>
                <w:spacing w:val="2"/>
              </w:rPr>
              <w:t>和增值服务，提升土地价值，增加农民收入，从而实现经</w:t>
            </w:r>
          </w:p>
          <w:p>
            <w:pPr>
              <w:pStyle w:val="TableText"/>
              <w:spacing w:line="219" w:lineRule="auto"/>
              <w:ind w:left="114"/>
            </w:pPr>
            <w:r>
              <w:rPr>
                <w:spacing w:val="-1"/>
              </w:rPr>
              <w:t>济利益的增加和提高</w:t>
            </w:r>
          </w:p>
        </w:tc>
      </w:tr>
      <w:tr>
        <w:tblPrEx>
          <w:tblW w:w="9432" w:type="dxa"/>
          <w:tblInd w:w="2" w:type="dxa"/>
          <w:tblLayout w:type="fixed"/>
        </w:tblPrEx>
        <w:trPr>
          <w:trHeight w:val="805"/>
        </w:trPr>
        <w:tc>
          <w:tcPr>
            <w:tcW w:w="1316" w:type="dxa"/>
            <w:vMerge/>
            <w:tcBorders>
              <w:top w:val="nil"/>
              <w:bottom w:val="nil"/>
            </w:tcBorders>
            <w:vAlign w:val="top"/>
          </w:tcPr>
          <w:p>
            <w:pPr>
              <w:rPr>
                <w:rFonts w:ascii="Arial"/>
                <w:sz w:val="21"/>
              </w:rPr>
            </w:pPr>
          </w:p>
        </w:tc>
        <w:tc>
          <w:tcPr>
            <w:tcW w:w="1415" w:type="dxa"/>
            <w:vMerge/>
            <w:tcBorders>
              <w:top w:val="nil"/>
              <w:bottom w:val="nil"/>
            </w:tcBorders>
            <w:vAlign w:val="top"/>
          </w:tcPr>
          <w:p>
            <w:pPr>
              <w:rPr>
                <w:rFonts w:ascii="Arial"/>
                <w:sz w:val="21"/>
              </w:rPr>
            </w:pPr>
          </w:p>
        </w:tc>
        <w:tc>
          <w:tcPr>
            <w:tcW w:w="1911" w:type="dxa"/>
            <w:vAlign w:val="top"/>
          </w:tcPr>
          <w:p>
            <w:pPr>
              <w:spacing w:line="308" w:lineRule="auto"/>
              <w:rPr>
                <w:rFonts w:ascii="Arial"/>
                <w:sz w:val="21"/>
              </w:rPr>
            </w:pPr>
          </w:p>
          <w:p>
            <w:pPr>
              <w:pStyle w:val="TableText"/>
              <w:spacing w:before="58" w:line="219" w:lineRule="auto"/>
              <w:ind w:left="112"/>
            </w:pPr>
            <w:r>
              <w:t>土地产出提升（C</w:t>
            </w:r>
            <w:r>
              <w:rPr>
                <w:position w:val="-2"/>
                <w:sz w:val="8"/>
                <w:szCs w:val="8"/>
              </w:rPr>
              <w:t>12</w:t>
            </w:r>
            <w:r>
              <w:t>）</w:t>
            </w:r>
          </w:p>
        </w:tc>
        <w:tc>
          <w:tcPr>
            <w:tcW w:w="4790" w:type="dxa"/>
            <w:vAlign w:val="top"/>
          </w:tcPr>
          <w:p>
            <w:pPr>
              <w:pStyle w:val="TableText"/>
              <w:spacing w:before="167" w:line="400" w:lineRule="exact"/>
              <w:ind w:left="114"/>
            </w:pPr>
            <w:r>
              <w:rPr>
                <w:spacing w:val="3"/>
                <w:position w:val="17"/>
              </w:rPr>
              <w:t>土地托管服务过程中，通过有效管理和利用托管土地，实</w:t>
            </w:r>
          </w:p>
          <w:p>
            <w:pPr>
              <w:pStyle w:val="TableText"/>
              <w:spacing w:line="219" w:lineRule="auto"/>
              <w:ind w:left="114"/>
            </w:pPr>
            <w:r>
              <w:rPr>
                <w:spacing w:val="-1"/>
              </w:rPr>
              <w:t>现农作物产量和质量的提高，提高土地产出</w:t>
            </w:r>
          </w:p>
        </w:tc>
      </w:tr>
      <w:tr>
        <w:tblPrEx>
          <w:tblW w:w="9432" w:type="dxa"/>
          <w:tblInd w:w="2" w:type="dxa"/>
          <w:tblLayout w:type="fixed"/>
        </w:tblPrEx>
        <w:trPr>
          <w:trHeight w:val="1386"/>
        </w:trPr>
        <w:tc>
          <w:tcPr>
            <w:tcW w:w="1316" w:type="dxa"/>
            <w:vMerge/>
            <w:tcBorders>
              <w:top w:val="nil"/>
              <w:bottom w:val="nil"/>
            </w:tcBorders>
            <w:vAlign w:val="top"/>
          </w:tcPr>
          <w:p>
            <w:pPr>
              <w:rPr>
                <w:rFonts w:ascii="Arial"/>
                <w:sz w:val="21"/>
              </w:rPr>
            </w:pPr>
          </w:p>
        </w:tc>
        <w:tc>
          <w:tcPr>
            <w:tcW w:w="1415" w:type="dxa"/>
            <w:vMerge/>
            <w:tcBorders>
              <w:top w:val="nil"/>
            </w:tcBorders>
            <w:vAlign w:val="top"/>
          </w:tcPr>
          <w:p>
            <w:pPr>
              <w:rPr>
                <w:rFonts w:ascii="Arial"/>
                <w:sz w:val="21"/>
              </w:rPr>
            </w:pPr>
          </w:p>
        </w:tc>
        <w:tc>
          <w:tcPr>
            <w:tcW w:w="1911" w:type="dxa"/>
            <w:vAlign w:val="top"/>
          </w:tcPr>
          <w:p>
            <w:pPr>
              <w:spacing w:line="299" w:lineRule="auto"/>
              <w:rPr>
                <w:rFonts w:ascii="Arial"/>
                <w:sz w:val="21"/>
              </w:rPr>
            </w:pPr>
          </w:p>
          <w:p>
            <w:pPr>
              <w:spacing w:line="299" w:lineRule="auto"/>
              <w:rPr>
                <w:rFonts w:ascii="Arial"/>
                <w:sz w:val="21"/>
              </w:rPr>
            </w:pPr>
          </w:p>
          <w:p>
            <w:pPr>
              <w:pStyle w:val="TableText"/>
              <w:spacing w:before="58" w:line="218" w:lineRule="auto"/>
              <w:ind w:left="112"/>
            </w:pPr>
            <w:r>
              <w:t>技术水平提升（C</w:t>
            </w:r>
            <w:r>
              <w:rPr>
                <w:position w:val="-2"/>
                <w:sz w:val="8"/>
                <w:szCs w:val="8"/>
              </w:rPr>
              <w:t>13</w:t>
            </w:r>
            <w:r>
              <w:t>）</w:t>
            </w:r>
          </w:p>
        </w:tc>
        <w:tc>
          <w:tcPr>
            <w:tcW w:w="4790" w:type="dxa"/>
            <w:vAlign w:val="top"/>
          </w:tcPr>
          <w:p>
            <w:pPr>
              <w:pStyle w:val="TableText"/>
              <w:spacing w:before="168" w:line="410" w:lineRule="auto"/>
              <w:ind w:left="114" w:right="106"/>
              <w:jc w:val="both"/>
            </w:pPr>
            <w:r>
              <w:rPr>
                <w:spacing w:val="2"/>
              </w:rPr>
              <w:t>土地托管服务过程中，通过引入先进的农业技术和管理方</w:t>
            </w:r>
            <w:r>
              <w:rPr>
                <w:spacing w:val="13"/>
              </w:rPr>
              <w:t xml:space="preserve"> </w:t>
            </w:r>
            <w:r>
              <w:rPr>
                <w:spacing w:val="2"/>
              </w:rPr>
              <w:t>法，提高土地托管过程中的技术水平和效率，降低生产成</w:t>
            </w:r>
          </w:p>
          <w:p>
            <w:pPr>
              <w:pStyle w:val="TableText"/>
              <w:spacing w:line="218" w:lineRule="auto"/>
              <w:ind w:left="114"/>
            </w:pPr>
            <w:r>
              <w:rPr>
                <w:spacing w:val="-1"/>
              </w:rPr>
              <w:t>本，从而促进农业的可持续发展和农民收入的增加</w:t>
            </w:r>
          </w:p>
        </w:tc>
      </w:tr>
      <w:tr>
        <w:tblPrEx>
          <w:tblW w:w="9432" w:type="dxa"/>
          <w:tblInd w:w="2" w:type="dxa"/>
          <w:tblLayout w:type="fixed"/>
        </w:tblPrEx>
        <w:trPr>
          <w:trHeight w:val="1729"/>
        </w:trPr>
        <w:tc>
          <w:tcPr>
            <w:tcW w:w="1316" w:type="dxa"/>
            <w:vMerge/>
            <w:tcBorders>
              <w:top w:val="nil"/>
              <w:bottom w:val="nil"/>
            </w:tcBorders>
            <w:vAlign w:val="top"/>
          </w:tcPr>
          <w:p>
            <w:pPr>
              <w:rPr>
                <w:rFonts w:ascii="Arial"/>
                <w:sz w:val="21"/>
              </w:rPr>
            </w:pPr>
          </w:p>
        </w:tc>
        <w:tc>
          <w:tcPr>
            <w:tcW w:w="1415" w:type="dxa"/>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tc>
        <w:tc>
          <w:tcPr>
            <w:tcW w:w="1911" w:type="dxa"/>
            <w:vAlign w:val="top"/>
          </w:tcPr>
          <w:p>
            <w:pPr>
              <w:spacing w:line="284" w:lineRule="auto"/>
              <w:rPr>
                <w:rFonts w:ascii="Arial"/>
                <w:sz w:val="21"/>
              </w:rPr>
            </w:pPr>
          </w:p>
          <w:p>
            <w:pPr>
              <w:spacing w:line="284" w:lineRule="auto"/>
              <w:rPr>
                <w:rFonts w:ascii="Arial"/>
                <w:sz w:val="21"/>
              </w:rPr>
            </w:pPr>
          </w:p>
          <w:p>
            <w:pPr>
              <w:pStyle w:val="TableText"/>
              <w:spacing w:before="58" w:line="401" w:lineRule="exact"/>
              <w:ind w:left="112"/>
            </w:pPr>
            <w:r>
              <w:rPr>
                <w:spacing w:val="32"/>
                <w:position w:val="17"/>
              </w:rPr>
              <w:t>土地利用经济效益</w:t>
            </w:r>
          </w:p>
          <w:p>
            <w:pPr>
              <w:pStyle w:val="TableText"/>
              <w:spacing w:line="218" w:lineRule="auto"/>
              <w:ind w:left="121"/>
            </w:pPr>
            <w:r>
              <w:rPr>
                <w:spacing w:val="-2"/>
              </w:rPr>
              <w:t>（C</w:t>
            </w:r>
            <w:r>
              <w:rPr>
                <w:spacing w:val="-2"/>
                <w:position w:val="-2"/>
                <w:sz w:val="8"/>
                <w:szCs w:val="8"/>
              </w:rPr>
              <w:t>21</w:t>
            </w:r>
            <w:r>
              <w:rPr>
                <w:spacing w:val="-2"/>
              </w:rPr>
              <w:t>）</w:t>
            </w:r>
          </w:p>
        </w:tc>
        <w:tc>
          <w:tcPr>
            <w:tcW w:w="4790" w:type="dxa"/>
            <w:vAlign w:val="top"/>
          </w:tcPr>
          <w:p>
            <w:pPr>
              <w:pStyle w:val="TableText"/>
              <w:spacing w:before="232" w:line="410" w:lineRule="auto"/>
              <w:ind w:left="113" w:right="106"/>
              <w:jc w:val="both"/>
            </w:pPr>
            <w:r>
              <w:rPr>
                <w:spacing w:val="2"/>
              </w:rPr>
              <w:t>土地托管服务过程中，通过有效管理和利用托管土地，实</w:t>
            </w:r>
            <w:r>
              <w:rPr>
                <w:spacing w:val="13"/>
              </w:rPr>
              <w:t xml:space="preserve"> </w:t>
            </w:r>
            <w:r>
              <w:rPr>
                <w:spacing w:val="2"/>
              </w:rPr>
              <w:t>现经济效益的最大化，通过合理的土地利用规划、高效的</w:t>
            </w:r>
            <w:r>
              <w:rPr>
                <w:spacing w:val="13"/>
              </w:rPr>
              <w:t xml:space="preserve"> </w:t>
            </w:r>
            <w:r>
              <w:rPr>
                <w:spacing w:val="2"/>
              </w:rPr>
              <w:t>农业生产和科学的经营管理，实现土地托管方、农户和相</w:t>
            </w:r>
          </w:p>
          <w:p>
            <w:pPr>
              <w:pStyle w:val="TableText"/>
              <w:spacing w:line="219" w:lineRule="auto"/>
              <w:ind w:left="116"/>
            </w:pPr>
            <w:r>
              <w:rPr>
                <w:spacing w:val="-1"/>
              </w:rPr>
              <w:t>关利益相关者的经济利益最大化</w:t>
            </w:r>
          </w:p>
        </w:tc>
      </w:tr>
    </w:tbl>
    <w:p>
      <w:pPr>
        <w:sectPr>
          <w:footerReference w:type="default" r:id="rId26"/>
          <w:pgSz w:w="11906" w:h="16839"/>
          <w:pgMar w:top="1406" w:right="1092" w:bottom="1311" w:left="1376" w:header="0" w:footer="1134" w:gutter="0"/>
          <w:pgNumType w:start="12"/>
          <w:cols w:space="708"/>
        </w:sectPr>
      </w:pPr>
    </w:p>
    <w:tbl>
      <w:tblPr>
        <w:tblStyle w:val="TableNormal5"/>
        <w:tblW w:w="94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16"/>
        <w:gridCol w:w="1415"/>
        <w:gridCol w:w="1911"/>
        <w:gridCol w:w="4790"/>
      </w:tblGrid>
      <w:tr>
        <w:tblPrEx>
          <w:tblW w:w="94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729"/>
        </w:trPr>
        <w:tc>
          <w:tcPr>
            <w:tcW w:w="1316" w:type="dxa"/>
            <w:vMerge w:val="restart"/>
            <w:tcBorders>
              <w:top w:val="nil"/>
              <w:bottom w:val="nil"/>
            </w:tcBorders>
            <w:vAlign w:val="top"/>
          </w:tcPr>
          <w:p/>
        </w:tc>
        <w:tc>
          <w:tcPr>
            <w:tcW w:w="1415" w:type="dxa"/>
            <w:vMerge w:val="restart"/>
            <w:tcBorders>
              <w:bottom w:val="nil"/>
            </w:tcBorders>
            <w:vAlign w:val="top"/>
          </w:tcPr>
          <w:p>
            <w:pPr>
              <w:spacing w:line="248" w:lineRule="auto"/>
              <w:rPr>
                <w:rFonts w:ascii="Arial"/>
                <w:sz w:val="21"/>
              </w:rPr>
            </w:pPr>
          </w:p>
          <w:p>
            <w:pPr>
              <w:pStyle w:val="TableText"/>
              <w:spacing w:before="58" w:line="220" w:lineRule="auto"/>
              <w:ind w:left="171"/>
            </w:pPr>
            <w:r>
              <w:rPr>
                <w:spacing w:val="-2"/>
              </w:rPr>
              <w:t>土地利用成效</w:t>
            </w:r>
          </w:p>
          <w:p>
            <w:pPr>
              <w:pStyle w:val="TableText"/>
              <w:spacing w:before="186" w:line="219" w:lineRule="auto"/>
              <w:ind w:left="473"/>
            </w:pPr>
            <w:r>
              <w:rPr>
                <w:spacing w:val="-4"/>
              </w:rPr>
              <w:t>（C</w:t>
            </w:r>
            <w:r>
              <w:rPr>
                <w:spacing w:val="-4"/>
                <w:position w:val="-2"/>
                <w:sz w:val="8"/>
                <w:szCs w:val="8"/>
              </w:rPr>
              <w:t>2</w:t>
            </w:r>
            <w:r>
              <w:rPr>
                <w:spacing w:val="-4"/>
              </w:rPr>
              <w:t>）</w:t>
            </w:r>
          </w:p>
        </w:tc>
        <w:tc>
          <w:tcPr>
            <w:tcW w:w="1911" w:type="dxa"/>
            <w:vAlign w:val="top"/>
          </w:tcPr>
          <w:p/>
        </w:tc>
        <w:tc>
          <w:tcPr>
            <w:tcW w:w="4790" w:type="dxa"/>
            <w:vAlign w:val="top"/>
          </w:tcPr>
          <w:p/>
        </w:tc>
      </w:tr>
      <w:tr>
        <w:tblPrEx>
          <w:tblW w:w="9432" w:type="dxa"/>
          <w:tblInd w:w="2" w:type="dxa"/>
          <w:tblLayout w:type="fixed"/>
        </w:tblPrEx>
        <w:trPr>
          <w:trHeight w:val="1824"/>
        </w:trPr>
        <w:tc>
          <w:tcPr>
            <w:tcW w:w="1316" w:type="dxa"/>
            <w:vMerge/>
            <w:tcBorders>
              <w:top w:val="nil"/>
              <w:bottom w:val="nil"/>
            </w:tcBorders>
            <w:vAlign w:val="top"/>
          </w:tcPr>
          <w:p>
            <w:pPr>
              <w:rPr>
                <w:rFonts w:ascii="Arial"/>
                <w:sz w:val="21"/>
              </w:rPr>
            </w:pPr>
          </w:p>
        </w:tc>
        <w:tc>
          <w:tcPr>
            <w:tcW w:w="1415" w:type="dxa"/>
            <w:vMerge/>
            <w:tcBorders>
              <w:top w:val="nil"/>
              <w:bottom w:val="nil"/>
            </w:tcBorders>
            <w:vAlign w:val="top"/>
          </w:tcPr>
          <w:p>
            <w:pPr>
              <w:rPr>
                <w:rFonts w:ascii="Arial"/>
                <w:sz w:val="21"/>
              </w:rPr>
            </w:pPr>
          </w:p>
        </w:tc>
        <w:tc>
          <w:tcPr>
            <w:tcW w:w="1911" w:type="dxa"/>
            <w:vAlign w:val="top"/>
          </w:tcPr>
          <w:p>
            <w:pPr>
              <w:spacing w:line="308" w:lineRule="auto"/>
              <w:rPr>
                <w:rFonts w:ascii="Arial"/>
                <w:sz w:val="21"/>
              </w:rPr>
            </w:pPr>
          </w:p>
          <w:p>
            <w:pPr>
              <w:spacing w:line="309" w:lineRule="auto"/>
              <w:rPr>
                <w:rFonts w:ascii="Arial"/>
                <w:sz w:val="21"/>
              </w:rPr>
            </w:pPr>
          </w:p>
          <w:p>
            <w:pPr>
              <w:pStyle w:val="TableText"/>
              <w:spacing w:before="58" w:line="401" w:lineRule="exact"/>
              <w:ind w:left="112"/>
            </w:pPr>
            <w:r>
              <w:rPr>
                <w:spacing w:val="32"/>
                <w:position w:val="17"/>
              </w:rPr>
              <w:t>土地利用社会效益</w:t>
            </w:r>
          </w:p>
          <w:p>
            <w:pPr>
              <w:pStyle w:val="TableText"/>
              <w:spacing w:line="218" w:lineRule="auto"/>
              <w:ind w:left="121"/>
            </w:pPr>
            <w:r>
              <w:rPr>
                <w:spacing w:val="-2"/>
              </w:rPr>
              <w:t>（C</w:t>
            </w:r>
            <w:r>
              <w:rPr>
                <w:spacing w:val="-2"/>
                <w:position w:val="-2"/>
                <w:sz w:val="8"/>
                <w:szCs w:val="8"/>
              </w:rPr>
              <w:t>22</w:t>
            </w:r>
            <w:r>
              <w:rPr>
                <w:spacing w:val="-2"/>
              </w:rPr>
              <w:t>）</w:t>
            </w:r>
          </w:p>
        </w:tc>
        <w:tc>
          <w:tcPr>
            <w:tcW w:w="4790" w:type="dxa"/>
            <w:vAlign w:val="top"/>
          </w:tcPr>
          <w:p>
            <w:pPr>
              <w:pStyle w:val="TableText"/>
              <w:spacing w:before="281" w:line="410" w:lineRule="auto"/>
              <w:ind w:left="114" w:right="106"/>
            </w:pPr>
            <w:r>
              <w:rPr>
                <w:spacing w:val="2"/>
              </w:rPr>
              <w:t>土地托管服务过程中，通过合理管理和利用托管土地，为</w:t>
            </w:r>
            <w:r>
              <w:rPr>
                <w:spacing w:val="13"/>
              </w:rPr>
              <w:t xml:space="preserve"> </w:t>
            </w:r>
            <w:r>
              <w:rPr>
                <w:spacing w:val="2"/>
              </w:rPr>
              <w:t>社会带来的积极影响和福利，通过促进农业可持续发展、</w:t>
            </w:r>
            <w:r>
              <w:rPr>
                <w:spacing w:val="12"/>
              </w:rPr>
              <w:t xml:space="preserve"> </w:t>
            </w:r>
            <w:r>
              <w:rPr>
                <w:spacing w:val="2"/>
              </w:rPr>
              <w:t>改善农民生活条件、保护生态环境和推动农村社会进步，</w:t>
            </w:r>
          </w:p>
          <w:p>
            <w:pPr>
              <w:pStyle w:val="TableText"/>
              <w:spacing w:line="218" w:lineRule="auto"/>
              <w:ind w:left="117"/>
            </w:pPr>
            <w:r>
              <w:rPr>
                <w:spacing w:val="-1"/>
              </w:rPr>
              <w:t>实现土地利用社会效益最大化</w:t>
            </w:r>
          </w:p>
        </w:tc>
      </w:tr>
      <w:tr>
        <w:tblPrEx>
          <w:tblW w:w="9432" w:type="dxa"/>
          <w:tblInd w:w="2" w:type="dxa"/>
          <w:tblLayout w:type="fixed"/>
        </w:tblPrEx>
        <w:trPr>
          <w:trHeight w:val="2009"/>
        </w:trPr>
        <w:tc>
          <w:tcPr>
            <w:tcW w:w="1316" w:type="dxa"/>
            <w:vMerge/>
            <w:tcBorders>
              <w:top w:val="nil"/>
            </w:tcBorders>
            <w:vAlign w:val="top"/>
          </w:tcPr>
          <w:p>
            <w:pPr>
              <w:rPr>
                <w:rFonts w:ascii="Arial"/>
                <w:sz w:val="21"/>
              </w:rPr>
            </w:pPr>
          </w:p>
        </w:tc>
        <w:tc>
          <w:tcPr>
            <w:tcW w:w="1415" w:type="dxa"/>
            <w:vMerge/>
            <w:tcBorders>
              <w:top w:val="nil"/>
            </w:tcBorders>
            <w:vAlign w:val="top"/>
          </w:tcPr>
          <w:p>
            <w:pPr>
              <w:rPr>
                <w:rFonts w:ascii="Arial"/>
                <w:sz w:val="21"/>
              </w:rPr>
            </w:pPr>
          </w:p>
        </w:tc>
        <w:tc>
          <w:tcPr>
            <w:tcW w:w="1911" w:type="dxa"/>
            <w:vAlign w:val="top"/>
          </w:tcPr>
          <w:p>
            <w:pPr>
              <w:spacing w:line="353" w:lineRule="auto"/>
              <w:rPr>
                <w:rFonts w:ascii="Arial"/>
                <w:sz w:val="21"/>
              </w:rPr>
            </w:pPr>
          </w:p>
          <w:p>
            <w:pPr>
              <w:spacing w:line="354" w:lineRule="auto"/>
              <w:rPr>
                <w:rFonts w:ascii="Arial"/>
                <w:sz w:val="21"/>
              </w:rPr>
            </w:pPr>
          </w:p>
          <w:p>
            <w:pPr>
              <w:pStyle w:val="TableText"/>
              <w:spacing w:before="59" w:line="400" w:lineRule="exact"/>
              <w:ind w:left="112"/>
            </w:pPr>
            <w:r>
              <w:rPr>
                <w:spacing w:val="32"/>
                <w:position w:val="17"/>
              </w:rPr>
              <w:t>土地利用生态效益</w:t>
            </w:r>
          </w:p>
          <w:p>
            <w:pPr>
              <w:pStyle w:val="TableText"/>
              <w:spacing w:line="218" w:lineRule="auto"/>
              <w:ind w:left="121"/>
            </w:pPr>
            <w:r>
              <w:rPr>
                <w:spacing w:val="-2"/>
              </w:rPr>
              <w:t>（C</w:t>
            </w:r>
            <w:r>
              <w:rPr>
                <w:spacing w:val="-2"/>
                <w:position w:val="-2"/>
                <w:sz w:val="8"/>
                <w:szCs w:val="8"/>
              </w:rPr>
              <w:t>23</w:t>
            </w:r>
            <w:r>
              <w:rPr>
                <w:spacing w:val="-2"/>
              </w:rPr>
              <w:t>）</w:t>
            </w:r>
          </w:p>
        </w:tc>
        <w:tc>
          <w:tcPr>
            <w:tcW w:w="4790" w:type="dxa"/>
            <w:vAlign w:val="top"/>
          </w:tcPr>
          <w:p>
            <w:pPr>
              <w:pStyle w:val="TableText"/>
              <w:spacing w:before="172" w:line="410" w:lineRule="auto"/>
              <w:ind w:left="112" w:right="106" w:firstLine="1"/>
            </w:pPr>
            <w:r>
              <w:rPr>
                <w:spacing w:val="2"/>
              </w:rPr>
              <w:t>土地托管服务过程中，通过合理管理和利用托管土地，实</w:t>
            </w:r>
            <w:r>
              <w:rPr>
                <w:spacing w:val="13"/>
              </w:rPr>
              <w:t xml:space="preserve"> </w:t>
            </w:r>
            <w:r>
              <w:rPr>
                <w:spacing w:val="2"/>
              </w:rPr>
              <w:t>现对生态环境的保护和恢复，促进生物多样性的保护，以</w:t>
            </w:r>
            <w:r>
              <w:rPr>
                <w:spacing w:val="14"/>
              </w:rPr>
              <w:t xml:space="preserve"> </w:t>
            </w:r>
            <w:r>
              <w:rPr>
                <w:spacing w:val="2"/>
              </w:rPr>
              <w:t>及减少对自然资源的消耗和环境污染的影响，实现土地利</w:t>
            </w:r>
            <w:r>
              <w:rPr>
                <w:spacing w:val="14"/>
              </w:rPr>
              <w:t xml:space="preserve"> </w:t>
            </w:r>
            <w:r>
              <w:rPr>
                <w:spacing w:val="2"/>
              </w:rPr>
              <w:t>用的可持续性，保护生态系统的稳定性和健康性。其中，</w:t>
            </w:r>
          </w:p>
          <w:p>
            <w:pPr>
              <w:pStyle w:val="TableText"/>
              <w:spacing w:line="219" w:lineRule="auto"/>
              <w:ind w:left="113"/>
            </w:pPr>
            <w:r>
              <w:rPr>
                <w:spacing w:val="-1"/>
              </w:rPr>
              <w:t>农药导致环境污染符合</w:t>
            </w:r>
            <w:r>
              <w:rPr>
                <w:spacing w:val="-36"/>
              </w:rPr>
              <w:t xml:space="preserve"> </w:t>
            </w:r>
            <w:r>
              <w:rPr>
                <w:spacing w:val="-1"/>
              </w:rPr>
              <w:t>GB 15618</w:t>
            </w:r>
            <w:r>
              <w:rPr>
                <w:spacing w:val="-39"/>
              </w:rPr>
              <w:t xml:space="preserve"> </w:t>
            </w:r>
            <w:r>
              <w:rPr>
                <w:spacing w:val="-1"/>
              </w:rPr>
              <w:t>相关内容的要求</w:t>
            </w:r>
          </w:p>
        </w:tc>
      </w:tr>
    </w:tbl>
    <w:p>
      <w:pPr>
        <w:rPr>
          <w:rFonts w:ascii="Arial"/>
          <w:sz w:val="21"/>
        </w:rPr>
      </w:pPr>
    </w:p>
    <w:p>
      <w:pPr>
        <w:rPr>
          <w:rFonts w:ascii="Arial" w:eastAsia="Arial" w:hAnsi="Arial" w:cs="Arial"/>
          <w:sz w:val="21"/>
          <w:szCs w:val="21"/>
        </w:rPr>
        <w:sectPr>
          <w:footerReference w:type="default" r:id="rId27"/>
          <w:type w:val="nextPage"/>
          <w:pgSz w:w="11906" w:h="16839"/>
          <w:pgMar w:top="1406" w:right="1092" w:bottom="1311" w:left="1376" w:header="0" w:footer="1134" w:gutter="0"/>
          <w:pgNumType w:start="13"/>
          <w:cols w:space="708"/>
          <w:titlePg w:val="0"/>
        </w:sectPr>
      </w:pPr>
    </w:p>
    <w:p>
      <w:pPr>
        <w:pStyle w:val="BodyText"/>
        <w:spacing w:before="42" w:line="265" w:lineRule="exact"/>
        <w:ind w:left="7722"/>
        <w:rPr>
          <w:rFonts w:ascii="SimHei" w:eastAsia="SimHei" w:hAnsi="SimHei" w:cs="SimHei"/>
        </w:rPr>
      </w:pPr>
      <w:r>
        <w:rPr>
          <w:rFonts w:ascii="SimHei" w:eastAsia="SimHei" w:hAnsi="SimHei" w:cs="SimHei"/>
          <w:position w:val="1"/>
        </w:rPr>
        <w:t>GB</w:t>
      </w:r>
      <w:r>
        <w:rPr>
          <w:rFonts w:ascii="SimHei" w:eastAsia="SimHei" w:hAnsi="SimHei" w:cs="SimHei"/>
          <w:spacing w:val="24"/>
          <w:position w:val="1"/>
        </w:rPr>
        <w:t>/</w:t>
      </w:r>
      <w:r>
        <w:rPr>
          <w:rFonts w:ascii="SimHei" w:eastAsia="SimHei" w:hAnsi="SimHei" w:cs="SimHei"/>
          <w:position w:val="1"/>
        </w:rPr>
        <w:t>T</w:t>
      </w:r>
      <w:r>
        <w:rPr>
          <w:rFonts w:ascii="SimHei" w:eastAsia="SimHei" w:hAnsi="SimHei" w:cs="SimHei"/>
          <w:spacing w:val="24"/>
          <w:position w:val="1"/>
        </w:rPr>
        <w:t xml:space="preserve"> </w:t>
      </w:r>
      <w:r>
        <w:rPr>
          <w:rFonts w:ascii="SimHei" w:eastAsia="SimHei" w:hAnsi="SimHei" w:cs="SimHei"/>
          <w:position w:val="1"/>
        </w:rPr>
        <w:t>XXXXX</w:t>
      </w:r>
      <w:r>
        <w:rPr>
          <w:spacing w:val="24"/>
          <w:position w:val="1"/>
        </w:rPr>
        <w:t>—</w:t>
      </w:r>
      <w:r>
        <w:rPr>
          <w:rFonts w:ascii="SimHei" w:eastAsia="SimHei" w:hAnsi="SimHei" w:cs="SimHei"/>
          <w:position w:val="1"/>
        </w:rPr>
        <w:t>XXXX</w:t>
      </w:r>
    </w:p>
    <w:p>
      <w:pPr>
        <w:pStyle w:val="BodyText"/>
        <w:spacing w:before="265" w:line="229" w:lineRule="auto"/>
        <w:ind w:left="2708"/>
      </w:pPr>
      <w:r>
        <w:rPr>
          <w:rFonts w:ascii="SimHei" w:eastAsia="SimHei" w:hAnsi="SimHei" w:cs="SimHei"/>
          <w:spacing w:val="7"/>
        </w:rPr>
        <w:t>表</w:t>
      </w:r>
      <w:r>
        <w:rPr>
          <w:rFonts w:ascii="SimHei" w:eastAsia="SimHei" w:hAnsi="SimHei" w:cs="SimHei"/>
          <w:spacing w:val="-29"/>
        </w:rPr>
        <w:t xml:space="preserve"> </w:t>
      </w:r>
      <w:r>
        <w:rPr>
          <w:rFonts w:ascii="SimHei" w:eastAsia="SimHei" w:hAnsi="SimHei" w:cs="SimHei"/>
          <w:spacing w:val="7"/>
        </w:rPr>
        <w:t>A.1</w:t>
      </w:r>
      <w:r>
        <w:rPr>
          <w:rFonts w:ascii="SimHei" w:eastAsia="SimHei" w:hAnsi="SimHei" w:cs="SimHei"/>
          <w:spacing w:val="7"/>
        </w:rPr>
        <w:t xml:space="preserve"> </w:t>
      </w:r>
      <w:r>
        <w:rPr>
          <w:rFonts w:ascii="SimHei" w:eastAsia="SimHei" w:hAnsi="SimHei" w:cs="SimHei"/>
          <w:spacing w:val="7"/>
        </w:rPr>
        <w:t>土地托管服务评价指标体系表</w:t>
      </w:r>
      <w:r>
        <w:rPr>
          <w:spacing w:val="7"/>
        </w:rPr>
        <w:t>（续）</w:t>
      </w:r>
    </w:p>
    <w:p>
      <w:pPr>
        <w:spacing w:line="168" w:lineRule="exact"/>
      </w:pPr>
    </w:p>
    <w:tbl>
      <w:tblPr>
        <w:tblStyle w:val="TableNormal6"/>
        <w:tblW w:w="94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16"/>
        <w:gridCol w:w="1415"/>
        <w:gridCol w:w="1911"/>
        <w:gridCol w:w="4790"/>
      </w:tblGrid>
      <w:tr>
        <w:tblPrEx>
          <w:tblW w:w="94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9"/>
        </w:trPr>
        <w:tc>
          <w:tcPr>
            <w:tcW w:w="1316" w:type="dxa"/>
            <w:vAlign w:val="top"/>
          </w:tcPr>
          <w:p>
            <w:pPr>
              <w:spacing w:before="171" w:line="221" w:lineRule="auto"/>
              <w:ind w:left="306"/>
              <w:rPr>
                <w:rFonts w:ascii="SimHei" w:eastAsia="SimHei" w:hAnsi="SimHei" w:cs="SimHei"/>
                <w:sz w:val="18"/>
                <w:szCs w:val="18"/>
              </w:rPr>
            </w:pPr>
            <w:r>
              <w:rPr>
                <w:rFonts w:ascii="SimHei" w:eastAsia="SimHei" w:hAnsi="SimHei" w:cs="SimHei"/>
                <w:spacing w:val="-3"/>
                <w:sz w:val="18"/>
                <w:szCs w:val="18"/>
              </w:rPr>
              <w:t>一级指标</w:t>
            </w:r>
          </w:p>
        </w:tc>
        <w:tc>
          <w:tcPr>
            <w:tcW w:w="1415" w:type="dxa"/>
            <w:vAlign w:val="top"/>
          </w:tcPr>
          <w:p>
            <w:pPr>
              <w:spacing w:before="171" w:line="221" w:lineRule="auto"/>
              <w:ind w:left="353"/>
              <w:rPr>
                <w:rFonts w:ascii="SimHei" w:eastAsia="SimHei" w:hAnsi="SimHei" w:cs="SimHei"/>
                <w:sz w:val="18"/>
                <w:szCs w:val="18"/>
              </w:rPr>
            </w:pPr>
            <w:r>
              <w:rPr>
                <w:rFonts w:ascii="SimHei" w:eastAsia="SimHei" w:hAnsi="SimHei" w:cs="SimHei"/>
                <w:spacing w:val="-3"/>
                <w:sz w:val="18"/>
                <w:szCs w:val="18"/>
              </w:rPr>
              <w:t>二级指标</w:t>
            </w:r>
          </w:p>
        </w:tc>
        <w:tc>
          <w:tcPr>
            <w:tcW w:w="1911" w:type="dxa"/>
            <w:vAlign w:val="top"/>
          </w:tcPr>
          <w:p>
            <w:pPr>
              <w:spacing w:before="171" w:line="221" w:lineRule="auto"/>
              <w:ind w:left="602"/>
              <w:rPr>
                <w:rFonts w:ascii="SimHei" w:eastAsia="SimHei" w:hAnsi="SimHei" w:cs="SimHei"/>
                <w:sz w:val="18"/>
                <w:szCs w:val="18"/>
              </w:rPr>
            </w:pPr>
            <w:r>
              <w:rPr>
                <w:rFonts w:ascii="SimHei" w:eastAsia="SimHei" w:hAnsi="SimHei" w:cs="SimHei"/>
                <w:spacing w:val="-3"/>
                <w:sz w:val="18"/>
                <w:szCs w:val="18"/>
              </w:rPr>
              <w:t>三级指标</w:t>
            </w:r>
          </w:p>
        </w:tc>
        <w:tc>
          <w:tcPr>
            <w:tcW w:w="4790" w:type="dxa"/>
            <w:vAlign w:val="top"/>
          </w:tcPr>
          <w:p>
            <w:pPr>
              <w:spacing w:before="171" w:line="223" w:lineRule="auto"/>
              <w:ind w:left="2037"/>
              <w:rPr>
                <w:rFonts w:ascii="SimHei" w:eastAsia="SimHei" w:hAnsi="SimHei" w:cs="SimHei"/>
                <w:sz w:val="18"/>
                <w:szCs w:val="18"/>
              </w:rPr>
            </w:pPr>
            <w:r>
              <w:rPr>
                <w:rFonts w:ascii="SimHei" w:eastAsia="SimHei" w:hAnsi="SimHei" w:cs="SimHei"/>
                <w:spacing w:val="-2"/>
                <w:sz w:val="18"/>
                <w:szCs w:val="18"/>
              </w:rPr>
              <w:t>指标内涵</w:t>
            </w:r>
          </w:p>
        </w:tc>
      </w:tr>
      <w:tr>
        <w:tblPrEx>
          <w:tblW w:w="9432" w:type="dxa"/>
          <w:tblInd w:w="2" w:type="dxa"/>
          <w:tblLayout w:type="fixed"/>
        </w:tblPrEx>
        <w:trPr>
          <w:trHeight w:val="1603"/>
        </w:trPr>
        <w:tc>
          <w:tcPr>
            <w:tcW w:w="1316" w:type="dxa"/>
            <w:vAlign w:val="top"/>
          </w:tcPr>
          <w:p>
            <w:pPr>
              <w:spacing w:line="252" w:lineRule="auto"/>
              <w:rPr>
                <w:rFonts w:ascii="Arial"/>
                <w:sz w:val="21"/>
              </w:rPr>
            </w:pPr>
          </w:p>
          <w:p>
            <w:pPr>
              <w:spacing w:line="253" w:lineRule="auto"/>
              <w:rPr>
                <w:rFonts w:ascii="Arial"/>
                <w:sz w:val="21"/>
              </w:rPr>
            </w:pPr>
          </w:p>
          <w:p>
            <w:pPr>
              <w:pStyle w:val="TableText"/>
              <w:spacing w:before="58" w:line="219" w:lineRule="auto"/>
              <w:ind w:left="124"/>
            </w:pPr>
            <w:r>
              <w:rPr>
                <w:spacing w:val="-2"/>
              </w:rPr>
              <w:t>土地托管效果</w:t>
            </w:r>
          </w:p>
          <w:p>
            <w:pPr>
              <w:pStyle w:val="TableText"/>
              <w:spacing w:before="186" w:line="232" w:lineRule="auto"/>
              <w:ind w:left="447"/>
            </w:pPr>
            <w:r>
              <w:rPr>
                <w:spacing w:val="-6"/>
              </w:rPr>
              <w:t>（C）</w:t>
            </w:r>
          </w:p>
        </w:tc>
        <w:tc>
          <w:tcPr>
            <w:tcW w:w="1415" w:type="dxa"/>
            <w:vAlign w:val="top"/>
          </w:tcPr>
          <w:p>
            <w:pPr>
              <w:spacing w:line="252" w:lineRule="auto"/>
              <w:rPr>
                <w:rFonts w:ascii="Arial"/>
                <w:sz w:val="21"/>
              </w:rPr>
            </w:pPr>
          </w:p>
          <w:p>
            <w:pPr>
              <w:spacing w:line="253" w:lineRule="auto"/>
              <w:rPr>
                <w:rFonts w:ascii="Arial"/>
                <w:sz w:val="21"/>
              </w:rPr>
            </w:pPr>
          </w:p>
          <w:p>
            <w:pPr>
              <w:pStyle w:val="TableText"/>
              <w:spacing w:before="58" w:line="220" w:lineRule="auto"/>
              <w:ind w:left="171"/>
            </w:pPr>
            <w:r>
              <w:rPr>
                <w:spacing w:val="-2"/>
              </w:rPr>
              <w:t>土地利用成效</w:t>
            </w:r>
          </w:p>
          <w:p>
            <w:pPr>
              <w:pStyle w:val="TableText"/>
              <w:spacing w:before="186" w:line="219" w:lineRule="auto"/>
              <w:ind w:left="473"/>
            </w:pPr>
            <w:r>
              <w:rPr>
                <w:spacing w:val="-4"/>
              </w:rPr>
              <w:t>（C</w:t>
            </w:r>
            <w:r>
              <w:rPr>
                <w:spacing w:val="-4"/>
                <w:position w:val="-2"/>
                <w:sz w:val="8"/>
                <w:szCs w:val="8"/>
              </w:rPr>
              <w:t>2</w:t>
            </w:r>
            <w:r>
              <w:rPr>
                <w:spacing w:val="-4"/>
              </w:rPr>
              <w:t>）</w:t>
            </w:r>
          </w:p>
        </w:tc>
        <w:tc>
          <w:tcPr>
            <w:tcW w:w="1911" w:type="dxa"/>
            <w:vAlign w:val="top"/>
          </w:tcPr>
          <w:p>
            <w:pPr>
              <w:spacing w:line="252" w:lineRule="auto"/>
              <w:rPr>
                <w:rFonts w:ascii="Arial"/>
                <w:sz w:val="21"/>
              </w:rPr>
            </w:pPr>
          </w:p>
          <w:p>
            <w:pPr>
              <w:spacing w:line="252" w:lineRule="auto"/>
              <w:rPr>
                <w:rFonts w:ascii="Arial"/>
                <w:sz w:val="21"/>
              </w:rPr>
            </w:pPr>
          </w:p>
          <w:p>
            <w:pPr>
              <w:pStyle w:val="TableText"/>
              <w:spacing w:before="59" w:line="401" w:lineRule="exact"/>
              <w:ind w:left="111"/>
            </w:pPr>
            <w:r>
              <w:rPr>
                <w:spacing w:val="32"/>
                <w:position w:val="17"/>
              </w:rPr>
              <w:t>耕地集约利用水平</w:t>
            </w:r>
          </w:p>
          <w:p>
            <w:pPr>
              <w:pStyle w:val="TableText"/>
              <w:spacing w:line="218" w:lineRule="auto"/>
              <w:ind w:left="121"/>
            </w:pPr>
            <w:r>
              <w:rPr>
                <w:spacing w:val="-2"/>
              </w:rPr>
              <w:t>（C</w:t>
            </w:r>
            <w:r>
              <w:rPr>
                <w:spacing w:val="-2"/>
                <w:position w:val="-2"/>
                <w:sz w:val="8"/>
                <w:szCs w:val="8"/>
              </w:rPr>
              <w:t>24</w:t>
            </w:r>
            <w:r>
              <w:rPr>
                <w:spacing w:val="-2"/>
              </w:rPr>
              <w:t>)</w:t>
            </w:r>
          </w:p>
        </w:tc>
        <w:tc>
          <w:tcPr>
            <w:tcW w:w="4790" w:type="dxa"/>
            <w:vAlign w:val="top"/>
          </w:tcPr>
          <w:p>
            <w:pPr>
              <w:pStyle w:val="TableText"/>
              <w:spacing w:before="168" w:line="410" w:lineRule="auto"/>
              <w:ind w:left="115" w:right="62" w:hanging="1"/>
              <w:jc w:val="both"/>
            </w:pPr>
            <w:r>
              <w:rPr>
                <w:spacing w:val="-3"/>
              </w:rPr>
              <w:t>土地托管服务过程中，通过提高土地利用效率和生产效益，</w:t>
            </w:r>
            <w:r>
              <w:rPr>
                <w:spacing w:val="4"/>
              </w:rPr>
              <w:t xml:space="preserve"> </w:t>
            </w:r>
            <w:r>
              <w:rPr>
                <w:spacing w:val="2"/>
              </w:rPr>
              <w:t>最大限度地利用有限的耕地资源，实现农业生产的高产高</w:t>
            </w:r>
            <w:r>
              <w:rPr>
                <w:spacing w:val="11"/>
              </w:rPr>
              <w:t xml:space="preserve"> </w:t>
            </w:r>
            <w:r>
              <w:rPr>
                <w:spacing w:val="2"/>
              </w:rPr>
              <w:t>效，即土地利用经济效益、土地利用社会效益、土地利用</w:t>
            </w:r>
          </w:p>
          <w:p>
            <w:pPr>
              <w:pStyle w:val="TableText"/>
              <w:spacing w:line="220" w:lineRule="auto"/>
              <w:ind w:left="114"/>
            </w:pPr>
            <w:r>
              <w:rPr>
                <w:spacing w:val="-2"/>
              </w:rPr>
              <w:t>生态效益三者之和</w:t>
            </w:r>
          </w:p>
        </w:tc>
      </w:tr>
      <w:tr>
        <w:tblPrEx>
          <w:tblW w:w="9432" w:type="dxa"/>
          <w:tblInd w:w="2" w:type="dxa"/>
          <w:tblLayout w:type="fixed"/>
        </w:tblPrEx>
        <w:trPr>
          <w:trHeight w:val="1204"/>
        </w:trPr>
        <w:tc>
          <w:tcPr>
            <w:tcW w:w="1316" w:type="dxa"/>
            <w:vMerge w:val="restart"/>
            <w:tcBorders>
              <w:bottom w:val="nil"/>
            </w:tcBorders>
            <w:vAlign w:val="top"/>
          </w:tcPr>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59" w:line="400" w:lineRule="exact"/>
              <w:ind w:left="124"/>
            </w:pPr>
            <w:r>
              <w:rPr>
                <w:spacing w:val="-2"/>
                <w:position w:val="17"/>
              </w:rPr>
              <w:t>保障与完善措</w:t>
            </w:r>
          </w:p>
          <w:p>
            <w:pPr>
              <w:pStyle w:val="TableText"/>
              <w:spacing w:line="222" w:lineRule="auto"/>
              <w:ind w:left="345"/>
            </w:pPr>
            <w:r>
              <w:rPr>
                <w:spacing w:val="-2"/>
              </w:rPr>
              <w:t>施（D）</w:t>
            </w:r>
          </w:p>
        </w:tc>
        <w:tc>
          <w:tcPr>
            <w:tcW w:w="1415" w:type="dxa"/>
            <w:vAlign w:val="top"/>
          </w:tcPr>
          <w:p>
            <w:pPr>
              <w:spacing w:line="253" w:lineRule="auto"/>
              <w:rPr>
                <w:rFonts w:ascii="Arial"/>
                <w:sz w:val="21"/>
              </w:rPr>
            </w:pPr>
          </w:p>
          <w:p>
            <w:pPr>
              <w:spacing w:line="254" w:lineRule="auto"/>
              <w:rPr>
                <w:rFonts w:ascii="Arial"/>
                <w:sz w:val="21"/>
              </w:rPr>
            </w:pPr>
          </w:p>
          <w:p>
            <w:pPr>
              <w:pStyle w:val="TableText"/>
              <w:spacing w:before="58" w:line="219" w:lineRule="auto"/>
              <w:ind w:left="111"/>
            </w:pPr>
            <w:r>
              <w:rPr>
                <w:spacing w:val="-1"/>
              </w:rPr>
              <w:t>保障体系（D</w:t>
            </w:r>
            <w:r>
              <w:rPr>
                <w:spacing w:val="-1"/>
                <w:position w:val="-2"/>
                <w:sz w:val="8"/>
                <w:szCs w:val="8"/>
              </w:rPr>
              <w:t>1</w:t>
            </w:r>
            <w:r>
              <w:rPr>
                <w:spacing w:val="-1"/>
              </w:rPr>
              <w:t>）</w:t>
            </w:r>
          </w:p>
        </w:tc>
        <w:tc>
          <w:tcPr>
            <w:tcW w:w="1911" w:type="dxa"/>
            <w:vAlign w:val="top"/>
          </w:tcPr>
          <w:p>
            <w:pPr>
              <w:spacing w:line="253" w:lineRule="auto"/>
              <w:rPr>
                <w:rFonts w:ascii="Arial"/>
                <w:sz w:val="21"/>
              </w:rPr>
            </w:pPr>
          </w:p>
          <w:p>
            <w:pPr>
              <w:spacing w:line="254" w:lineRule="auto"/>
              <w:rPr>
                <w:rFonts w:ascii="Arial"/>
                <w:sz w:val="21"/>
              </w:rPr>
            </w:pPr>
          </w:p>
          <w:p>
            <w:pPr>
              <w:pStyle w:val="TableText"/>
              <w:spacing w:before="58" w:line="219" w:lineRule="auto"/>
              <w:ind w:left="112"/>
            </w:pPr>
            <w:r>
              <w:t>保障体系（D</w:t>
            </w:r>
            <w:r>
              <w:rPr>
                <w:position w:val="-2"/>
                <w:sz w:val="8"/>
                <w:szCs w:val="8"/>
              </w:rPr>
              <w:t>11</w:t>
            </w:r>
            <w:r>
              <w:t>）</w:t>
            </w:r>
          </w:p>
        </w:tc>
        <w:tc>
          <w:tcPr>
            <w:tcW w:w="4790" w:type="dxa"/>
            <w:vAlign w:val="top"/>
          </w:tcPr>
          <w:p>
            <w:pPr>
              <w:pStyle w:val="TableText"/>
              <w:spacing w:before="168" w:line="411" w:lineRule="auto"/>
              <w:ind w:left="117" w:right="106" w:hanging="3"/>
            </w:pPr>
            <w:r>
              <w:rPr>
                <w:spacing w:val="2"/>
              </w:rPr>
              <w:t>土地托管服务过程中，为确保土地托管服务的顺利进行，</w:t>
            </w:r>
            <w:r>
              <w:rPr>
                <w:spacing w:val="13"/>
              </w:rPr>
              <w:t xml:space="preserve"> </w:t>
            </w:r>
            <w:r>
              <w:rPr>
                <w:spacing w:val="2"/>
              </w:rPr>
              <w:t>并保护土地权益、维护土地可持续利用而确定的一套保障</w:t>
            </w:r>
          </w:p>
          <w:p>
            <w:pPr>
              <w:pStyle w:val="TableText"/>
              <w:spacing w:line="220" w:lineRule="auto"/>
              <w:ind w:left="113"/>
            </w:pPr>
            <w:r>
              <w:rPr>
                <w:spacing w:val="-4"/>
              </w:rPr>
              <w:t>体系</w:t>
            </w:r>
          </w:p>
        </w:tc>
      </w:tr>
      <w:tr>
        <w:tblPrEx>
          <w:tblW w:w="9432" w:type="dxa"/>
          <w:tblInd w:w="2" w:type="dxa"/>
          <w:tblLayout w:type="fixed"/>
        </w:tblPrEx>
        <w:trPr>
          <w:trHeight w:val="1204"/>
        </w:trPr>
        <w:tc>
          <w:tcPr>
            <w:tcW w:w="1316" w:type="dxa"/>
            <w:vMerge/>
            <w:tcBorders>
              <w:top w:val="nil"/>
              <w:bottom w:val="nil"/>
            </w:tcBorders>
            <w:vAlign w:val="top"/>
          </w:tcPr>
          <w:p>
            <w:pPr>
              <w:rPr>
                <w:rFonts w:ascii="Arial"/>
                <w:sz w:val="21"/>
              </w:rPr>
            </w:pPr>
          </w:p>
        </w:tc>
        <w:tc>
          <w:tcPr>
            <w:tcW w:w="1415" w:type="dxa"/>
            <w:vAlign w:val="top"/>
          </w:tcPr>
          <w:p>
            <w:pPr>
              <w:spacing w:line="253" w:lineRule="auto"/>
              <w:rPr>
                <w:rFonts w:ascii="Arial"/>
                <w:sz w:val="21"/>
              </w:rPr>
            </w:pPr>
          </w:p>
          <w:p>
            <w:pPr>
              <w:spacing w:line="254" w:lineRule="auto"/>
              <w:rPr>
                <w:rFonts w:ascii="Arial"/>
                <w:sz w:val="21"/>
              </w:rPr>
            </w:pPr>
          </w:p>
          <w:p>
            <w:pPr>
              <w:pStyle w:val="TableText"/>
              <w:spacing w:before="59" w:line="219" w:lineRule="auto"/>
              <w:ind w:left="111"/>
            </w:pPr>
            <w:r>
              <w:rPr>
                <w:spacing w:val="-1"/>
              </w:rPr>
              <w:t>保障措施（D</w:t>
            </w:r>
            <w:r>
              <w:rPr>
                <w:spacing w:val="-1"/>
                <w:position w:val="-2"/>
                <w:sz w:val="8"/>
                <w:szCs w:val="8"/>
              </w:rPr>
              <w:t>2</w:t>
            </w:r>
            <w:r>
              <w:rPr>
                <w:spacing w:val="-1"/>
              </w:rPr>
              <w:t>）</w:t>
            </w:r>
          </w:p>
        </w:tc>
        <w:tc>
          <w:tcPr>
            <w:tcW w:w="1911" w:type="dxa"/>
            <w:vAlign w:val="top"/>
          </w:tcPr>
          <w:p>
            <w:pPr>
              <w:spacing w:line="253" w:lineRule="auto"/>
              <w:rPr>
                <w:rFonts w:ascii="Arial"/>
                <w:sz w:val="21"/>
              </w:rPr>
            </w:pPr>
          </w:p>
          <w:p>
            <w:pPr>
              <w:spacing w:line="254" w:lineRule="auto"/>
              <w:rPr>
                <w:rFonts w:ascii="Arial"/>
                <w:sz w:val="21"/>
              </w:rPr>
            </w:pPr>
          </w:p>
          <w:p>
            <w:pPr>
              <w:pStyle w:val="TableText"/>
              <w:spacing w:before="59" w:line="219" w:lineRule="auto"/>
              <w:ind w:left="112"/>
            </w:pPr>
            <w:r>
              <w:t>保障措施（D</w:t>
            </w:r>
            <w:r>
              <w:rPr>
                <w:position w:val="-2"/>
                <w:sz w:val="8"/>
                <w:szCs w:val="8"/>
              </w:rPr>
              <w:t>21</w:t>
            </w:r>
            <w:r>
              <w:t>）</w:t>
            </w:r>
          </w:p>
        </w:tc>
        <w:tc>
          <w:tcPr>
            <w:tcW w:w="4790" w:type="dxa"/>
            <w:vAlign w:val="top"/>
          </w:tcPr>
          <w:p>
            <w:pPr>
              <w:pStyle w:val="TableText"/>
              <w:spacing w:before="170" w:line="410" w:lineRule="auto"/>
              <w:ind w:left="113" w:right="106"/>
              <w:jc w:val="both"/>
            </w:pPr>
            <w:r>
              <w:rPr>
                <w:spacing w:val="2"/>
              </w:rPr>
              <w:t>土地托管服务过程中，通过一系列措施和机制，确保土地</w:t>
            </w:r>
            <w:r>
              <w:rPr>
                <w:spacing w:val="13"/>
              </w:rPr>
              <w:t xml:space="preserve"> </w:t>
            </w:r>
            <w:r>
              <w:rPr>
                <w:spacing w:val="2"/>
              </w:rPr>
              <w:t>托管的顺利进行，并保护土地权益、维护土地可持续利用</w:t>
            </w:r>
          </w:p>
          <w:p>
            <w:pPr>
              <w:pStyle w:val="TableText"/>
              <w:spacing w:line="220" w:lineRule="auto"/>
              <w:ind w:left="128"/>
            </w:pPr>
            <w:r>
              <w:rPr>
                <w:spacing w:val="-8"/>
              </w:rPr>
              <w:t>的措施</w:t>
            </w:r>
          </w:p>
        </w:tc>
      </w:tr>
      <w:tr>
        <w:tblPrEx>
          <w:tblW w:w="9432" w:type="dxa"/>
          <w:tblInd w:w="2" w:type="dxa"/>
          <w:tblLayout w:type="fixed"/>
        </w:tblPrEx>
        <w:trPr>
          <w:trHeight w:val="1209"/>
        </w:trPr>
        <w:tc>
          <w:tcPr>
            <w:tcW w:w="1316" w:type="dxa"/>
            <w:vMerge/>
            <w:tcBorders>
              <w:top w:val="nil"/>
            </w:tcBorders>
            <w:vAlign w:val="top"/>
          </w:tcPr>
          <w:p>
            <w:pPr>
              <w:rPr>
                <w:rFonts w:ascii="Arial"/>
                <w:sz w:val="21"/>
              </w:rPr>
            </w:pPr>
          </w:p>
        </w:tc>
        <w:tc>
          <w:tcPr>
            <w:tcW w:w="1415" w:type="dxa"/>
            <w:vAlign w:val="top"/>
          </w:tcPr>
          <w:p>
            <w:pPr>
              <w:spacing w:line="254" w:lineRule="auto"/>
              <w:rPr>
                <w:rFonts w:ascii="Arial"/>
                <w:sz w:val="21"/>
              </w:rPr>
            </w:pPr>
          </w:p>
          <w:p>
            <w:pPr>
              <w:spacing w:line="254" w:lineRule="auto"/>
              <w:rPr>
                <w:rFonts w:ascii="Arial"/>
                <w:sz w:val="21"/>
              </w:rPr>
            </w:pPr>
          </w:p>
          <w:p>
            <w:pPr>
              <w:pStyle w:val="TableText"/>
              <w:spacing w:before="58" w:line="219" w:lineRule="auto"/>
              <w:ind w:left="112"/>
            </w:pPr>
            <w:r>
              <w:rPr>
                <w:spacing w:val="-1"/>
              </w:rPr>
              <w:t>后期管护（D</w:t>
            </w:r>
            <w:r>
              <w:rPr>
                <w:spacing w:val="-1"/>
                <w:position w:val="-2"/>
                <w:sz w:val="8"/>
                <w:szCs w:val="8"/>
              </w:rPr>
              <w:t>3</w:t>
            </w:r>
            <w:r>
              <w:rPr>
                <w:spacing w:val="-1"/>
              </w:rPr>
              <w:t>）</w:t>
            </w:r>
          </w:p>
        </w:tc>
        <w:tc>
          <w:tcPr>
            <w:tcW w:w="1911" w:type="dxa"/>
            <w:vAlign w:val="top"/>
          </w:tcPr>
          <w:p>
            <w:pPr>
              <w:spacing w:line="254" w:lineRule="auto"/>
              <w:rPr>
                <w:rFonts w:ascii="Arial"/>
                <w:sz w:val="21"/>
              </w:rPr>
            </w:pPr>
          </w:p>
          <w:p>
            <w:pPr>
              <w:spacing w:line="254" w:lineRule="auto"/>
              <w:rPr>
                <w:rFonts w:ascii="Arial"/>
                <w:sz w:val="21"/>
              </w:rPr>
            </w:pPr>
          </w:p>
          <w:p>
            <w:pPr>
              <w:pStyle w:val="TableText"/>
              <w:spacing w:before="58" w:line="219" w:lineRule="auto"/>
              <w:ind w:left="113"/>
            </w:pPr>
            <w:r>
              <w:t>后期管护（D</w:t>
            </w:r>
            <w:r>
              <w:rPr>
                <w:position w:val="-2"/>
                <w:sz w:val="8"/>
                <w:szCs w:val="8"/>
              </w:rPr>
              <w:t>31</w:t>
            </w:r>
            <w:r>
              <w:t>）</w:t>
            </w:r>
          </w:p>
        </w:tc>
        <w:tc>
          <w:tcPr>
            <w:tcW w:w="4790" w:type="dxa"/>
            <w:vAlign w:val="top"/>
          </w:tcPr>
          <w:p>
            <w:pPr>
              <w:pStyle w:val="TableText"/>
              <w:spacing w:before="171" w:line="410" w:lineRule="auto"/>
              <w:ind w:left="115" w:right="106" w:hanging="3"/>
              <w:jc w:val="both"/>
            </w:pPr>
            <w:r>
              <w:rPr>
                <w:spacing w:val="2"/>
              </w:rPr>
              <w:t>在土地托管期满或终止后，对托管土地进行管理和维护的</w:t>
            </w:r>
            <w:r>
              <w:rPr>
                <w:spacing w:val="14"/>
              </w:rPr>
              <w:t xml:space="preserve"> </w:t>
            </w:r>
            <w:r>
              <w:rPr>
                <w:spacing w:val="2"/>
              </w:rPr>
              <w:t>一系列措施，保障土地资源的可持续利用，从而实现土地</w:t>
            </w:r>
          </w:p>
          <w:p>
            <w:pPr>
              <w:pStyle w:val="TableText"/>
              <w:spacing w:line="219" w:lineRule="auto"/>
              <w:ind w:left="113"/>
            </w:pPr>
            <w:r>
              <w:rPr>
                <w:spacing w:val="-2"/>
              </w:rPr>
              <w:t>托管服务的目标</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8" w:history="1">
        <w:r>
          <w:rPr>
            <w:rFonts w:ascii="SimSun" w:eastAsia="SimSun" w:hAnsi="SimSun" w:cs="SimSun"/>
            <w:b/>
            <w:bCs/>
            <w:noProof w:val="0"/>
            <w:snapToGrid/>
            <w:color w:val="0000EE"/>
            <w:kern w:val="0"/>
            <w:sz w:val="30"/>
            <w:szCs w:val="30"/>
            <w:u w:val="single" w:color="0000EE"/>
          </w:rPr>
          <w:t>https://d.book118.com/217102024106006030</w:t>
        </w:r>
      </w:hyperlink>
    </w:p>
    <w:p>
      <w:pPr>
        <w:rPr>
          <w:rFonts w:ascii="Arial" w:eastAsia="Arial" w:hAnsi="Arial" w:cs="Arial"/>
          <w:sz w:val="21"/>
          <w:szCs w:val="21"/>
        </w:rPr>
      </w:pPr>
    </w:p>
    <w:sectPr>
      <w:footerReference w:type="default" r:id="rId29"/>
      <w:pgSz w:w="11906" w:h="16839"/>
      <w:pgMar w:top="1406" w:right="1092" w:bottom="1312" w:left="1376" w:header="0" w:footer="1134"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78"/>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78"/>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29"/>
      <w:rPr>
        <w:sz w:val="15"/>
        <w:szCs w:val="15"/>
      </w:rPr>
    </w:pPr>
    <w:r>
      <w:rPr>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29"/>
      <w:rPr>
        <w:sz w:val="15"/>
        <w:szCs w:val="15"/>
      </w:rPr>
    </w:pPr>
    <w:r>
      <w:rPr>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68"/>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68"/>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64"/>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159"/>
      <w:rPr>
        <w:sz w:val="18"/>
        <w:szCs w:val="18"/>
      </w:rPr>
    </w:pPr>
    <w:r>
      <w:rPr>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159"/>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157"/>
      <w:rPr>
        <w:sz w:val="18"/>
        <w:szCs w:val="18"/>
      </w:rPr>
    </w:pPr>
    <w:r>
      <w:rPr>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157"/>
      <w:rPr>
        <w:sz w:val="18"/>
        <w:szCs w:val="18"/>
      </w:rPr>
    </w:pPr>
    <w:r>
      <w:rPr>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89"/>
      <w:rPr>
        <w:sz w:val="18"/>
        <w:szCs w:val="18"/>
      </w:rPr>
    </w:pPr>
    <w:r>
      <w:rPr>
        <w:sz w:val="18"/>
        <w:szCs w:val="18"/>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89"/>
      <w:rPr>
        <w:sz w:val="18"/>
        <w:szCs w:val="18"/>
      </w:rPr>
    </w:pPr>
    <w:r>
      <w:rPr>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85"/>
      <w:rPr>
        <w:sz w:val="18"/>
        <w:szCs w:val="18"/>
      </w:rPr>
    </w:pPr>
    <w:r>
      <w:rPr>
        <w:sz w:val="18"/>
        <w:szCs w:val="18"/>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4.jpe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footer" Target="footer5.xml" /><Relationship Id="rId16" Type="http://schemas.openxmlformats.org/officeDocument/2006/relationships/image" Target="media/image8.png" /><Relationship Id="rId17" Type="http://schemas.openxmlformats.org/officeDocument/2006/relationships/footer" Target="footer6.xml" /><Relationship Id="rId18" Type="http://schemas.openxmlformats.org/officeDocument/2006/relationships/image" Target="media/image9.jpeg" /><Relationship Id="rId19" Type="http://schemas.openxmlformats.org/officeDocument/2006/relationships/image" Target="media/image10.jpeg" /><Relationship Id="rId2" Type="http://schemas.openxmlformats.org/officeDocument/2006/relationships/webSettings" Target="webSettings.xml" /><Relationship Id="rId20" Type="http://schemas.openxmlformats.org/officeDocument/2006/relationships/image" Target="media/image11.jpeg"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footer" Target="footer12.xml" /><Relationship Id="rId27" Type="http://schemas.openxmlformats.org/officeDocument/2006/relationships/footer" Target="footer13.xml" /><Relationship Id="rId28" Type="http://schemas.openxmlformats.org/officeDocument/2006/relationships/hyperlink" Target="https://d.book118.com/217102024106006030" TargetMode="Externa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2024-01-12T11:05:41Z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2024-01-12T11:05:45Z</vt:filetime>
  </property>
  <property fmtid="{D5CDD505-2E9C-101B-9397-08002B2CF9AE}" pid="3" name="CRO">
    <vt:lpwstr>wqlLaW5nc29mdCBQREYgdG8gV1BTIDkw</vt:lpwstr>
  </property>
  <property fmtid="{D5CDD505-2E9C-101B-9397-08002B2CF9AE}" pid="4" name="UsrData">
    <vt:lpwstr>65a0ac8275ed98001f9ed7edwl</vt:lpwstr>
  </property>
</Properties>
</file>