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OC1"/>
        <w:tabs>
          <w:tab w:val="right" w:leader="dot" w:pos="8448"/>
        </w:tabs>
        <w:spacing w:line="360" w:lineRule="auto"/>
        <w:jc w:val="center"/>
        <w:rPr>
          <w:rFonts w:ascii="幼圆" w:eastAsia="幼圆" w:hAnsi="幼圆" w:cs="幼圆" w:hint="default"/>
          <w:b/>
          <w:bCs/>
          <w:sz w:val="32"/>
          <w:szCs w:val="32"/>
          <w:lang w:val="en-US" w:eastAsia="zh-CN"/>
        </w:rPr>
      </w:pPr>
      <w:bookmarkStart w:id="0" w:name="_Toc269978585"/>
      <w:bookmarkStart w:id="1" w:name="_Toc825700540_WPSOffice_Level1"/>
      <w:bookmarkStart w:id="2" w:name="_Toc1011269974"/>
      <w:bookmarkStart w:id="3" w:name="_Toc911951590_WPSOffice_Level1"/>
      <w:bookmarkStart w:id="4" w:name="_Toc610513951"/>
      <w:bookmarkStart w:id="5" w:name="_Toc1247221141_WPSOffice_Level1"/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揭阳佳隆股份</w:t>
      </w:r>
      <w:r>
        <w:rPr>
          <w:rFonts w:ascii="幼圆" w:eastAsia="幼圆" w:hAnsi="幼圆" w:cs="幼圆" w:hint="eastAsia"/>
          <w:b/>
          <w:bCs/>
          <w:sz w:val="32"/>
          <w:szCs w:val="32"/>
        </w:rPr>
        <w:t>公司财务风险评价</w:t>
      </w:r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与控制实证案例分析</w:t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begin"/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instrText xml:space="preserve">TOC \o "1-2" \u </w:instrTex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separate"/>
      </w:r>
      <w:r>
        <w:rPr>
          <w:rFonts w:ascii="幼圆" w:eastAsia="幼圆" w:hAnsi="幼圆" w:cs="幼圆" w:hint="eastAsia"/>
          <w:szCs w:val="28"/>
          <w:lang w:eastAsia="zh-Hans"/>
        </w:rPr>
        <w:t>引言</w:t>
      </w:r>
      <w:r>
        <w:tab/>
      </w:r>
      <w:r>
        <w:fldChar w:fldCharType="begin"/>
      </w:r>
      <w:r>
        <w:instrText xml:space="preserve"> PAGEREF _Toc31156 \h </w:instrText>
      </w:r>
      <w:r>
        <w:fldChar w:fldCharType="separate"/>
      </w:r>
      <w:r>
        <w:t>2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Cs w:val="28"/>
        </w:rPr>
        <w:t>理论基础</w:t>
      </w:r>
      <w:r>
        <w:tab/>
      </w:r>
      <w:r>
        <w:fldChar w:fldCharType="begin"/>
      </w:r>
      <w:r>
        <w:instrText xml:space="preserve"> PAGEREF _Toc10369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企业</w:t>
      </w:r>
      <w:r>
        <w:rPr>
          <w:rFonts w:ascii="幼圆" w:eastAsia="幼圆" w:hAnsi="幼圆" w:cs="幼圆" w:hint="eastAsia"/>
        </w:rPr>
        <w:t>财务风险的概念</w:t>
      </w:r>
      <w:r>
        <w:tab/>
      </w:r>
      <w:r>
        <w:fldChar w:fldCharType="begin"/>
      </w:r>
      <w:r>
        <w:instrText xml:space="preserve"> PAGEREF _Toc31643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企业财务风险的识别与特征</w:t>
      </w:r>
      <w:r>
        <w:tab/>
      </w:r>
      <w:r>
        <w:fldChar w:fldCharType="begin"/>
      </w:r>
      <w:r>
        <w:instrText xml:space="preserve"> PAGEREF _Toc12858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(三) </w:t>
      </w:r>
      <w:r>
        <w:rPr>
          <w:rFonts w:ascii="幼圆" w:eastAsia="幼圆" w:hAnsi="幼圆" w:cs="幼圆" w:hint="eastAsia"/>
        </w:rPr>
        <w:t>财务风险的</w:t>
      </w:r>
      <w:r>
        <w:rPr>
          <w:rFonts w:ascii="幼圆" w:eastAsia="幼圆" w:hAnsi="幼圆" w:cs="幼圆" w:hint="eastAsia"/>
          <w:lang w:eastAsia="zh-Hans"/>
        </w:rPr>
        <w:t>评价与控制的相关理论</w:t>
      </w:r>
      <w:r>
        <w:tab/>
      </w:r>
      <w:r>
        <w:fldChar w:fldCharType="begin"/>
      </w:r>
      <w:r>
        <w:instrText xml:space="preserve"> PAGEREF _Toc21319 \h </w:instrText>
      </w:r>
      <w:r>
        <w:fldChar w:fldCharType="separate"/>
      </w:r>
      <w:r>
        <w:t>4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Cs w:val="28"/>
          <w:lang w:eastAsia="zh-CN"/>
        </w:rPr>
        <w:t>揭阳佳隆股份</w:t>
      </w:r>
      <w:r>
        <w:rPr>
          <w:rFonts w:ascii="幼圆" w:eastAsia="幼圆" w:hAnsi="幼圆" w:cs="幼圆" w:hint="eastAsia"/>
          <w:szCs w:val="28"/>
          <w:lang w:eastAsia="zh-Hans"/>
        </w:rPr>
        <w:t>公司的基本情况及财务风险识别</w:t>
      </w:r>
      <w:r>
        <w:tab/>
      </w:r>
      <w:r>
        <w:fldChar w:fldCharType="begin"/>
      </w:r>
      <w:r>
        <w:instrText xml:space="preserve"> PAGEREF _Toc25432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eastAsia="zh-CN"/>
        </w:rPr>
        <w:t>揭阳佳隆股份</w:t>
      </w:r>
      <w:r>
        <w:rPr>
          <w:rFonts w:ascii="幼圆" w:eastAsia="幼圆" w:hAnsi="幼圆" w:cs="幼圆" w:hint="eastAsia"/>
        </w:rPr>
        <w:t>公司</w:t>
      </w:r>
      <w:r>
        <w:rPr>
          <w:rFonts w:ascii="幼圆" w:eastAsia="幼圆" w:hAnsi="幼圆" w:cs="幼圆" w:hint="eastAsia"/>
          <w:lang w:val="en-US" w:eastAsia="zh-Hans"/>
        </w:rPr>
        <w:t>的</w:t>
      </w:r>
      <w:r>
        <w:rPr>
          <w:rFonts w:ascii="幼圆" w:eastAsia="幼圆" w:hAnsi="幼圆" w:cs="幼圆" w:hint="eastAsia"/>
          <w:lang w:eastAsia="zh-Hans"/>
        </w:rPr>
        <w:t>经营现状分析</w:t>
      </w:r>
      <w:r>
        <w:tab/>
      </w:r>
      <w:r>
        <w:fldChar w:fldCharType="begin"/>
      </w:r>
      <w:r>
        <w:instrText xml:space="preserve"> PAGEREF _Toc21417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揭阳佳隆股份</w:t>
      </w:r>
      <w:r>
        <w:rPr>
          <w:rFonts w:ascii="幼圆" w:eastAsia="幼圆" w:hAnsi="幼圆" w:cs="幼圆" w:hint="eastAsia"/>
        </w:rPr>
        <w:t>公司财务风险识别分析</w:t>
      </w:r>
      <w:r>
        <w:tab/>
      </w:r>
      <w:r>
        <w:fldChar w:fldCharType="begin"/>
      </w:r>
      <w:r>
        <w:instrText xml:space="preserve"> PAGEREF _Toc29335 \h </w:instrText>
      </w:r>
      <w:r>
        <w:fldChar w:fldCharType="separate"/>
      </w:r>
      <w:r>
        <w:t>7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三、</w:t>
      </w:r>
      <w:r>
        <w:rPr>
          <w:rFonts w:ascii="幼圆" w:eastAsia="幼圆" w:hAnsi="幼圆" w:cs="幼圆" w:hint="eastAsia"/>
          <w:szCs w:val="28"/>
          <w:lang w:eastAsia="zh-CN"/>
        </w:rPr>
        <w:t>揭阳佳隆股份</w:t>
      </w:r>
      <w:r>
        <w:rPr>
          <w:rFonts w:ascii="幼圆" w:eastAsia="幼圆" w:hAnsi="幼圆" w:cs="幼圆" w:hint="eastAsia"/>
          <w:szCs w:val="28"/>
          <w:lang w:eastAsia="zh-Hans"/>
        </w:rPr>
        <w:t>公司的财务风险评价</w:t>
      </w:r>
      <w:r>
        <w:tab/>
      </w:r>
      <w:r>
        <w:fldChar w:fldCharType="begin"/>
      </w:r>
      <w:r>
        <w:instrText xml:space="preserve"> PAGEREF _Toc4574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val="en-US" w:eastAsia="zh-Hans"/>
        </w:rPr>
        <w:t>构建</w:t>
      </w:r>
      <w:r>
        <w:rPr>
          <w:rFonts w:ascii="幼圆" w:eastAsia="幼圆" w:hAnsi="幼圆" w:cs="幼圆" w:hint="eastAsia"/>
          <w:lang w:eastAsia="zh-Hans"/>
        </w:rPr>
        <w:t>财务风险评价指标体系</w:t>
      </w:r>
      <w:r>
        <w:tab/>
      </w:r>
      <w:r>
        <w:fldChar w:fldCharType="begin"/>
      </w:r>
      <w:r>
        <w:instrText xml:space="preserve"> PAGEREF _Toc7362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揭阳佳隆股份</w:t>
      </w:r>
      <w:r>
        <w:rPr>
          <w:rFonts w:ascii="幼圆" w:eastAsia="幼圆" w:hAnsi="幼圆" w:cs="幼圆" w:hint="eastAsia"/>
          <w:lang w:eastAsia="zh-Hans"/>
        </w:rPr>
        <w:t>公司财务风险综合评价</w:t>
      </w:r>
      <w:r>
        <w:tab/>
      </w:r>
      <w:r>
        <w:fldChar w:fldCharType="begin"/>
      </w:r>
      <w:r>
        <w:instrText xml:space="preserve"> PAGEREF _Toc27421 \h </w:instrText>
      </w:r>
      <w:r>
        <w:fldChar w:fldCharType="separate"/>
      </w:r>
      <w:r>
        <w:t>15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四、</w:t>
      </w:r>
      <w:r>
        <w:rPr>
          <w:rFonts w:ascii="幼圆" w:eastAsia="幼圆" w:hAnsi="幼圆" w:cs="幼圆" w:hint="eastAsia"/>
          <w:szCs w:val="28"/>
          <w:lang w:eastAsia="zh-CN"/>
        </w:rPr>
        <w:t>揭阳佳隆股份</w:t>
      </w:r>
      <w:r>
        <w:rPr>
          <w:rFonts w:ascii="幼圆" w:eastAsia="幼圆" w:hAnsi="幼圆" w:cs="幼圆" w:hint="eastAsia"/>
          <w:szCs w:val="28"/>
          <w:lang w:eastAsia="zh-Hans"/>
        </w:rPr>
        <w:t>公司财务控制策略</w:t>
      </w:r>
      <w:r>
        <w:tab/>
      </w:r>
      <w:r>
        <w:fldChar w:fldCharType="begin"/>
      </w:r>
      <w:r>
        <w:instrText xml:space="preserve"> PAGEREF _Toc30570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加强盈利能力风险控制</w:t>
      </w:r>
      <w:r>
        <w:tab/>
      </w:r>
      <w:r>
        <w:fldChar w:fldCharType="begin"/>
      </w:r>
      <w:r>
        <w:instrText xml:space="preserve"> PAGEREF _Toc24347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加强偿债能力风险控制</w:t>
      </w:r>
      <w:r>
        <w:tab/>
      </w:r>
      <w:r>
        <w:fldChar w:fldCharType="begin"/>
      </w:r>
      <w:r>
        <w:instrText xml:space="preserve"> PAGEREF _Toc27181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(三) 加强营运能力风险控制</w:t>
      </w:r>
      <w:r>
        <w:tab/>
      </w:r>
      <w:r>
        <w:fldChar w:fldCharType="begin"/>
      </w:r>
      <w:r>
        <w:instrText xml:space="preserve"> PAGEREF _Toc2746 \h </w:instrText>
      </w:r>
      <w:r>
        <w:fldChar w:fldCharType="separate"/>
      </w:r>
      <w:r>
        <w:t>21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(四) 加强现金流量能力风险控制</w:t>
      </w:r>
      <w:r>
        <w:tab/>
      </w:r>
      <w:r>
        <w:fldChar w:fldCharType="begin"/>
      </w:r>
      <w:r>
        <w:instrText xml:space="preserve"> PAGEREF _Toc2873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结语</w:t>
      </w:r>
      <w:r>
        <w:tab/>
      </w:r>
      <w:r>
        <w:fldChar w:fldCharType="begin"/>
      </w:r>
      <w:r>
        <w:instrText xml:space="preserve"> PAGEREF _Toc11511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bCs/>
          <w:szCs w:val="28"/>
          <w:lang w:eastAsia="zh-Hans"/>
        </w:rPr>
        <w:t>参考文献</w:t>
      </w:r>
      <w:r>
        <w:tab/>
      </w:r>
      <w:r>
        <w:fldChar w:fldCharType="begin"/>
      </w:r>
      <w:r>
        <w:instrText xml:space="preserve"> PAGEREF _Toc16633 \h </w:instrText>
      </w:r>
      <w:r>
        <w:fldChar w:fldCharType="separate"/>
      </w:r>
      <w:r>
        <w:t>22</w:t>
      </w:r>
      <w:r>
        <w:fldChar w:fldCharType="end"/>
      </w:r>
    </w:p>
    <w:p>
      <w:pPr>
        <w:keepNext w:val="0"/>
        <w:keepLines w:val="0"/>
        <w:pageBreakBefore w:val="0"/>
        <w:widowControl w:val="0"/>
        <w:tabs>
          <w:tab w:val="right" w:leader="do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56" w:afterLines="50" w:line="360" w:lineRule="auto"/>
        <w:ind w:firstLine="560"/>
        <w:textAlignment w:val="auto"/>
        <w:rPr>
          <w:rFonts w:ascii="幼圆" w:eastAsia="幼圆" w:hAnsi="幼圆" w:cs="幼圆" w:hint="eastAsia"/>
          <w:b/>
          <w:bCs/>
          <w:sz w:val="32"/>
          <w:szCs w:val="32"/>
        </w:rPr>
      </w:pPr>
      <w:r>
        <w:rPr>
          <w:rFonts w:ascii="幼圆" w:eastAsia="幼圆" w:hAnsi="幼圆" w:cs="幼圆" w:hint="eastAsia"/>
          <w:szCs w:val="24"/>
          <w:lang w:eastAsia="zh-Hans"/>
        </w:rPr>
        <w:fldChar w:fldCharType="end"/>
      </w:r>
      <w:bookmarkEnd w:id="0"/>
      <w:bookmarkEnd w:id="1"/>
      <w:bookmarkEnd w:id="2"/>
      <w:bookmarkEnd w:id="3"/>
      <w:bookmarkEnd w:id="4"/>
      <w:bookmarkEnd w:id="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摘  要</w:t>
      </w:r>
      <w:r>
        <w:rPr>
          <w:rFonts w:ascii="幼圆" w:eastAsia="幼圆" w:hAnsi="幼圆" w:cs="幼圆" w:hint="eastAsia"/>
          <w:sz w:val="24"/>
        </w:rPr>
        <w:t>：</w:t>
      </w: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首先从资产负债表</w:t>
      </w:r>
      <w:r>
        <w:rPr>
          <w:rFonts w:ascii="幼圆" w:eastAsia="幼圆" w:hAnsi="幼圆" w:cs="幼圆" w:hint="eastAsia"/>
          <w:sz w:val="24"/>
          <w:lang w:eastAsia="zh-Hans"/>
        </w:rPr>
        <w:t>、</w:t>
      </w:r>
      <w:r>
        <w:rPr>
          <w:rFonts w:ascii="幼圆" w:eastAsia="幼圆" w:hAnsi="幼圆" w:cs="幼圆" w:hint="eastAsia"/>
          <w:sz w:val="24"/>
          <w:lang w:val="en-US" w:eastAsia="zh-Hans"/>
        </w:rPr>
        <w:t>利润表和现金流量表三大报表分析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 xml:space="preserve"> 至 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 xml:space="preserve"> 年的经营情况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接着从财务分析指标中的</w:t>
      </w:r>
      <w:r>
        <w:rPr>
          <w:rFonts w:ascii="幼圆" w:eastAsia="幼圆" w:hAnsi="幼圆" w:cs="幼圆" w:hint="eastAsia"/>
          <w:sz w:val="24"/>
          <w:lang w:eastAsia="zh-Hans"/>
        </w:rPr>
        <w:t>盈利能力、偿债能力、营运能力以及现金流量四个方面分析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公司存在的财务风险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然后</w:t>
      </w:r>
      <w:r>
        <w:rPr>
          <w:rFonts w:ascii="幼圆" w:eastAsia="幼圆" w:hAnsi="幼圆" w:cs="幼圆" w:hint="eastAsia"/>
          <w:sz w:val="24"/>
          <w:lang w:val="en-US" w:eastAsia="zh-Hans"/>
        </w:rPr>
        <w:t>基于层次分析法</w:t>
      </w:r>
      <w:r>
        <w:rPr>
          <w:rFonts w:ascii="幼圆" w:eastAsia="幼圆" w:hAnsi="幼圆" w:cs="幼圆" w:hint="eastAsia"/>
          <w:sz w:val="24"/>
          <w:lang w:eastAsia="zh-Hans"/>
        </w:rPr>
        <w:t>构建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公司财务风险评价体系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确定各层次在评价体系中的权重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根据权重结果计算出</w:t>
      </w:r>
      <w:r>
        <w:rPr>
          <w:rFonts w:ascii="幼圆" w:eastAsia="幼圆" w:hAnsi="幼圆" w:cs="幼圆" w:hint="eastAsia"/>
          <w:sz w:val="24"/>
          <w:lang w:val="en-US" w:eastAsia="zh-CN"/>
        </w:rPr>
        <w:t>揭阳佳隆股份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研究发现</w:t>
      </w:r>
      <w:r>
        <w:rPr>
          <w:rFonts w:ascii="幼圆" w:eastAsia="幼圆" w:hAnsi="幼圆" w:cs="幼圆" w:hint="eastAsia"/>
          <w:sz w:val="24"/>
          <w:lang w:val="en-US" w:eastAsia="zh-CN"/>
        </w:rPr>
        <w:t>揭阳佳隆股份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公司的财务风险呈现稳中向好的趋势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最后根据财务风险评价结果对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公司提出针对性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控制策略。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关键词</w:t>
      </w:r>
      <w:r>
        <w:rPr>
          <w:rFonts w:ascii="幼圆" w:eastAsia="幼圆" w:hAnsi="幼圆" w:cs="幼圆" w:hint="eastAsia"/>
          <w:sz w:val="24"/>
        </w:rPr>
        <w:t>: 风险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</w:rPr>
        <w:t>；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</w:rPr>
        <w:t>评价；控制策略</w:t>
      </w:r>
    </w:p>
    <w:p>
      <w:pPr>
        <w:spacing w:line="360" w:lineRule="auto"/>
        <w:ind w:firstLine="42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</w:rPr>
        <w:t xml:space="preserve"> </w:t>
      </w:r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幼圆" w:eastAsia="幼圆" w:hAnsi="幼圆" w:cs="幼圆" w:hint="eastAsia"/>
          <w:sz w:val="24"/>
          <w:szCs w:val="24"/>
        </w:rPr>
      </w:pP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" w:name="_Toc31156"/>
      <w:bookmarkStart w:id="7" w:name="_Toc1228870660"/>
      <w:bookmarkStart w:id="8" w:name="_Toc579584491_WPSOffice_Level1"/>
      <w:bookmarkStart w:id="9" w:name="_Toc457838420_WPSOffice_Level1"/>
      <w:bookmarkStart w:id="10" w:name="_Toc2044615631"/>
      <w:bookmarkStart w:id="11" w:name="_Toc231109091"/>
      <w:bookmarkStart w:id="12" w:name="_Toc509648866_WPSOffice_Level1"/>
      <w:r>
        <w:rPr>
          <w:rFonts w:ascii="幼圆" w:eastAsia="幼圆" w:hAnsi="幼圆" w:cs="幼圆" w:hint="eastAsia"/>
          <w:sz w:val="28"/>
          <w:szCs w:val="28"/>
          <w:lang w:eastAsia="zh-Hans"/>
        </w:rPr>
        <w:t>引言</w:t>
      </w:r>
      <w:bookmarkEnd w:id="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5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space="708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val="en-US" w:eastAsia="zh-Hans"/>
        </w:rPr>
        <w:t>当今的市场环境在不断的发生变化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企业在激烈的竞争中面临着许多财务风险问题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当企业在面临财务风险时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缺乏应对能力或者在对财务风险进行控制时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缺乏有效的控制策略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都将会给企业造成严重的经济损失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因此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这就</w:t>
      </w:r>
      <w:r>
        <w:rPr>
          <w:rFonts w:ascii="幼圆" w:eastAsia="幼圆" w:hAnsi="幼圆" w:cs="幼圆" w:hint="eastAsia"/>
          <w:sz w:val="24"/>
          <w:lang w:val="en-US" w:eastAsia="zh-Hans"/>
        </w:rPr>
        <w:t>要求</w:t>
      </w:r>
      <w:r>
        <w:rPr>
          <w:rFonts w:ascii="幼圆" w:eastAsia="幼圆" w:hAnsi="幼圆" w:cs="幼圆" w:hint="eastAsia"/>
          <w:sz w:val="24"/>
          <w:lang w:eastAsia="zh-Hans"/>
        </w:rPr>
        <w:t>企业管理</w:t>
      </w:r>
      <w:r>
        <w:rPr>
          <w:rFonts w:ascii="幼圆" w:eastAsia="幼圆" w:hAnsi="幼圆" w:cs="幼圆" w:hint="eastAsia"/>
          <w:sz w:val="24"/>
          <w:lang w:val="en-US" w:eastAsia="zh-Hans"/>
        </w:rPr>
        <w:t>层对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高度重视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加强</w:t>
      </w:r>
      <w:r>
        <w:rPr>
          <w:rFonts w:ascii="幼圆" w:eastAsia="幼圆" w:hAnsi="幼圆" w:cs="幼圆" w:hint="eastAsia"/>
          <w:sz w:val="24"/>
          <w:lang w:eastAsia="zh-Hans"/>
        </w:rPr>
        <w:t>财务风险的识别能力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评价能力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并能对其进行有效的</w:t>
      </w:r>
      <w:r>
        <w:rPr>
          <w:rFonts w:ascii="幼圆" w:eastAsia="幼圆" w:hAnsi="幼圆" w:cs="幼圆" w:hint="eastAsia"/>
          <w:sz w:val="24"/>
          <w:lang w:eastAsia="zh-Hans"/>
        </w:rPr>
        <w:t>控制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财务风险发生的可能性</w:t>
      </w:r>
      <w:r>
        <w:rPr>
          <w:rFonts w:ascii="幼圆" w:eastAsia="幼圆" w:hAnsi="幼圆" w:cs="幼圆" w:hint="eastAsia"/>
          <w:sz w:val="24"/>
          <w:lang w:val="en-US" w:eastAsia="zh-Hans"/>
        </w:rPr>
        <w:t>才能降到最低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以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为研究对象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选题为财务风险评价与控制研究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</w:t>
      </w:r>
      <w:r>
        <w:rPr>
          <w:rFonts w:ascii="幼圆" w:eastAsia="幼圆" w:hAnsi="幼圆" w:cs="幼圆" w:hint="eastAsia"/>
          <w:sz w:val="24"/>
          <w:lang w:val="en-US" w:eastAsia="zh-Hans"/>
        </w:rPr>
        <w:t>状况</w:t>
      </w:r>
      <w:r>
        <w:rPr>
          <w:rFonts w:ascii="幼圆" w:eastAsia="幼圆" w:hAnsi="幼圆" w:cs="幼圆" w:hint="eastAsia"/>
          <w:sz w:val="24"/>
          <w:lang w:eastAsia="zh-Hans"/>
        </w:rPr>
        <w:t>入手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公司财务风险进行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并通过构建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评价体系分析公司的财务风险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计算出</w:t>
      </w:r>
      <w:r>
        <w:rPr>
          <w:rFonts w:ascii="幼圆" w:eastAsia="幼圆" w:hAnsi="幼圆" w:cs="幼圆" w:hint="eastAsia"/>
          <w:sz w:val="24"/>
          <w:lang w:val="en-US" w:eastAsia="zh-CN"/>
        </w:rPr>
        <w:t>揭阳佳隆股份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公司财务风险的综合得分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针对得分结果提出相应的控制策略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</w:rPr>
      </w:pPr>
      <w:bookmarkStart w:id="13" w:name="_Toc10369"/>
      <w:r>
        <w:rPr>
          <w:rFonts w:ascii="幼圆" w:eastAsia="幼圆" w:hAnsi="幼圆" w:cs="幼圆" w:hint="eastAsia"/>
          <w:sz w:val="28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 w:val="28"/>
          <w:szCs w:val="28"/>
        </w:rPr>
        <w:t>理论基础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</w:rPr>
      </w:pPr>
      <w:bookmarkStart w:id="14" w:name="_Toc31643"/>
      <w:bookmarkStart w:id="15" w:name="_Toc456417739_WPSOffice_Level1"/>
      <w:bookmarkStart w:id="16" w:name="_Toc1600058661"/>
      <w:bookmarkStart w:id="17" w:name="_Toc90717445_WPSOffice_Level1"/>
      <w:bookmarkStart w:id="18" w:name="_Toc1503706626_WPSOffice_Level1"/>
      <w:r>
        <w:rPr>
          <w:rFonts w:ascii="幼圆" w:eastAsia="幼圆" w:hAnsi="幼圆" w:cs="幼圆" w:hint="eastAsia"/>
          <w:sz w:val="24"/>
          <w:lang w:eastAsia="zh-Hans"/>
        </w:rPr>
        <w:t>(一) 企业</w:t>
      </w:r>
      <w:r>
        <w:rPr>
          <w:rFonts w:ascii="幼圆" w:eastAsia="幼圆" w:hAnsi="幼圆" w:cs="幼圆" w:hint="eastAsia"/>
          <w:sz w:val="24"/>
        </w:rPr>
        <w:t>财务风险的概念</w:t>
      </w:r>
      <w:bookmarkEnd w:id="14"/>
      <w:bookmarkEnd w:id="15"/>
      <w:bookmarkEnd w:id="16"/>
      <w:bookmarkEnd w:id="17"/>
      <w:bookmarkEnd w:id="18"/>
    </w:p>
    <w:p>
      <w:pPr>
        <w:bidi w:val="0"/>
        <w:spacing w:line="360" w:lineRule="auto"/>
        <w:ind w:firstLine="480" w:firstLineChars="200"/>
        <w:rPr>
          <w:rFonts w:ascii="幼圆" w:eastAsia="幼圆" w:hAnsi="幼圆" w:cs="幼圆" w:hint="eastAsia"/>
          <w:i w:val="0"/>
          <w:iCs w:val="0"/>
          <w:sz w:val="24"/>
        </w:rPr>
      </w:pP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财务风险是指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企业因为运营管理等原因而产生的风险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与企业由于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商业债务而必须承担的财务风险密切相关。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根据现如今的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和经济状况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企业面临的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是无法回避的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(陈思宇 ,张雨萱,2022)。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是现代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市场经济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行为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一个显著特征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它既能全面的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反映企业的现状，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又能对企业的运作产生巨大的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影响。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因此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对企业的财务风险进行分析是其生存和发展的枢纽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</w:p>
    <w:p>
      <w:pPr>
        <w:pStyle w:val="Heading2"/>
        <w:numPr>
          <w:ilvl w:val="0"/>
          <w:numId w:val="1"/>
        </w:numPr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19" w:name="_Toc1969074570"/>
      <w:bookmarkStart w:id="20" w:name="_Toc201352289_WPSOffice_Level1"/>
      <w:bookmarkStart w:id="21" w:name="_Toc12858"/>
      <w:bookmarkStart w:id="22" w:name="_Toc1278949421"/>
      <w:bookmarkStart w:id="23" w:name="_Toc1209705286_WPSOffice_Level1"/>
      <w:bookmarkStart w:id="24" w:name="_Toc2122192392_WPSOffice_Level1"/>
      <w:bookmarkStart w:id="25" w:name="_Toc1395687693"/>
      <w:r>
        <w:rPr>
          <w:rFonts w:ascii="幼圆" w:eastAsia="幼圆" w:hAnsi="幼圆" w:cs="幼圆" w:hint="eastAsia"/>
          <w:sz w:val="24"/>
          <w:lang w:eastAsia="zh-Hans"/>
        </w:rPr>
        <w:t>企业财务风险的识别与特征</w:t>
      </w:r>
      <w:bookmarkEnd w:id="19"/>
      <w:bookmarkEnd w:id="20"/>
      <w:bookmarkEnd w:id="21"/>
      <w:bookmarkEnd w:id="22"/>
      <w:bookmarkEnd w:id="23"/>
      <w:bookmarkEnd w:id="24"/>
      <w:bookmarkEnd w:id="2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企业财务风险识别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方法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以下三种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(王子轩 ,李心怡, 刘晨,2021)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1.财务报表分析法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（1）概念。在比较公司关键财务指标的实际和标准指标时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公司的财务风险是根据公司财务报表中的信息准则来确定的。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一是对企业的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和利润进行分析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二是对企业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信用和偿债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能力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三是对企业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资本结构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四是对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金分配和企业的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合理性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五是对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和运营中存在的缺陷及可能存在的风险进行分析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（3）优缺点。其优点是能够识别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评价财务风险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评价企业的治理绩效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并</w:t>
      </w:r>
      <w:r>
        <w:rPr>
          <w:rFonts w:ascii="幼圆" w:eastAsia="幼圆" w:hAnsi="幼圆" w:cs="幼圆" w:hint="eastAsia"/>
          <w:sz w:val="24"/>
          <w:lang w:eastAsia="zh-Hans"/>
        </w:rPr>
        <w:t>可以贯穿到整个企业的风险管理过程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缺点是不同的员工对同一份报告的内容或数据的评价不同。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2.指标分析法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</w:t>
      </w:r>
      <w:r>
        <w:rPr>
          <w:rFonts w:ascii="幼圆" w:eastAsia="幼圆" w:hAnsi="幼圆" w:cs="幼圆" w:hint="eastAsia"/>
          <w:sz w:val="24"/>
          <w:lang w:val="en-US" w:eastAsia="zh-Hans"/>
        </w:rPr>
        <w:t>依</w:t>
      </w:r>
      <w:r>
        <w:rPr>
          <w:rFonts w:ascii="幼圆" w:eastAsia="幼圆" w:hAnsi="幼圆" w:cs="幼圆" w:hint="eastAsia"/>
          <w:sz w:val="24"/>
          <w:lang w:eastAsia="zh-Hans"/>
        </w:rPr>
        <w:t>运营财务会计和统计财务会计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为</w:t>
      </w:r>
      <w:r>
        <w:rPr>
          <w:rFonts w:ascii="幼圆" w:eastAsia="幼圆" w:hAnsi="幼圆" w:cs="幼圆" w:hint="eastAsia"/>
          <w:sz w:val="24"/>
          <w:lang w:val="en-US" w:eastAsia="zh-Hans"/>
        </w:rPr>
        <w:t>基础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</w:t>
      </w:r>
      <w:r>
        <w:rPr>
          <w:rFonts w:ascii="幼圆" w:eastAsia="幼圆" w:hAnsi="幼圆" w:cs="幼圆" w:hint="eastAsia"/>
          <w:sz w:val="24"/>
          <w:lang w:val="en-US" w:eastAsia="zh-Hans"/>
        </w:rPr>
        <w:t>对相关财务风险的</w:t>
      </w:r>
      <w:r>
        <w:rPr>
          <w:rFonts w:ascii="幼圆" w:eastAsia="幼圆" w:hAnsi="幼圆" w:cs="幼圆" w:hint="eastAsia"/>
          <w:sz w:val="24"/>
          <w:lang w:eastAsia="zh-Hans"/>
        </w:rPr>
        <w:t>计算、分析和比较来确定和识别财务风险。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6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（2）分析内容。所采</w:t>
      </w:r>
      <w:r>
        <w:rPr>
          <w:rFonts w:ascii="幼圆" w:eastAsia="幼圆" w:hAnsi="幼圆" w:cs="幼圆" w:hint="eastAsia"/>
          <w:sz w:val="24"/>
          <w:lang w:val="en-US" w:eastAsia="zh-Hans"/>
        </w:rPr>
        <w:t>取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关财务指标原则上应保持一致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有三个主要要求：多纬度、多层次和多角度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(赵语嫣,黄佳慧,2022)</w:t>
      </w:r>
      <w:r>
        <w:rPr>
          <w:rFonts w:ascii="幼圆" w:eastAsia="幼圆" w:hAnsi="幼圆" w:cs="幼圆" w:hint="eastAsia"/>
          <w:sz w:val="24"/>
          <w:lang w:eastAsia="zh-Hans"/>
        </w:rPr>
        <w:t>。这种方法可以单独使用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也可以与会计方法结合使用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在应用该方法时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如果存在对企业的运营和财务管理产生影响的财务风险时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就需要预先设定一个危险临界点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对其影响程度进行评价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（3）优点。通过对相关</w:t>
      </w:r>
      <w:r>
        <w:rPr>
          <w:rFonts w:ascii="幼圆" w:eastAsia="幼圆" w:hAnsi="幼圆" w:cs="幼圆" w:hint="eastAsia"/>
          <w:sz w:val="24"/>
          <w:lang w:val="en-US" w:eastAsia="zh-Hans"/>
        </w:rPr>
        <w:t>资料的统计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可以很</w:t>
      </w:r>
      <w:r>
        <w:rPr>
          <w:rFonts w:ascii="幼圆" w:eastAsia="幼圆" w:hAnsi="幼圆" w:cs="幼圆" w:hint="eastAsia"/>
          <w:sz w:val="24"/>
          <w:lang w:eastAsia="zh-Hans"/>
        </w:rPr>
        <w:t>好的识别财务风险。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3.经验分析法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（1）概念。选择相关领域或行业的专家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直接总结和预测公司的发展和经营规律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根据他们的经验和技能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结合外部环境</w:t>
      </w:r>
      <w:r>
        <w:rPr>
          <w:rFonts w:ascii="幼圆" w:eastAsia="幼圆" w:hAnsi="幼圆" w:cs="幼圆" w:hint="eastAsia"/>
          <w:sz w:val="24"/>
          <w:lang w:val="en-US" w:eastAsia="zh-Hans"/>
        </w:rPr>
        <w:t>发现</w:t>
      </w:r>
      <w:r>
        <w:rPr>
          <w:rFonts w:ascii="幼圆" w:eastAsia="幼圆" w:hAnsi="幼圆" w:cs="幼圆" w:hint="eastAsia"/>
          <w:sz w:val="24"/>
          <w:lang w:eastAsia="zh-Hans"/>
        </w:rPr>
        <w:t>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lang w:val="en-US" w:eastAsia="zh-Hans"/>
        </w:rPr>
        <w:t>经</w:t>
      </w:r>
      <w:r>
        <w:rPr>
          <w:rFonts w:ascii="幼圆" w:eastAsia="幼圆" w:hAnsi="幼圆" w:cs="幼圆" w:hint="eastAsia"/>
          <w:sz w:val="24"/>
          <w:lang w:eastAsia="zh-Hans"/>
        </w:rPr>
        <w:t>过开展研究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收集有关风险资料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确认对企业有重要意义的工程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并明确其研究主题。邀请一些专业人员参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就有关问题提出更新信息和说明。公司管理层应根据专家的工作结果提供反馈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专家在获得反馈意见后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应第二次提出反馈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并将反馈汇总后送交企业治理办公室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如果有任何反对意见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在得到更为一致的答复之前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可以重复这两个步骤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(周欣然 ,吴昊然, 郑雨,2020)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</w:t>
      </w:r>
      <w:r>
        <w:rPr>
          <w:rFonts w:ascii="幼圆" w:eastAsia="幼圆" w:hAnsi="幼圆" w:cs="幼圆" w:hint="eastAsia"/>
          <w:sz w:val="24"/>
          <w:lang w:val="en-US" w:eastAsia="zh-Hans"/>
        </w:rPr>
        <w:t>该方法的</w:t>
      </w:r>
      <w:r>
        <w:rPr>
          <w:rFonts w:ascii="幼圆" w:eastAsia="幼圆" w:hAnsi="幼圆" w:cs="幼圆" w:hint="eastAsia"/>
          <w:sz w:val="24"/>
          <w:lang w:eastAsia="zh-Hans"/>
        </w:rPr>
        <w:t>优点是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</w:t>
      </w:r>
      <w:r>
        <w:rPr>
          <w:rFonts w:ascii="幼圆" w:eastAsia="幼圆" w:hAnsi="幼圆" w:cs="幼圆" w:hint="eastAsia"/>
          <w:sz w:val="24"/>
          <w:lang w:val="en-US" w:eastAsia="zh-Hans"/>
        </w:rPr>
        <w:t>缺乏充分</w:t>
      </w:r>
      <w:r>
        <w:rPr>
          <w:rFonts w:ascii="幼圆" w:eastAsia="幼圆" w:hAnsi="幼圆" w:cs="幼圆" w:hint="eastAsia"/>
          <w:sz w:val="24"/>
          <w:lang w:eastAsia="zh-Hans"/>
        </w:rPr>
        <w:t>统计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的情况下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能够</w:t>
      </w:r>
      <w:r>
        <w:rPr>
          <w:rFonts w:ascii="幼圆" w:eastAsia="幼圆" w:hAnsi="幼圆" w:cs="幼圆" w:hint="eastAsia"/>
          <w:sz w:val="24"/>
          <w:lang w:eastAsia="zh-Hans"/>
        </w:rPr>
        <w:t>基于对真实数据的分析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对报表中未公布的信息进行量化估计和预测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缺点是对于造成的分析评价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主要是专家的主观判断引起的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要</w:t>
      </w:r>
      <w:r>
        <w:rPr>
          <w:rFonts w:ascii="幼圆" w:eastAsia="幼圆" w:hAnsi="幼圆" w:cs="幼圆" w:hint="eastAsia"/>
          <w:sz w:val="24"/>
          <w:lang w:eastAsia="zh-Hans"/>
        </w:rPr>
        <w:t>解决这</w:t>
      </w:r>
      <w:r>
        <w:rPr>
          <w:rFonts w:ascii="幼圆" w:eastAsia="幼圆" w:hAnsi="幼圆" w:cs="幼圆" w:hint="eastAsia"/>
          <w:sz w:val="24"/>
          <w:lang w:val="en-US" w:eastAsia="zh-Hans"/>
        </w:rPr>
        <w:t>个</w:t>
      </w:r>
      <w:r>
        <w:rPr>
          <w:rFonts w:ascii="幼圆" w:eastAsia="幼圆" w:hAnsi="幼圆" w:cs="幼圆" w:hint="eastAsia"/>
          <w:sz w:val="24"/>
          <w:lang w:eastAsia="zh-Hans"/>
        </w:rPr>
        <w:t>问题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有</w:t>
      </w:r>
      <w:r>
        <w:rPr>
          <w:rFonts w:ascii="幼圆" w:eastAsia="幼圆" w:hAnsi="幼圆" w:cs="幼圆" w:hint="eastAsia"/>
          <w:sz w:val="24"/>
          <w:lang w:val="en-US" w:eastAsia="zh-Hans"/>
        </w:rPr>
        <w:t>经验</w:t>
      </w:r>
      <w:r>
        <w:rPr>
          <w:rFonts w:ascii="幼圆" w:eastAsia="幼圆" w:hAnsi="幼圆" w:cs="幼圆" w:hint="eastAsia"/>
          <w:sz w:val="24"/>
          <w:lang w:eastAsia="zh-Hans"/>
        </w:rPr>
        <w:t>的专家可以</w:t>
      </w:r>
      <w:r>
        <w:rPr>
          <w:rFonts w:ascii="幼圆" w:eastAsia="幼圆" w:hAnsi="幼圆" w:cs="幼圆" w:hint="eastAsia"/>
          <w:sz w:val="24"/>
          <w:lang w:val="en-US" w:eastAsia="zh-Hans"/>
        </w:rPr>
        <w:t>回</w:t>
      </w:r>
      <w:r>
        <w:rPr>
          <w:rFonts w:ascii="幼圆" w:eastAsia="幼圆" w:hAnsi="幼圆" w:cs="幼圆" w:hint="eastAsia"/>
          <w:sz w:val="24"/>
          <w:lang w:eastAsia="zh-Hans"/>
        </w:rPr>
        <w:t>避工作、重新评估等。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全方位的熟悉并了解财务风险的基本特征是企业财务管理的起点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这样才能够有针对性地进行风险管理与防范研究。企业财务风险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有以下</w:t>
      </w:r>
      <w:r>
        <w:rPr>
          <w:rFonts w:ascii="幼圆" w:eastAsia="幼圆" w:hAnsi="幼圆" w:cs="幼圆" w:hint="eastAsia"/>
          <w:sz w:val="24"/>
          <w:lang w:eastAsia="zh-Hans"/>
        </w:rPr>
        <w:t>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(王紫菡 ,林丹阳,2019)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1.客观性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企业财务风险的客观性</w:t>
      </w:r>
      <w:r>
        <w:rPr>
          <w:rFonts w:ascii="幼圆" w:eastAsia="幼圆" w:hAnsi="幼圆" w:cs="幼圆" w:hint="eastAsia"/>
          <w:sz w:val="24"/>
          <w:lang w:val="en-US" w:eastAsia="zh-Hans"/>
        </w:rPr>
        <w:t>取决于自身</w:t>
      </w:r>
      <w:r>
        <w:rPr>
          <w:rFonts w:ascii="幼圆" w:eastAsia="幼圆" w:hAnsi="幼圆" w:cs="幼圆" w:hint="eastAsia"/>
          <w:sz w:val="24"/>
          <w:lang w:eastAsia="zh-Hans"/>
        </w:rPr>
        <w:t>产生</w:t>
      </w:r>
      <w:r>
        <w:rPr>
          <w:rFonts w:ascii="幼圆" w:eastAsia="幼圆" w:hAnsi="幼圆" w:cs="幼圆" w:hint="eastAsia"/>
          <w:sz w:val="24"/>
          <w:lang w:val="en-US" w:eastAsia="zh-Hans"/>
        </w:rPr>
        <w:t>风险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主要原因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比</w:t>
      </w:r>
      <w:r>
        <w:rPr>
          <w:rFonts w:ascii="幼圆" w:eastAsia="幼圆" w:hAnsi="幼圆" w:cs="幼圆" w:hint="eastAsia"/>
          <w:sz w:val="24"/>
          <w:lang w:eastAsia="zh-Hans"/>
        </w:rPr>
        <w:t>如企业战略的不确定性、市场环境的变化以及企业的生产和经营活动的复杂性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都是导致企业财务风险的客观原因。</w:t>
      </w:r>
      <w:bookmarkStart w:id="26" w:name="_Toc835510334_WPSOffice_Level2"/>
      <w:bookmarkStart w:id="27" w:name="_Toc251273314_WPSOffice_Level2"/>
      <w:bookmarkStart w:id="28" w:name="_Toc439273030_WPSOffice_Level2"/>
      <w:bookmarkStart w:id="29" w:name="_Toc16290477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2.共存性</w:t>
      </w:r>
      <w:bookmarkEnd w:id="26"/>
      <w:bookmarkEnd w:id="27"/>
      <w:bookmarkEnd w:id="28"/>
      <w:bookmarkEnd w:id="29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0" w:name="_Toc1513297720"/>
      <w:bookmarkStart w:id="31" w:name="_Toc1139095924"/>
      <w:bookmarkStart w:id="32" w:name="_Toc2046353533"/>
      <w:r>
        <w:rPr>
          <w:rFonts w:ascii="幼圆" w:eastAsia="幼圆" w:hAnsi="幼圆" w:cs="幼圆" w:hint="eastAsia"/>
          <w:sz w:val="24"/>
          <w:lang w:eastAsia="zh-Hans"/>
        </w:rPr>
        <w:t>收入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财务风险是成正比的</w:t>
      </w:r>
      <w:bookmarkEnd w:id="30"/>
      <w:bookmarkEnd w:id="31"/>
      <w:bookmarkEnd w:id="32"/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即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收入就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高。由于</w:t>
      </w:r>
      <w:r>
        <w:rPr>
          <w:rFonts w:ascii="幼圆" w:eastAsia="幼圆" w:hAnsi="幼圆" w:cs="幼圆" w:hint="eastAsia"/>
          <w:sz w:val="24"/>
          <w:lang w:val="en-US" w:eastAsia="zh-Hans"/>
        </w:rPr>
        <w:t>各</w:t>
      </w:r>
      <w:r>
        <w:rPr>
          <w:rFonts w:ascii="幼圆" w:eastAsia="幼圆" w:hAnsi="幼圆" w:cs="幼圆" w:hint="eastAsia"/>
          <w:sz w:val="24"/>
          <w:lang w:eastAsia="zh-Hans"/>
        </w:rPr>
        <w:t>种原因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我国企业的财务风险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直接关系到</w:t>
      </w:r>
      <w:r>
        <w:rPr>
          <w:rFonts w:ascii="幼圆" w:eastAsia="幼圆" w:hAnsi="幼圆" w:cs="幼圆" w:hint="eastAsia"/>
          <w:sz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lang w:val="en-US" w:eastAsia="zh-Hans"/>
        </w:rPr>
        <w:t>经营</w:t>
      </w:r>
      <w:r>
        <w:rPr>
          <w:rFonts w:ascii="幼圆" w:eastAsia="幼圆" w:hAnsi="幼圆" w:cs="幼圆" w:hint="eastAsia"/>
          <w:sz w:val="24"/>
          <w:lang w:eastAsia="zh-Hans"/>
        </w:rPr>
        <w:t>和</w:t>
      </w:r>
      <w:r>
        <w:rPr>
          <w:rFonts w:ascii="幼圆" w:eastAsia="幼圆" w:hAnsi="幼圆" w:cs="幼圆" w:hint="eastAsia"/>
          <w:sz w:val="24"/>
          <w:lang w:val="en-US" w:eastAsia="zh-Hans"/>
        </w:rPr>
        <w:t>经营活动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持</w:t>
      </w:r>
      <w:r>
        <w:rPr>
          <w:rFonts w:ascii="幼圆" w:eastAsia="幼圆" w:hAnsi="幼圆" w:cs="幼圆" w:hint="eastAsia"/>
          <w:sz w:val="24"/>
          <w:lang w:eastAsia="zh-Hans"/>
        </w:rPr>
        <w:t>续性</w:t>
      </w:r>
      <w:r>
        <w:rPr>
          <w:rFonts w:ascii="幼圆" w:eastAsia="幼圆" w:hAnsi="幼圆" w:cs="幼圆" w:hint="eastAsia"/>
          <w:sz w:val="24"/>
          <w:lang w:val="en-US" w:eastAsia="zh-Hans"/>
        </w:rPr>
        <w:t>及</w:t>
      </w:r>
      <w:r>
        <w:rPr>
          <w:rFonts w:ascii="幼圆" w:eastAsia="幼圆" w:hAnsi="幼圆" w:cs="幼圆" w:hint="eastAsia"/>
          <w:sz w:val="24"/>
          <w:lang w:eastAsia="zh-Hans"/>
        </w:rPr>
        <w:t>经济利益的稳定性。</w:t>
      </w:r>
      <w:r>
        <w:rPr>
          <w:rFonts w:ascii="幼圆" w:eastAsia="幼圆" w:hAnsi="幼圆" w:cs="幼圆" w:hint="eastAsia"/>
          <w:sz w:val="24"/>
          <w:lang w:val="en-US" w:eastAsia="zh-Hans"/>
        </w:rPr>
        <w:t>所以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为了</w:t>
      </w:r>
      <w:r>
        <w:rPr>
          <w:rFonts w:ascii="幼圆" w:eastAsia="幼圆" w:hAnsi="幼圆" w:cs="幼圆" w:hint="eastAsia"/>
          <w:sz w:val="24"/>
          <w:lang w:eastAsia="zh-Hans"/>
        </w:rPr>
        <w:t>提高</w:t>
      </w:r>
      <w:r>
        <w:rPr>
          <w:rFonts w:ascii="幼圆" w:eastAsia="幼圆" w:hAnsi="幼圆" w:cs="幼圆" w:hint="eastAsia"/>
          <w:sz w:val="24"/>
          <w:lang w:val="en-US" w:eastAsia="zh-Hans"/>
        </w:rPr>
        <w:t>企业的</w:t>
      </w:r>
      <w:r>
        <w:rPr>
          <w:rFonts w:ascii="幼圆" w:eastAsia="幼圆" w:hAnsi="幼圆" w:cs="幼圆" w:hint="eastAsia"/>
          <w:sz w:val="24"/>
          <w:lang w:eastAsia="zh-Hans"/>
        </w:rPr>
        <w:t>经济效益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可以对财务风险进行科学的预防与管理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3" w:name="_Toc1960520471_WPSOffice_Level2"/>
      <w:bookmarkStart w:id="34" w:name="_Toc1197738396_WPSOffice_Level2"/>
      <w:bookmarkStart w:id="35" w:name="_Toc1113222426"/>
      <w:bookmarkStart w:id="36" w:name="_Toc26615805_WPSOffice_Level2"/>
      <w:r>
        <w:rPr>
          <w:rFonts w:ascii="幼圆" w:eastAsia="幼圆" w:hAnsi="幼圆" w:cs="幼圆" w:hint="eastAsia"/>
          <w:sz w:val="24"/>
          <w:lang w:eastAsia="zh-Hans"/>
        </w:rPr>
        <w:t>3.不确定性</w:t>
      </w:r>
      <w:bookmarkEnd w:id="33"/>
      <w:bookmarkEnd w:id="34"/>
      <w:bookmarkEnd w:id="35"/>
      <w:bookmarkEnd w:id="3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7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在财务活动的</w:t>
      </w:r>
      <w:r>
        <w:rPr>
          <w:rFonts w:ascii="幼圆" w:eastAsia="幼圆" w:hAnsi="幼圆" w:cs="幼圆" w:hint="eastAsia"/>
          <w:sz w:val="24"/>
          <w:lang w:val="en-US" w:eastAsia="zh-Hans"/>
        </w:rPr>
        <w:t>进</w:t>
      </w:r>
      <w:r>
        <w:rPr>
          <w:rFonts w:ascii="幼圆" w:eastAsia="幼圆" w:hAnsi="幼圆" w:cs="幼圆" w:hint="eastAsia"/>
          <w:sz w:val="24"/>
          <w:lang w:eastAsia="zh-Hans"/>
        </w:rPr>
        <w:t>程</w:t>
      </w:r>
      <w:r>
        <w:rPr>
          <w:rFonts w:ascii="幼圆" w:eastAsia="幼圆" w:hAnsi="幼圆" w:cs="幼圆" w:hint="eastAsia"/>
          <w:sz w:val="24"/>
          <w:lang w:val="en-US" w:eastAsia="zh-Hans"/>
        </w:rPr>
        <w:t>与成</w:t>
      </w:r>
      <w:r>
        <w:rPr>
          <w:rFonts w:ascii="幼圆" w:eastAsia="幼圆" w:hAnsi="幼圆" w:cs="幼圆" w:hint="eastAsia"/>
          <w:sz w:val="24"/>
          <w:lang w:eastAsia="zh-Hans"/>
        </w:rPr>
        <w:t>果中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财务系统面临着许多不确定性因素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例如如果企业出现突发情况或者有无法追回损失的货款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那么企业的初始收入将有所下降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同时也可能因为运营的风险引起企业的财务风险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(曹晓心 ,唐婉,2022)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如果投资者对未来前景充满不确定因素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</w:t>
      </w:r>
      <w:r>
        <w:rPr>
          <w:rFonts w:ascii="幼圆" w:eastAsia="幼圆" w:hAnsi="幼圆" w:cs="幼圆" w:hint="eastAsia"/>
          <w:sz w:val="24"/>
          <w:lang w:val="en-US" w:eastAsia="zh-Hans"/>
        </w:rPr>
        <w:t>应对</w:t>
      </w:r>
      <w:r>
        <w:rPr>
          <w:rFonts w:ascii="幼圆" w:eastAsia="幼圆" w:hAnsi="幼圆" w:cs="幼圆" w:hint="eastAsia"/>
          <w:sz w:val="24"/>
          <w:lang w:eastAsia="zh-Hans"/>
        </w:rPr>
        <w:t>风险可能会获得更多的回报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也可能会给企业带来亏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甚至受到冲击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7" w:name="_Toc655236059_WPSOffice_Level2"/>
      <w:bookmarkStart w:id="38" w:name="_Toc1345948619"/>
      <w:bookmarkStart w:id="39" w:name="_Toc1625960176_WPSOffice_Level2"/>
      <w:bookmarkStart w:id="40" w:name="_Toc2115965310"/>
      <w:bookmarkStart w:id="41" w:name="_Toc1051781118"/>
      <w:bookmarkStart w:id="42" w:name="_Toc2024998241_WPSOffice_Level2"/>
      <w:r>
        <w:rPr>
          <w:rFonts w:ascii="幼圆" w:eastAsia="幼圆" w:hAnsi="幼圆" w:cs="幼圆" w:hint="eastAsia"/>
          <w:sz w:val="24"/>
          <w:lang w:eastAsia="zh-Hans"/>
        </w:rPr>
        <w:t>4.全面性</w:t>
      </w:r>
      <w:bookmarkEnd w:id="37"/>
      <w:bookmarkEnd w:id="38"/>
      <w:bookmarkEnd w:id="39"/>
      <w:bookmarkEnd w:id="40"/>
      <w:bookmarkEnd w:id="41"/>
      <w:bookmarkEnd w:id="42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涉及到整个</w:t>
      </w:r>
      <w:r>
        <w:rPr>
          <w:rFonts w:ascii="幼圆" w:eastAsia="幼圆" w:hAnsi="幼圆" w:cs="幼圆" w:hint="eastAsia"/>
          <w:sz w:val="24"/>
          <w:lang w:eastAsia="zh-Hans"/>
        </w:rPr>
        <w:t>财务管理</w:t>
      </w:r>
      <w:r>
        <w:rPr>
          <w:rFonts w:ascii="幼圆" w:eastAsia="幼圆" w:hAnsi="幼圆" w:cs="幼圆" w:hint="eastAsia"/>
          <w:sz w:val="24"/>
          <w:lang w:val="en-US" w:eastAsia="zh-Hans"/>
        </w:rPr>
        <w:t>过程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在企业的各个财务关系中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着一定的财务风险</w:t>
      </w:r>
      <w:bookmarkStart w:id="43" w:name="_Toc824598831_WPSOffice_Level2"/>
      <w:bookmarkStart w:id="44" w:name="_Toc783269957_WPSOffice_Level2"/>
      <w:bookmarkStart w:id="45" w:name="_Toc699770850"/>
      <w:bookmarkStart w:id="46" w:name="_Toc256301797_WPSOffice_Level2"/>
      <w:bookmarkStart w:id="47" w:name="_Toc1913185682"/>
      <w:bookmarkStart w:id="48" w:name="_Toc1347351769"/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若</w:t>
      </w:r>
      <w:r>
        <w:rPr>
          <w:rFonts w:ascii="幼圆" w:eastAsia="幼圆" w:hAnsi="幼圆" w:cs="幼圆" w:hint="eastAsia"/>
          <w:sz w:val="24"/>
          <w:lang w:eastAsia="zh-Hans"/>
        </w:rPr>
        <w:t>不能正确地评价和梳理</w:t>
      </w:r>
      <w:r>
        <w:rPr>
          <w:rFonts w:ascii="幼圆" w:eastAsia="幼圆" w:hAnsi="幼圆" w:cs="幼圆" w:hint="eastAsia"/>
          <w:sz w:val="24"/>
          <w:lang w:val="en-US" w:eastAsia="zh-Hans"/>
        </w:rPr>
        <w:t>财务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反而会在某种意义上掩盖财务风险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5.损失性</w:t>
      </w:r>
      <w:bookmarkEnd w:id="43"/>
      <w:bookmarkEnd w:id="44"/>
      <w:bookmarkEnd w:id="45"/>
      <w:bookmarkEnd w:id="46"/>
      <w:bookmarkEnd w:id="47"/>
      <w:bookmarkEnd w:id="4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常与亏</w:t>
      </w:r>
      <w:r>
        <w:rPr>
          <w:rFonts w:ascii="幼圆" w:eastAsia="幼圆" w:hAnsi="幼圆" w:cs="幼圆" w:hint="eastAsia"/>
          <w:sz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lang w:val="en-US" w:eastAsia="zh-Hans"/>
        </w:rPr>
        <w:t>联系在一起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无论这些损失是真实的、隐性的还是定量的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它们都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Hans"/>
        </w:rPr>
        <w:t>企业的经济效益</w:t>
      </w:r>
      <w:r>
        <w:rPr>
          <w:rFonts w:ascii="幼圆" w:eastAsia="幼圆" w:hAnsi="幼圆" w:cs="幼圆" w:hint="eastAsia"/>
          <w:sz w:val="24"/>
          <w:lang w:val="en-US" w:eastAsia="zh-Hans"/>
        </w:rPr>
        <w:t>产生影响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最终影响到企业的存亡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49" w:name="_Toc1289055653_WPSOffice_Level1"/>
      <w:bookmarkStart w:id="50" w:name="_Toc131639321_WPSOffice_Level1"/>
      <w:bookmarkStart w:id="51" w:name="_Toc1841177198_WPSOffice_Level1"/>
      <w:bookmarkStart w:id="52" w:name="_Toc21319"/>
      <w:bookmarkStart w:id="53" w:name="_Toc1873607615"/>
      <w:r>
        <w:rPr>
          <w:rFonts w:ascii="幼圆" w:eastAsia="幼圆" w:hAnsi="幼圆" w:cs="幼圆" w:hint="eastAsia"/>
          <w:sz w:val="24"/>
          <w:lang w:eastAsia="zh-Hans"/>
        </w:rPr>
        <w:t xml:space="preserve">(三) </w:t>
      </w:r>
      <w:r>
        <w:rPr>
          <w:rFonts w:ascii="幼圆" w:eastAsia="幼圆" w:hAnsi="幼圆" w:cs="幼圆" w:hint="eastAsia"/>
          <w:sz w:val="24"/>
        </w:rPr>
        <w:t>财务风险的</w:t>
      </w:r>
      <w:r>
        <w:rPr>
          <w:rFonts w:ascii="幼圆" w:eastAsia="幼圆" w:hAnsi="幼圆" w:cs="幼圆" w:hint="eastAsia"/>
          <w:sz w:val="24"/>
          <w:lang w:eastAsia="zh-Hans"/>
        </w:rPr>
        <w:t>评价与控制的相关理论</w:t>
      </w:r>
      <w:bookmarkEnd w:id="49"/>
      <w:bookmarkEnd w:id="50"/>
      <w:bookmarkEnd w:id="51"/>
      <w:bookmarkEnd w:id="52"/>
      <w:bookmarkEnd w:id="5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4" w:name="_Toc1320578526_WPSOffice_Level2"/>
      <w:bookmarkStart w:id="55" w:name="_Toc343411189_WPSOffice_Level2"/>
      <w:bookmarkStart w:id="56" w:name="_Toc1170469344"/>
      <w:bookmarkStart w:id="57" w:name="_Toc1959589944_WPSOffice_Level2"/>
      <w:r>
        <w:rPr>
          <w:rFonts w:ascii="幼圆" w:eastAsia="幼圆" w:hAnsi="幼圆" w:cs="幼圆" w:hint="eastAsia"/>
          <w:sz w:val="24"/>
          <w:lang w:eastAsia="zh-Hans"/>
        </w:rPr>
        <w:t>1.财务风险评价的概念及方法</w:t>
      </w:r>
      <w:bookmarkEnd w:id="54"/>
      <w:bookmarkEnd w:id="55"/>
      <w:bookmarkEnd w:id="56"/>
      <w:bookmarkEnd w:id="57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资产负债表、利润表和现金流量表是全面评价企业的财务状况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应收账款与企业盈利之间的关系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(高绮雯 ,张昊然 ,赵梦,2021)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财务报表中包含的会计信息是公司内部财务关系的体现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在进行财务风险评价时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主要采用了多元线性评价法</w:t>
      </w:r>
      <w:r>
        <w:rPr>
          <w:rFonts w:ascii="幼圆" w:eastAsia="幼圆" w:hAnsi="幼圆" w:cs="幼圆" w:hint="eastAsia"/>
          <w:sz w:val="24"/>
          <w:lang w:eastAsia="zh-CN"/>
        </w:rPr>
        <w:t>、</w:t>
      </w:r>
      <w:r>
        <w:rPr>
          <w:rFonts w:ascii="幼圆" w:eastAsia="幼圆" w:hAnsi="幼圆" w:cs="幼圆" w:hint="eastAsia"/>
          <w:sz w:val="24"/>
          <w:lang w:eastAsia="zh-Hans"/>
        </w:rPr>
        <w:t>单变量分析模型判定法和综合评价法。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8" w:name="_Toc336596366"/>
      <w:bookmarkStart w:id="59" w:name="_Toc163927603"/>
      <w:bookmarkStart w:id="60" w:name="_Toc1832332604_WPSOffice_Level2"/>
      <w:bookmarkStart w:id="61" w:name="_Toc1755797699"/>
      <w:bookmarkStart w:id="62" w:name="_Toc1267585207_WPSOffice_Level2"/>
      <w:bookmarkStart w:id="63" w:name="_Toc2011680621_WPSOffice_Level2"/>
      <w:r>
        <w:rPr>
          <w:rFonts w:ascii="幼圆" w:eastAsia="幼圆" w:hAnsi="幼圆" w:cs="幼圆" w:hint="eastAsia"/>
          <w:sz w:val="24"/>
          <w:lang w:eastAsia="zh-Hans"/>
        </w:rPr>
        <w:t>2.财务风险控制的概念及方法</w:t>
      </w:r>
      <w:bookmarkEnd w:id="58"/>
      <w:bookmarkEnd w:id="59"/>
      <w:bookmarkEnd w:id="60"/>
      <w:bookmarkEnd w:id="61"/>
      <w:bookmarkEnd w:id="62"/>
      <w:bookmarkEnd w:id="6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在财务管理过程中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通过运用相关资料及特定的方法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影响或调整经营者的财务活动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同时为了</w:t>
      </w:r>
      <w:r>
        <w:rPr>
          <w:rFonts w:ascii="幼圆" w:eastAsia="幼圆" w:hAnsi="幼圆" w:cs="幼圆" w:hint="eastAsia"/>
          <w:sz w:val="24"/>
          <w:lang w:eastAsia="zh-Hans"/>
        </w:rPr>
        <w:t>避免出现风险</w:t>
      </w:r>
      <w:r>
        <w:rPr>
          <w:rFonts w:ascii="幼圆" w:eastAsia="幼圆" w:hAnsi="幼圆" w:cs="幼圆" w:hint="eastAsia"/>
          <w:sz w:val="24"/>
          <w:lang w:val="en-US" w:eastAsia="zh-Hans"/>
        </w:rPr>
        <w:t>而实现可能的预期财务目标</w:t>
      </w:r>
      <w:r>
        <w:rPr>
          <w:rFonts w:ascii="幼圆" w:eastAsia="幼圆" w:hAnsi="幼圆" w:cs="幼圆" w:hint="eastAsia"/>
          <w:sz w:val="24"/>
          <w:lang w:eastAsia="zh-Hans"/>
        </w:rPr>
        <w:t>被称为财务风险控制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财务风险控制的方法包括防护控制、前馈控制和反馈控制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(李子涵 ,王晓星 ,戴思琪,2022)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4" w:name="_Toc835510334_WPSOffice_Level1"/>
      <w:bookmarkStart w:id="65" w:name="_Toc25432"/>
      <w:bookmarkStart w:id="66" w:name="_Toc439273030_WPSOffice_Level1"/>
      <w:bookmarkStart w:id="67" w:name="_Toc469042505"/>
      <w:bookmarkStart w:id="68" w:name="_Toc251273314_WPSOffice_Level1"/>
      <w:r>
        <w:rPr>
          <w:rFonts w:ascii="幼圆" w:eastAsia="幼圆" w:hAnsi="幼圆" w:cs="幼圆" w:hint="eastAsia"/>
          <w:sz w:val="28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 w:val="28"/>
          <w:szCs w:val="28"/>
          <w:lang w:eastAsia="zh-CN"/>
        </w:rPr>
        <w:t>揭阳佳隆股份</w:t>
      </w:r>
      <w:r>
        <w:rPr>
          <w:rFonts w:ascii="幼圆" w:eastAsia="幼圆" w:hAnsi="幼圆" w:cs="幼圆" w:hint="eastAsia"/>
          <w:sz w:val="28"/>
          <w:szCs w:val="28"/>
          <w:lang w:eastAsia="zh-Hans"/>
        </w:rPr>
        <w:t>公司的基本情况及财务风险识别</w:t>
      </w:r>
      <w:bookmarkEnd w:id="64"/>
      <w:bookmarkEnd w:id="65"/>
      <w:bookmarkEnd w:id="66"/>
      <w:bookmarkEnd w:id="67"/>
      <w:bookmarkEnd w:id="6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t>揭阳佳隆股份公司是我国鸡精调味粉行业的代表性企业，深耕鸡精调味粉领域多年，揭阳佳隆股份在曾经在2020-2022年三年连续获得我国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国家鸡精调味粉企业荣誉金奖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全球优质鸡精调味粉企业500强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。揭阳佳隆股份的发展是我国鸡精调味粉企业改革创新的缩影，因此能够在很大程度上代表着我国鸡精调味粉企业的发展状况。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bookmarkStart w:id="69" w:name="_Toc417557548_WPSOffice_Level2"/>
      <w:bookmarkStart w:id="70" w:name="_Toc1152047678_WPSOffice_Level2"/>
      <w:bookmarkStart w:id="71" w:name="_Toc1932397045"/>
      <w:bookmarkStart w:id="72" w:name="_Toc444009536_WPSOffice_Level2"/>
      <w:bookmarkStart w:id="73" w:name="_Toc21417"/>
      <w:r>
        <w:rPr>
          <w:rFonts w:ascii="幼圆" w:eastAsia="幼圆" w:hAnsi="幼圆" w:cs="幼圆" w:hint="eastAsia"/>
          <w:sz w:val="24"/>
          <w:lang w:eastAsia="zh-Hans"/>
        </w:rPr>
        <w:t xml:space="preserve">(一) 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</w:rPr>
        <w:t>公司</w:t>
      </w:r>
      <w:bookmarkEnd w:id="69"/>
      <w:bookmarkEnd w:id="70"/>
      <w:bookmarkEnd w:id="71"/>
      <w:bookmarkEnd w:id="72"/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经营现状分析</w:t>
      </w:r>
      <w:bookmarkEnd w:id="7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本部分</w:t>
      </w:r>
      <w:r>
        <w:rPr>
          <w:rFonts w:ascii="幼圆" w:eastAsia="幼圆" w:hAnsi="幼圆" w:cs="幼圆" w:hint="eastAsia"/>
          <w:sz w:val="24"/>
          <w:lang w:eastAsia="zh-Hans"/>
        </w:rPr>
        <w:t>主要从利润表、资产负债表和现金流量表</w:t>
      </w:r>
      <w:r>
        <w:rPr>
          <w:rFonts w:ascii="幼圆" w:eastAsia="幼圆" w:hAnsi="幼圆" w:cs="幼圆" w:hint="eastAsia"/>
          <w:sz w:val="24"/>
          <w:lang w:val="en-US" w:eastAsia="zh-Hans"/>
        </w:rPr>
        <w:t>来分析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公司经营现状。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1.利润表分析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8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利润表是反映企业在</w:t>
      </w:r>
      <w:r>
        <w:rPr>
          <w:rFonts w:ascii="幼圆" w:eastAsia="幼圆" w:hAnsi="幼圆" w:cs="幼圆" w:hint="eastAsia"/>
          <w:sz w:val="24"/>
          <w:lang w:val="en-US" w:eastAsia="zh-Hans"/>
        </w:rPr>
        <w:t>一个</w:t>
      </w:r>
      <w:r>
        <w:rPr>
          <w:rFonts w:ascii="幼圆" w:eastAsia="幼圆" w:hAnsi="幼圆" w:cs="幼圆" w:hint="eastAsia"/>
          <w:sz w:val="24"/>
          <w:lang w:eastAsia="zh-Hans"/>
        </w:rPr>
        <w:t>会计</w:t>
      </w:r>
      <w:r>
        <w:rPr>
          <w:rFonts w:ascii="幼圆" w:eastAsia="幼圆" w:hAnsi="幼圆" w:cs="幼圆" w:hint="eastAsia"/>
          <w:sz w:val="24"/>
          <w:lang w:val="en-US" w:eastAsia="zh-Hans"/>
        </w:rPr>
        <w:t>年度内</w:t>
      </w:r>
      <w:r>
        <w:rPr>
          <w:rFonts w:ascii="幼圆" w:eastAsia="幼圆" w:hAnsi="幼圆" w:cs="幼圆" w:hint="eastAsia"/>
          <w:sz w:val="24"/>
          <w:lang w:eastAsia="zh-Hans"/>
        </w:rPr>
        <w:t>经营成果的财务</w:t>
      </w:r>
      <w:r>
        <w:rPr>
          <w:rFonts w:ascii="幼圆" w:eastAsia="幼圆" w:hAnsi="幼圆" w:cs="幼圆" w:hint="eastAsia"/>
          <w:sz w:val="24"/>
          <w:lang w:val="en-US" w:eastAsia="zh-Hans"/>
        </w:rPr>
        <w:t>报表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其具体内容主要取决于账户的要素和内容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如收入、费用和利润</w:t>
      </w:r>
      <w:r>
        <w:rPr>
          <w:rFonts w:ascii="幼圆" w:eastAsia="幼圆" w:hAnsi="幼圆" w:cs="幼圆" w:hint="eastAsia"/>
          <w:sz w:val="24"/>
          <w:lang w:val="en-US" w:eastAsia="zh-Hans"/>
        </w:rPr>
        <w:t>等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本文整理了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来</w:t>
      </w:r>
      <w:r>
        <w:rPr>
          <w:rFonts w:ascii="幼圆" w:eastAsia="幼圆" w:hAnsi="幼圆" w:cs="幼圆" w:hint="eastAsia"/>
          <w:sz w:val="24"/>
          <w:lang w:eastAsia="zh-Hans"/>
        </w:rPr>
        <w:t>对其利润表进行分析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both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表2 </w:t>
      </w:r>
      <w:r>
        <w:rPr>
          <w:rFonts w:ascii="幼圆" w:eastAsia="幼圆" w:hAnsi="幼圆" w:cs="幼圆" w:hint="eastAsia"/>
          <w:szCs w:val="21"/>
          <w:lang w:eastAsia="zh-CN"/>
        </w:rPr>
        <w:t>揭阳佳隆股份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年利润表（单位：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499"/>
        <w:gridCol w:w="1500"/>
        <w:gridCol w:w="1500"/>
        <w:gridCol w:w="1500"/>
        <w:gridCol w:w="1500"/>
        <w:gridCol w:w="150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营业收入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684.34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1146.25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1749.15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2058.39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2458.66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毛利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72.49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151.54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221.92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285.54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367.52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营业利润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利润总额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202.53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净利润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4.92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-438.26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134.54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100.44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203.56</w:t>
            </w:r>
            <w:r>
              <w:rPr>
                <w:rStyle w:val="FootnoteReference"/>
                <w:rFonts w:ascii="幼圆" w:eastAsia="幼圆" w:hAnsi="幼圆" w:cs="幼圆" w:hint="eastAsia"/>
                <w:szCs w:val="21"/>
                <w:lang w:eastAsia="zh-Hans"/>
              </w:rPr>
              <w:footnoteReference w:id="2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从上述表格可以得出以下结论: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年的营业收入与毛利都表现出上升的趋势。其中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在这五年的数值上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公司的利润方面出现了较大的波动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据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公司的官方回应称</w:t>
      </w:r>
      <w:r>
        <w:rPr>
          <w:rFonts w:ascii="幼圆" w:eastAsia="幼圆" w:hAnsi="幼圆" w:cs="幼圆" w:hint="eastAsia"/>
          <w:sz w:val="24"/>
          <w:lang w:eastAsia="zh-CN"/>
        </w:rPr>
        <w:t>，2019</w:t>
      </w:r>
      <w:r>
        <w:rPr>
          <w:rFonts w:ascii="幼圆" w:eastAsia="幼圆" w:hAnsi="幼圆" w:cs="幼圆" w:hint="eastAsia"/>
          <w:sz w:val="24"/>
          <w:lang w:eastAsia="zh-Hans"/>
        </w:rPr>
        <w:t>年的净利润之所以出现负值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发行了融资中的可转换可赎回优先股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(刘佳欣 ,陈雨婷)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公司经营情况良好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那么将会有更多的</w:t>
      </w:r>
      <w:r>
        <w:rPr>
          <w:rFonts w:ascii="幼圆" w:eastAsia="幼圆" w:hAnsi="幼圆" w:cs="幼圆" w:hint="eastAsia"/>
          <w:sz w:val="24"/>
          <w:lang w:eastAsia="zh-CN"/>
        </w:rPr>
        <w:t>鸡精调味粉行业</w:t>
      </w:r>
      <w:r>
        <w:rPr>
          <w:rFonts w:ascii="幼圆" w:eastAsia="幼圆" w:hAnsi="幼圆" w:cs="幼圆" w:hint="eastAsia"/>
          <w:sz w:val="24"/>
          <w:lang w:eastAsia="zh-Hans"/>
        </w:rPr>
        <w:t>投资者选择将优先股的购买权利转变成普通股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从而使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公允价值提高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负债增加</w:t>
      </w:r>
      <w:r>
        <w:rPr>
          <w:rFonts w:ascii="幼圆" w:eastAsia="幼圆" w:hAnsi="幼圆" w:cs="幼圆" w:hint="eastAsia"/>
          <w:sz w:val="24"/>
          <w:lang w:val="en-US" w:eastAsia="zh-Hans"/>
        </w:rPr>
        <w:t>的同时则会导致</w:t>
      </w:r>
      <w:r>
        <w:rPr>
          <w:rFonts w:ascii="幼圆" w:eastAsia="幼圆" w:hAnsi="幼圆" w:cs="幼圆" w:hint="eastAsia"/>
          <w:sz w:val="24"/>
          <w:lang w:eastAsia="zh-Hans"/>
        </w:rPr>
        <w:t>利润表出现公允价值变动损失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所以仅从利润</w:t>
      </w:r>
      <w:r>
        <w:rPr>
          <w:rFonts w:ascii="幼圆" w:eastAsia="幼圆" w:hAnsi="幼圆" w:cs="幼圆" w:hint="eastAsia"/>
          <w:sz w:val="24"/>
          <w:lang w:val="en-US" w:eastAsia="zh-Hans"/>
        </w:rPr>
        <w:t>方面</w:t>
      </w:r>
      <w:r>
        <w:rPr>
          <w:rFonts w:ascii="幼圆" w:eastAsia="幼圆" w:hAnsi="幼圆" w:cs="幼圆" w:hint="eastAsia"/>
          <w:sz w:val="24"/>
          <w:lang w:eastAsia="zh-Hans"/>
        </w:rPr>
        <w:t>来判断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公司是否亏损是不合理的。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2.资产负债表分析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资产负债表的主要</w:t>
      </w:r>
      <w:r>
        <w:rPr>
          <w:rFonts w:ascii="幼圆" w:eastAsia="幼圆" w:hAnsi="幼圆" w:cs="幼圆" w:hint="eastAsia"/>
          <w:sz w:val="24"/>
          <w:lang w:val="en-US" w:eastAsia="zh-Hans"/>
        </w:rPr>
        <w:t>用途</w:t>
      </w:r>
      <w:r>
        <w:rPr>
          <w:rFonts w:ascii="幼圆" w:eastAsia="幼圆" w:hAnsi="幼圆" w:cs="幼圆" w:hint="eastAsia"/>
          <w:sz w:val="24"/>
          <w:lang w:eastAsia="zh-Hans"/>
        </w:rPr>
        <w:t>是</w:t>
      </w:r>
      <w:r>
        <w:rPr>
          <w:rFonts w:ascii="幼圆" w:eastAsia="幼圆" w:hAnsi="幼圆" w:cs="幼圆" w:hint="eastAsia"/>
          <w:sz w:val="24"/>
          <w:lang w:val="en-US" w:eastAsia="zh-Hans"/>
        </w:rPr>
        <w:t>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财务状况</w:t>
      </w:r>
      <w:r>
        <w:rPr>
          <w:rFonts w:ascii="幼圆" w:eastAsia="幼圆" w:hAnsi="幼圆" w:cs="幼圆" w:hint="eastAsia"/>
          <w:sz w:val="24"/>
          <w:lang w:val="en-US" w:eastAsia="zh-Hans"/>
        </w:rPr>
        <w:t>提供</w:t>
      </w:r>
      <w:r>
        <w:rPr>
          <w:rFonts w:ascii="幼圆" w:eastAsia="幼圆" w:hAnsi="幼圆" w:cs="幼圆" w:hint="eastAsia"/>
          <w:sz w:val="24"/>
          <w:lang w:eastAsia="zh-Hans"/>
        </w:rPr>
        <w:t>信息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资产负债表显示了</w:t>
      </w:r>
      <w:r>
        <w:rPr>
          <w:rFonts w:ascii="幼圆" w:eastAsia="幼圆" w:hAnsi="幼圆" w:cs="幼圆" w:hint="eastAsia"/>
          <w:sz w:val="24"/>
          <w:lang w:eastAsia="zh-CN"/>
        </w:rPr>
        <w:t>佳隆股份</w:t>
      </w:r>
      <w:r>
        <w:rPr>
          <w:rFonts w:ascii="幼圆" w:eastAsia="幼圆" w:hAnsi="幼圆" w:cs="幼圆" w:hint="eastAsia"/>
          <w:sz w:val="24"/>
          <w:lang w:eastAsia="zh-Hans"/>
        </w:rPr>
        <w:t>企业拥有或控制的资源及其分配情况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以确定</w:t>
      </w:r>
      <w:r>
        <w:rPr>
          <w:rFonts w:ascii="幼圆" w:eastAsia="幼圆" w:hAnsi="幼圆" w:cs="幼圆" w:hint="eastAsia"/>
          <w:sz w:val="24"/>
          <w:lang w:eastAsia="zh-CN"/>
        </w:rPr>
        <w:t>鸡精调味粉</w:t>
      </w:r>
      <w:r>
        <w:rPr>
          <w:rFonts w:ascii="幼圆" w:eastAsia="幼圆" w:hAnsi="幼圆" w:cs="幼圆" w:hint="eastAsia"/>
          <w:sz w:val="24"/>
          <w:lang w:eastAsia="zh-Hans"/>
        </w:rPr>
        <w:t>企业在特定时期如何产生利润。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本文对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年的财务数据进行了梳理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以此来对</w:t>
      </w:r>
      <w:r>
        <w:rPr>
          <w:rFonts w:ascii="幼圆" w:eastAsia="幼圆" w:hAnsi="幼圆" w:cs="幼圆" w:hint="eastAsia"/>
          <w:sz w:val="24"/>
          <w:lang w:eastAsia="zh-Hans"/>
        </w:rPr>
        <w:t>资产负债表进行分析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center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表1 </w:t>
      </w:r>
      <w:r>
        <w:rPr>
          <w:rFonts w:ascii="幼圆" w:eastAsia="幼圆" w:hAnsi="幼圆" w:cs="幼圆" w:hint="eastAsia"/>
          <w:szCs w:val="21"/>
          <w:lang w:eastAsia="zh-CN"/>
        </w:rPr>
        <w:t>揭阳佳隆股份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年资产负债表（单位：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94"/>
        <w:gridCol w:w="1214"/>
        <w:gridCol w:w="1389"/>
        <w:gridCol w:w="1420"/>
        <w:gridCol w:w="1404"/>
        <w:gridCol w:w="124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90"/>
        </w:trPr>
        <w:tc>
          <w:tcPr>
            <w:tcW w:w="19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项目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流动资产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306.36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611.38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1060.13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1375.39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1762.83</w:t>
            </w:r>
          </w:p>
        </w:tc>
      </w:tr>
    </w:tbl>
    <w:p>
      <w:pPr>
        <w:sectPr>
          <w:footerReference w:type="default" r:id="rId9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space="708"/>
          <w:titlePg w:val="0"/>
          <w:rtlGutter w:val="0"/>
          <w:docGrid w:type="lines" w:linePitch="312" w:charSpace="0"/>
        </w:sectPr>
      </w:pPr>
    </w:p>
    <w:tbl>
      <w:tblPr>
        <w:tblStyle w:val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94"/>
        <w:gridCol w:w="1214"/>
        <w:gridCol w:w="1389"/>
        <w:gridCol w:w="1420"/>
        <w:gridCol w:w="1404"/>
        <w:gridCol w:w="124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其中：货币资金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0.00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330.76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489.81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855.85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应收账款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20.90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54.70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55.98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69.49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103.61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存货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83.78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163.43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294.81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325.85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416.71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非流动资产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201.29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287.31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392.15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460.90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773.97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其中：固定资产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43.42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51.47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84.71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69.92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63.06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资产合计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507.66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898.70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1452.28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1836.29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2536.80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流动负债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260.63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471.33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619.40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921.81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1079.27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其中：短期借款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37.69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35.51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30.75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128.37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69.62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应付账款及票据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175.78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340.03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462.87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595.28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721.99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非流动负债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1167.60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1699.48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120.38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97.91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217.39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负债合计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1428.23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2170.80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739.78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1019.72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1296.66</w:t>
            </w:r>
            <w:r>
              <w:rPr>
                <w:rStyle w:val="FootnoteReference"/>
                <w:rFonts w:ascii="幼圆" w:eastAsia="幼圆" w:hAnsi="幼圆" w:cs="幼圆" w:hint="eastAsia"/>
                <w:szCs w:val="21"/>
                <w:lang w:eastAsia="zh-Hans"/>
              </w:rPr>
              <w:footnoteReference w:id="3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从上述表格可以得出以下结论: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（1）在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公司的总资产呈明显的增加状态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在资产负债表中可以看出</w:t>
      </w:r>
      <w:r>
        <w:rPr>
          <w:rFonts w:ascii="幼圆" w:eastAsia="幼圆" w:hAnsi="幼圆" w:cs="幼圆" w:hint="eastAsia"/>
          <w:sz w:val="24"/>
          <w:lang w:eastAsia="zh-CN"/>
        </w:rPr>
        <w:t>佳隆股份</w:t>
      </w:r>
      <w:r>
        <w:rPr>
          <w:rFonts w:ascii="幼圆" w:eastAsia="幼圆" w:hAnsi="幼圆" w:cs="幼圆" w:hint="eastAsia"/>
          <w:sz w:val="24"/>
          <w:lang w:eastAsia="zh-Hans"/>
        </w:rPr>
        <w:t>资产总额从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507.66</w:t>
      </w:r>
      <w:r>
        <w:rPr>
          <w:rFonts w:ascii="幼圆" w:eastAsia="幼圆" w:hAnsi="幼圆" w:cs="幼圆" w:hint="eastAsia"/>
          <w:sz w:val="24"/>
          <w:lang w:eastAsia="zh-CN"/>
        </w:rPr>
        <w:t>百万元</w:t>
      </w:r>
      <w:r>
        <w:rPr>
          <w:rFonts w:ascii="幼圆" w:eastAsia="幼圆" w:hAnsi="幼圆" w:cs="幼圆" w:hint="eastAsia"/>
          <w:sz w:val="24"/>
          <w:lang w:eastAsia="zh-Hans"/>
        </w:rPr>
        <w:t>上涨到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年的2536.80</w:t>
      </w:r>
      <w:r>
        <w:rPr>
          <w:rFonts w:ascii="幼圆" w:eastAsia="幼圆" w:hAnsi="幼圆" w:cs="幼圆" w:hint="eastAsia"/>
          <w:sz w:val="24"/>
          <w:lang w:eastAsia="zh-CN"/>
        </w:rPr>
        <w:t>百万元，</w:t>
      </w:r>
      <w:r>
        <w:rPr>
          <w:rFonts w:ascii="幼圆" w:eastAsia="幼圆" w:hAnsi="幼圆" w:cs="幼圆" w:hint="eastAsia"/>
          <w:sz w:val="24"/>
          <w:lang w:eastAsia="zh-Hans"/>
        </w:rPr>
        <w:t>其中以</w:t>
      </w:r>
      <w:r>
        <w:rPr>
          <w:rFonts w:ascii="幼圆" w:eastAsia="幼圆" w:hAnsi="幼圆" w:cs="幼圆" w:hint="eastAsia"/>
          <w:sz w:val="24"/>
          <w:lang w:eastAsia="zh-CN"/>
        </w:rPr>
        <w:t>2019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2020</w:t>
      </w:r>
      <w:r>
        <w:rPr>
          <w:rFonts w:ascii="幼圆" w:eastAsia="幼圆" w:hAnsi="幼圆" w:cs="幼圆" w:hint="eastAsia"/>
          <w:sz w:val="24"/>
          <w:lang w:eastAsia="zh-Hans"/>
        </w:rPr>
        <w:t>年间上涨的幅度最为明显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主要是因为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的股权改革</w:t>
      </w:r>
      <w:r>
        <w:rPr>
          <w:rFonts w:ascii="幼圆" w:eastAsia="幼圆" w:hAnsi="幼圆" w:cs="幼圆" w:hint="eastAsia"/>
          <w:sz w:val="24"/>
          <w:lang w:eastAsia="zh-Hans"/>
        </w:rPr>
        <w:t>资金得以回笼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所以总的来说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公司的资产表现出迅速扩张。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（2）其中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在流动资产方面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由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年的306.36</w:t>
      </w:r>
      <w:r>
        <w:rPr>
          <w:rFonts w:ascii="幼圆" w:eastAsia="幼圆" w:hAnsi="幼圆" w:cs="幼圆" w:hint="eastAsia"/>
          <w:sz w:val="24"/>
          <w:lang w:eastAsia="zh-CN"/>
        </w:rPr>
        <w:t>百万元</w:t>
      </w:r>
      <w:r>
        <w:rPr>
          <w:rFonts w:ascii="幼圆" w:eastAsia="幼圆" w:hAnsi="幼圆" w:cs="幼圆" w:hint="eastAsia"/>
          <w:sz w:val="24"/>
          <w:lang w:val="en-US" w:eastAsia="zh-Hans"/>
        </w:rPr>
        <w:t>增至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年的1762.83</w:t>
      </w:r>
      <w:r>
        <w:rPr>
          <w:rFonts w:ascii="幼圆" w:eastAsia="幼圆" w:hAnsi="幼圆" w:cs="幼圆" w:hint="eastAsia"/>
          <w:sz w:val="24"/>
          <w:lang w:eastAsia="zh-CN"/>
        </w:rPr>
        <w:t>百万元，</w:t>
      </w:r>
      <w:r>
        <w:rPr>
          <w:rFonts w:ascii="幼圆" w:eastAsia="幼圆" w:hAnsi="幼圆" w:cs="幼圆" w:hint="eastAsia"/>
          <w:sz w:val="24"/>
          <w:lang w:eastAsia="zh-Hans"/>
        </w:rPr>
        <w:t>增</w:t>
      </w:r>
      <w:r>
        <w:rPr>
          <w:rFonts w:ascii="幼圆" w:eastAsia="幼圆" w:hAnsi="幼圆" w:cs="幼圆" w:hint="eastAsia"/>
          <w:sz w:val="24"/>
          <w:lang w:val="en-US" w:eastAsia="zh-Hans"/>
        </w:rPr>
        <w:t>幅达</w:t>
      </w:r>
      <w:r>
        <w:rPr>
          <w:rFonts w:ascii="幼圆" w:eastAsia="幼圆" w:hAnsi="幼圆" w:cs="幼圆" w:hint="eastAsia"/>
          <w:sz w:val="24"/>
          <w:lang w:eastAsia="zh-Hans"/>
        </w:rPr>
        <w:t>1456.47</w:t>
      </w:r>
      <w:r>
        <w:rPr>
          <w:rFonts w:ascii="幼圆" w:eastAsia="幼圆" w:hAnsi="幼圆" w:cs="幼圆" w:hint="eastAsia"/>
          <w:sz w:val="24"/>
          <w:lang w:eastAsia="zh-CN"/>
        </w:rPr>
        <w:t>百万元。</w:t>
      </w:r>
      <w:r>
        <w:rPr>
          <w:rFonts w:ascii="幼圆" w:eastAsia="幼圆" w:hAnsi="幼圆" w:cs="幼圆" w:hint="eastAsia"/>
          <w:sz w:val="24"/>
          <w:lang w:eastAsia="zh-Hans"/>
        </w:rPr>
        <w:t>由此可见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近</w:t>
      </w:r>
      <w:r>
        <w:rPr>
          <w:rFonts w:ascii="幼圆" w:eastAsia="幼圆" w:hAnsi="幼圆" w:cs="幼圆" w:hint="eastAsia"/>
          <w:sz w:val="24"/>
          <w:lang w:eastAsia="zh-Hans"/>
        </w:rPr>
        <w:t>五个会计年度</w:t>
      </w:r>
      <w:r>
        <w:rPr>
          <w:rFonts w:ascii="幼圆" w:eastAsia="幼圆" w:hAnsi="幼圆" w:cs="幼圆" w:hint="eastAsia"/>
          <w:sz w:val="24"/>
          <w:lang w:eastAsia="zh-CN"/>
        </w:rPr>
        <w:t>，佳隆股份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</w:t>
      </w:r>
      <w:r>
        <w:rPr>
          <w:rFonts w:ascii="幼圆" w:eastAsia="幼圆" w:hAnsi="幼圆" w:cs="幼圆" w:hint="eastAsia"/>
          <w:sz w:val="24"/>
          <w:lang w:eastAsia="zh-Hans"/>
        </w:rPr>
        <w:t>资产总额快速</w:t>
      </w:r>
      <w:r>
        <w:rPr>
          <w:rFonts w:ascii="幼圆" w:eastAsia="幼圆" w:hAnsi="幼圆" w:cs="幼圆" w:hint="eastAsia"/>
          <w:sz w:val="24"/>
          <w:lang w:val="en-US" w:eastAsia="zh-Hans"/>
        </w:rPr>
        <w:t>增长</w:t>
      </w:r>
      <w:r>
        <w:rPr>
          <w:rFonts w:ascii="幼圆" w:eastAsia="幼圆" w:hAnsi="幼圆" w:cs="幼圆" w:hint="eastAsia"/>
          <w:sz w:val="24"/>
          <w:lang w:eastAsia="zh-Hans"/>
        </w:rPr>
        <w:t>主要</w:t>
      </w:r>
      <w:r>
        <w:rPr>
          <w:rFonts w:ascii="幼圆" w:eastAsia="幼圆" w:hAnsi="幼圆" w:cs="幼圆" w:hint="eastAsia"/>
          <w:sz w:val="24"/>
          <w:lang w:val="en-US"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val="en-US" w:eastAsia="zh-Hans"/>
        </w:rPr>
        <w:t>公司</w:t>
      </w:r>
      <w:r>
        <w:rPr>
          <w:rFonts w:ascii="幼圆" w:eastAsia="幼圆" w:hAnsi="幼圆" w:cs="幼圆" w:hint="eastAsia"/>
          <w:sz w:val="24"/>
          <w:lang w:eastAsia="zh-Hans"/>
        </w:rPr>
        <w:t>流动资产增</w:t>
      </w:r>
      <w:r>
        <w:rPr>
          <w:rFonts w:ascii="幼圆" w:eastAsia="幼圆" w:hAnsi="幼圆" w:cs="幼圆" w:hint="eastAsia"/>
          <w:sz w:val="24"/>
          <w:lang w:val="en-US" w:eastAsia="zh-Hans"/>
        </w:rPr>
        <w:t>加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（3）在存货这一类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公司的总体趋势也呈上升状态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这说明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公司的存货水平也呈现</w:t>
      </w:r>
      <w:r>
        <w:rPr>
          <w:rFonts w:ascii="幼圆" w:eastAsia="幼圆" w:hAnsi="幼圆" w:cs="幼圆" w:hint="eastAsia"/>
          <w:sz w:val="24"/>
          <w:lang w:val="en-US" w:eastAsia="zh-Hans"/>
        </w:rPr>
        <w:t>出</w:t>
      </w:r>
      <w:r>
        <w:rPr>
          <w:rFonts w:ascii="幼圆" w:eastAsia="幼圆" w:hAnsi="幼圆" w:cs="幼圆" w:hint="eastAsia"/>
          <w:sz w:val="24"/>
          <w:lang w:eastAsia="zh-Hans"/>
        </w:rPr>
        <w:t>一个相对健康的状态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(谢宇轩 ,孙紫)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（4）在流动负债方面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可以看出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公司表现出逐年上升趋势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主要是因为企业在流动负债方面做了调整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也说明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公司当前的流动负债结构更适合企业自身的发展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同时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公司的偿债能力也是十分可观的。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10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（5）在非流动负债方面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公司呈明显的下降趋势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这也反映出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公司的债务压力正在日益减轻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3.现金流量表分析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现金流量表</w:t>
      </w:r>
      <w:r>
        <w:rPr>
          <w:rFonts w:ascii="幼圆" w:eastAsia="幼圆" w:hAnsi="幼圆" w:cs="幼圆" w:hint="eastAsia"/>
          <w:sz w:val="24"/>
          <w:lang w:val="en-US" w:eastAsia="zh-Hans"/>
        </w:rPr>
        <w:t>是以</w:t>
      </w:r>
      <w:r>
        <w:rPr>
          <w:rFonts w:ascii="幼圆" w:eastAsia="幼圆" w:hAnsi="幼圆" w:cs="幼圆" w:hint="eastAsia"/>
          <w:sz w:val="24"/>
          <w:lang w:eastAsia="zh-Hans"/>
        </w:rPr>
        <w:t>现金和现金等价物</w:t>
      </w:r>
      <w:r>
        <w:rPr>
          <w:rFonts w:ascii="幼圆" w:eastAsia="幼圆" w:hAnsi="幼圆" w:cs="幼圆" w:hint="eastAsia"/>
          <w:sz w:val="24"/>
          <w:lang w:val="en-US" w:eastAsia="zh-Hans"/>
        </w:rPr>
        <w:t>为基础编制的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是反映其</w:t>
      </w:r>
      <w:r>
        <w:rPr>
          <w:rFonts w:ascii="幼圆" w:eastAsia="幼圆" w:hAnsi="幼圆" w:cs="幼圆" w:hint="eastAsia"/>
          <w:sz w:val="24"/>
          <w:lang w:eastAsia="zh-Hans"/>
        </w:rPr>
        <w:t>流入和流出</w:t>
      </w:r>
      <w:r>
        <w:rPr>
          <w:rFonts w:ascii="幼圆" w:eastAsia="幼圆" w:hAnsi="幼圆" w:cs="幼圆" w:hint="eastAsia"/>
          <w:sz w:val="24"/>
          <w:lang w:val="en-US" w:eastAsia="zh-Hans"/>
        </w:rPr>
        <w:t>情况的报表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</w:t>
      </w:r>
      <w:r>
        <w:rPr>
          <w:rFonts w:ascii="幼圆" w:eastAsia="幼圆" w:hAnsi="幼圆" w:cs="幼圆" w:hint="eastAsia"/>
          <w:sz w:val="24"/>
          <w:lang w:val="en-US" w:eastAsia="zh-Hans"/>
        </w:rPr>
        <w:t>部分对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</w:t>
      </w:r>
      <w:r>
        <w:rPr>
          <w:rFonts w:ascii="幼圆" w:eastAsia="幼圆" w:hAnsi="幼圆" w:cs="幼圆" w:hint="eastAsia"/>
          <w:sz w:val="24"/>
          <w:lang w:val="en-US" w:eastAsia="zh-Hans"/>
        </w:rPr>
        <w:t>进行了梳理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以此来</w:t>
      </w:r>
      <w:r>
        <w:rPr>
          <w:rFonts w:ascii="幼圆" w:eastAsia="幼圆" w:hAnsi="幼圆" w:cs="幼圆" w:hint="eastAsia"/>
          <w:sz w:val="24"/>
          <w:lang w:eastAsia="zh-Hans"/>
        </w:rPr>
        <w:t>对现金流量表进行分析，具体</w:t>
      </w:r>
      <w:r>
        <w:rPr>
          <w:rFonts w:ascii="幼圆" w:eastAsia="幼圆" w:hAnsi="幼圆" w:cs="幼圆" w:hint="eastAsia"/>
          <w:sz w:val="24"/>
          <w:lang w:val="en-US" w:eastAsia="zh-Hans"/>
        </w:rPr>
        <w:t>内容</w:t>
      </w:r>
      <w:r>
        <w:rPr>
          <w:rFonts w:ascii="幼圆" w:eastAsia="幼圆" w:hAnsi="幼圆" w:cs="幼圆" w:hint="eastAsia"/>
          <w:sz w:val="24"/>
          <w:lang w:eastAsia="zh-Hans"/>
        </w:rPr>
        <w:t>如下</w:t>
      </w:r>
      <w:r>
        <w:rPr>
          <w:rFonts w:ascii="幼圆" w:eastAsia="幼圆" w:hAnsi="幼圆" w:cs="幼圆" w:hint="eastAsia"/>
          <w:sz w:val="24"/>
          <w:lang w:val="en-US" w:eastAsia="zh-Hans"/>
        </w:rPr>
        <w:t>表所示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20" w:firstLineChars="200"/>
        <w:jc w:val="center"/>
        <w:rPr>
          <w:rFonts w:ascii="幼圆" w:eastAsia="幼圆" w:hAnsi="幼圆" w:cs="幼圆" w:hint="eastAsia"/>
          <w:b/>
          <w:bCs/>
          <w:sz w:val="24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表3 </w:t>
      </w:r>
      <w:r>
        <w:rPr>
          <w:rFonts w:ascii="幼圆" w:eastAsia="幼圆" w:hAnsi="幼圆" w:cs="幼圆" w:hint="eastAsia"/>
          <w:szCs w:val="21"/>
          <w:lang w:eastAsia="zh-CN"/>
        </w:rPr>
        <w:t>揭阳佳隆股份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年现金流量</w:t>
      </w:r>
      <w:r>
        <w:rPr>
          <w:rFonts w:ascii="幼圆" w:eastAsia="幼圆" w:hAnsi="幼圆" w:cs="幼圆" w:hint="eastAsia"/>
          <w:szCs w:val="21"/>
          <w:lang w:val="en-US" w:eastAsia="zh-Hans"/>
        </w:rPr>
        <w:t>情况</w:t>
      </w:r>
      <w:r>
        <w:rPr>
          <w:rFonts w:ascii="幼圆" w:eastAsia="幼圆" w:hAnsi="幼圆" w:cs="幼圆" w:hint="eastAsia"/>
          <w:szCs w:val="21"/>
          <w:lang w:eastAsia="zh-Hans"/>
        </w:rPr>
        <w:t>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152"/>
        <w:gridCol w:w="1240"/>
        <w:gridCol w:w="1180"/>
        <w:gridCol w:w="1160"/>
        <w:gridCol w:w="1200"/>
        <w:gridCol w:w="106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1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年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年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年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年</w:t>
            </w:r>
          </w:p>
        </w:tc>
        <w:tc>
          <w:tcPr>
            <w:tcW w:w="10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经营活动现金流量净额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45.31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-9.96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-14.15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238.10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218.79</w:t>
            </w:r>
          </w:p>
        </w:tc>
      </w:tr>
      <w:tr>
        <w:tblPrEx>
          <w:tblW w:w="0" w:type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b/>
                <w:bCs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投资活动现金流量净额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-37.35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-26.78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-75.08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-315.70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-176.79</w:t>
            </w:r>
          </w:p>
        </w:tc>
      </w:tr>
      <w:tr>
        <w:tblPrEx>
          <w:tblW w:w="0" w:type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融资活动现金流量净额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-7214.10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62.15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265.74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31.21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262.16</w:t>
            </w:r>
          </w:p>
        </w:tc>
      </w:tr>
      <w:tr>
        <w:tblPrEx>
          <w:tblW w:w="0" w:type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31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现金及现金等价物净增加额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7.24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25.42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176.52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-46.39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t>304.15</w:t>
            </w:r>
            <w:r>
              <w:rPr>
                <w:rStyle w:val="FootnoteReference"/>
                <w:rFonts w:ascii="幼圆" w:eastAsia="幼圆" w:hAnsi="幼圆" w:cs="幼圆" w:hint="eastAsia"/>
                <w:color w:val="000000"/>
                <w:szCs w:val="21"/>
                <w:lang w:eastAsia="zh-Hans"/>
              </w:rPr>
              <w:footnoteReference w:id="4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</w:t>
      </w:r>
      <w:r>
        <w:rPr>
          <w:rFonts w:ascii="幼圆" w:eastAsia="幼圆" w:hAnsi="幼圆" w:cs="幼圆" w:hint="eastAsia"/>
          <w:sz w:val="24"/>
          <w:lang w:val="en-US" w:eastAsia="zh-Hans"/>
        </w:rPr>
        <w:t>上述</w:t>
      </w:r>
      <w:r>
        <w:rPr>
          <w:rFonts w:ascii="幼圆" w:eastAsia="幼圆" w:hAnsi="幼圆" w:cs="幼圆" w:hint="eastAsia"/>
          <w:sz w:val="24"/>
          <w:lang w:eastAsia="zh-Hans"/>
        </w:rPr>
        <w:t>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经营活动现金流量净额从</w:t>
      </w:r>
      <w:r>
        <w:rPr>
          <w:rFonts w:ascii="幼圆" w:eastAsia="幼圆" w:hAnsi="幼圆" w:cs="幼圆" w:hint="eastAsia"/>
          <w:sz w:val="24"/>
          <w:lang w:eastAsia="zh-CN"/>
        </w:rPr>
        <w:t>2019</w:t>
      </w:r>
      <w:r>
        <w:rPr>
          <w:rFonts w:ascii="幼圆" w:eastAsia="幼圆" w:hAnsi="幼圆" w:cs="幼圆" w:hint="eastAsia"/>
          <w:sz w:val="24"/>
          <w:lang w:eastAsia="zh-Hans"/>
        </w:rPr>
        <w:t>年的-9.96</w:t>
      </w:r>
      <w:r>
        <w:rPr>
          <w:rFonts w:ascii="幼圆" w:eastAsia="幼圆" w:hAnsi="幼圆" w:cs="幼圆" w:hint="eastAsia"/>
          <w:sz w:val="24"/>
          <w:lang w:eastAsia="zh-CN"/>
        </w:rPr>
        <w:t>百万元</w:t>
      </w:r>
      <w:r>
        <w:rPr>
          <w:rFonts w:ascii="幼圆" w:eastAsia="幼圆" w:hAnsi="幼圆" w:cs="幼圆" w:hint="eastAsia"/>
          <w:sz w:val="24"/>
          <w:lang w:eastAsia="zh-Hans"/>
        </w:rPr>
        <w:t>增加到</w:t>
      </w:r>
      <w:r>
        <w:rPr>
          <w:rFonts w:ascii="幼圆" w:eastAsia="幼圆" w:hAnsi="幼圆" w:cs="幼圆" w:hint="eastAsia"/>
          <w:sz w:val="24"/>
          <w:lang w:eastAsia="zh-CN"/>
        </w:rPr>
        <w:t>2021</w:t>
      </w:r>
      <w:r>
        <w:rPr>
          <w:rFonts w:ascii="幼圆" w:eastAsia="幼圆" w:hAnsi="幼圆" w:cs="幼圆" w:hint="eastAsia"/>
          <w:sz w:val="24"/>
          <w:lang w:eastAsia="zh-Hans"/>
        </w:rPr>
        <w:t>年的238.10</w:t>
      </w:r>
      <w:r>
        <w:rPr>
          <w:rFonts w:ascii="幼圆" w:eastAsia="幼圆" w:hAnsi="幼圆" w:cs="幼圆" w:hint="eastAsia"/>
          <w:sz w:val="24"/>
          <w:lang w:eastAsia="zh-CN"/>
        </w:rPr>
        <w:t>百万元，</w:t>
      </w:r>
      <w:r>
        <w:rPr>
          <w:rFonts w:ascii="幼圆" w:eastAsia="幼圆" w:hAnsi="幼圆" w:cs="幼圆" w:hint="eastAsia"/>
          <w:sz w:val="24"/>
          <w:lang w:eastAsia="zh-Hans"/>
        </w:rPr>
        <w:t>之所以出现这么大的转变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在</w:t>
      </w:r>
      <w:r>
        <w:rPr>
          <w:rFonts w:ascii="幼圆" w:eastAsia="幼圆" w:hAnsi="幼圆" w:cs="幼圆" w:hint="eastAsia"/>
          <w:sz w:val="24"/>
          <w:lang w:eastAsia="zh-Hans"/>
        </w:rPr>
        <w:t>上市前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Hans"/>
        </w:rPr>
        <w:t>开拓市场投入了大量的资金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引起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公司出现收入无法覆盖支出的情景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但是</w:t>
      </w:r>
      <w:r>
        <w:rPr>
          <w:rFonts w:ascii="幼圆" w:eastAsia="幼圆" w:hAnsi="幼圆" w:cs="幼圆" w:hint="eastAsia"/>
          <w:sz w:val="24"/>
          <w:lang w:eastAsia="zh-CN"/>
        </w:rPr>
        <w:t>2020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正式</w:t>
      </w:r>
      <w:r>
        <w:rPr>
          <w:rFonts w:ascii="幼圆" w:eastAsia="幼圆" w:hAnsi="幼圆" w:cs="幼圆" w:hint="eastAsia"/>
          <w:sz w:val="24"/>
          <w:lang w:eastAsia="zh-Hans"/>
        </w:rPr>
        <w:t>上市之后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自</w:t>
      </w:r>
      <w:r>
        <w:rPr>
          <w:rFonts w:ascii="幼圆" w:eastAsia="幼圆" w:hAnsi="幼圆" w:cs="幼圆" w:hint="eastAsia"/>
          <w:sz w:val="24"/>
          <w:lang w:eastAsia="zh-CN"/>
        </w:rPr>
        <w:t>2021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佳隆股份</w:t>
      </w:r>
      <w:r>
        <w:rPr>
          <w:rFonts w:ascii="幼圆" w:eastAsia="幼圆" w:hAnsi="幼圆" w:cs="幼圆" w:hint="eastAsia"/>
          <w:sz w:val="24"/>
          <w:lang w:eastAsia="zh-Hans"/>
        </w:rPr>
        <w:t>开始经营现金流量净额</w:t>
      </w:r>
      <w:r>
        <w:rPr>
          <w:rFonts w:ascii="幼圆" w:eastAsia="幼圆" w:hAnsi="幼圆" w:cs="幼圆" w:hint="eastAsia"/>
          <w:sz w:val="24"/>
          <w:lang w:val="en-US" w:eastAsia="zh-Hans"/>
        </w:rPr>
        <w:t>开始</w:t>
      </w:r>
      <w:r>
        <w:rPr>
          <w:rFonts w:ascii="幼圆" w:eastAsia="幼圆" w:hAnsi="幼圆" w:cs="幼圆" w:hint="eastAsia"/>
          <w:sz w:val="24"/>
          <w:lang w:eastAsia="zh-Hans"/>
        </w:rPr>
        <w:t>出现上升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这说明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公司的企业发展已经进入了新</w:t>
      </w:r>
      <w:r>
        <w:rPr>
          <w:rFonts w:ascii="幼圆" w:eastAsia="幼圆" w:hAnsi="幼圆" w:cs="幼圆" w:hint="eastAsia"/>
          <w:sz w:val="24"/>
          <w:lang w:val="en-US" w:eastAsia="zh-Hans"/>
        </w:rPr>
        <w:t>阶段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(周文静 ,李梓涵 ,张泽)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（2）在投资活动现金流量净额中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</w:t>
      </w:r>
      <w:r>
        <w:rPr>
          <w:rFonts w:ascii="幼圆" w:eastAsia="幼圆" w:hAnsi="幼圆" w:cs="幼圆" w:hint="eastAsia"/>
          <w:sz w:val="24"/>
          <w:lang w:eastAsia="zh-Hans"/>
        </w:rPr>
        <w:t>看</w:t>
      </w:r>
      <w:r>
        <w:rPr>
          <w:rFonts w:ascii="幼圆" w:eastAsia="幼圆" w:hAnsi="幼圆" w:cs="幼圆" w:hint="eastAsia"/>
          <w:sz w:val="24"/>
          <w:lang w:val="en-US" w:eastAsia="zh-Hans"/>
        </w:rPr>
        <w:t>到</w:t>
      </w:r>
      <w:r>
        <w:rPr>
          <w:rFonts w:ascii="幼圆" w:eastAsia="幼圆" w:hAnsi="幼圆" w:cs="幼圆" w:hint="eastAsia"/>
          <w:sz w:val="24"/>
          <w:lang w:eastAsia="zh-Hans"/>
        </w:rPr>
        <w:t>从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年-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公司的投资活动现金流量净额出现了下降的</w:t>
      </w:r>
      <w:r>
        <w:rPr>
          <w:rFonts w:ascii="幼圆" w:eastAsia="幼圆" w:hAnsi="幼圆" w:cs="幼圆" w:hint="eastAsia"/>
          <w:sz w:val="24"/>
          <w:lang w:val="en-US" w:eastAsia="zh-Hans"/>
        </w:rPr>
        <w:t>倾向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</w:t>
      </w:r>
      <w:r>
        <w:rPr>
          <w:rFonts w:ascii="幼圆" w:eastAsia="幼圆" w:hAnsi="幼圆" w:cs="幼圆" w:hint="eastAsia"/>
          <w:sz w:val="24"/>
          <w:lang w:val="en-US" w:eastAsia="zh-Hans"/>
        </w:rPr>
        <w:t>表</w:t>
      </w:r>
      <w:r>
        <w:rPr>
          <w:rFonts w:ascii="幼圆" w:eastAsia="幼圆" w:hAnsi="幼圆" w:cs="幼圆" w:hint="eastAsia"/>
          <w:sz w:val="24"/>
          <w:lang w:eastAsia="zh-Hans"/>
        </w:rPr>
        <w:t>明</w:t>
      </w:r>
      <w:r>
        <w:rPr>
          <w:rFonts w:ascii="幼圆" w:eastAsia="幼圆" w:hAnsi="幼圆" w:cs="幼圆" w:hint="eastAsia"/>
          <w:sz w:val="24"/>
          <w:lang w:val="en-US" w:eastAsia="zh-CN"/>
        </w:rPr>
        <w:t>揭阳佳隆股份公司</w:t>
      </w:r>
      <w:r>
        <w:rPr>
          <w:rFonts w:ascii="幼圆" w:eastAsia="幼圆" w:hAnsi="幼圆" w:cs="幼圆" w:hint="eastAsia"/>
          <w:sz w:val="24"/>
          <w:lang w:val="en-US" w:eastAsia="zh-Hans"/>
        </w:rPr>
        <w:t>有更多的</w:t>
      </w:r>
      <w:r>
        <w:rPr>
          <w:rFonts w:ascii="幼圆" w:eastAsia="幼圆" w:hAnsi="幼圆" w:cs="幼圆" w:hint="eastAsia"/>
          <w:sz w:val="24"/>
          <w:lang w:eastAsia="zh-Hans"/>
        </w:rPr>
        <w:t>资金投入</w:t>
      </w:r>
      <w:r>
        <w:rPr>
          <w:rFonts w:ascii="幼圆" w:eastAsia="幼圆" w:hAnsi="幼圆" w:cs="幼圆" w:hint="eastAsia"/>
          <w:sz w:val="24"/>
          <w:lang w:eastAsia="zh-CN"/>
        </w:rPr>
        <w:t>，揭阳佳隆股份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公司试图在原有规模的基础上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通过扩张来进一步提高市场占有率和竞争力。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（3）从现金及现金等价物净增加额角度来看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现金流充足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说明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企业经营状态呈良好局面。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bookmarkStart w:id="74" w:name="_Toc615047840_WPSOffice_Level2"/>
      <w:bookmarkStart w:id="75" w:name="_Toc858114281_WPSOffice_Level2"/>
      <w:bookmarkStart w:id="76" w:name="_Toc29335"/>
      <w:bookmarkStart w:id="77" w:name="_Toc601109760_WPSOffice_Level2"/>
      <w:bookmarkStart w:id="78" w:name="_Toc244148454"/>
      <w:r>
        <w:rPr>
          <w:rFonts w:ascii="幼圆" w:eastAsia="幼圆" w:hAnsi="幼圆" w:cs="幼圆" w:hint="eastAsia"/>
          <w:sz w:val="24"/>
          <w:lang w:eastAsia="zh-Hans"/>
        </w:rPr>
        <w:t xml:space="preserve">(二) 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</w:rPr>
        <w:t>公司财务风险识别分析</w:t>
      </w:r>
      <w:bookmarkEnd w:id="74"/>
      <w:bookmarkEnd w:id="75"/>
      <w:bookmarkEnd w:id="76"/>
      <w:bookmarkEnd w:id="77"/>
      <w:bookmarkEnd w:id="7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本部分</w:t>
      </w:r>
      <w:r>
        <w:rPr>
          <w:rFonts w:ascii="幼圆" w:eastAsia="幼圆" w:hAnsi="幼圆" w:cs="幼圆" w:hint="eastAsia"/>
          <w:sz w:val="24"/>
          <w:lang w:val="en-US" w:eastAsia="zh-Hans"/>
        </w:rPr>
        <w:t>从</w:t>
      </w:r>
      <w:r>
        <w:rPr>
          <w:rFonts w:ascii="幼圆" w:eastAsia="幼圆" w:hAnsi="幼圆" w:cs="幼圆" w:hint="eastAsia"/>
          <w:sz w:val="24"/>
          <w:lang w:eastAsia="zh-CN"/>
        </w:rPr>
        <w:t>佳隆股份</w:t>
      </w:r>
      <w:r>
        <w:rPr>
          <w:rFonts w:ascii="幼圆" w:eastAsia="幼圆" w:hAnsi="幼圆" w:cs="幼圆" w:hint="eastAsia"/>
          <w:sz w:val="24"/>
          <w:lang w:eastAsia="zh-Hans"/>
        </w:rPr>
        <w:t>财务</w:t>
      </w:r>
      <w:r>
        <w:rPr>
          <w:rFonts w:ascii="幼圆" w:eastAsia="幼圆" w:hAnsi="幼圆" w:cs="幼圆" w:hint="eastAsia"/>
          <w:sz w:val="24"/>
          <w:lang w:val="en-US" w:eastAsia="zh-Hans"/>
        </w:rPr>
        <w:t>分析</w:t>
      </w:r>
      <w:r>
        <w:rPr>
          <w:rFonts w:ascii="幼圆" w:eastAsia="幼圆" w:hAnsi="幼圆" w:cs="幼圆" w:hint="eastAsia"/>
          <w:sz w:val="24"/>
          <w:lang w:eastAsia="zh-Hans"/>
        </w:rPr>
        <w:t>指标的盈利能力、偿债能力、</w:t>
      </w:r>
      <w:r>
        <w:rPr>
          <w:rFonts w:ascii="幼圆" w:eastAsia="幼圆" w:hAnsi="幼圆" w:cs="幼圆" w:hint="eastAsia"/>
          <w:sz w:val="24"/>
          <w:lang w:val="en-US" w:eastAsia="zh-Hans"/>
        </w:rPr>
        <w:t>营运</w:t>
      </w:r>
      <w:r>
        <w:rPr>
          <w:rFonts w:ascii="幼圆" w:eastAsia="幼圆" w:hAnsi="幼圆" w:cs="幼圆" w:hint="eastAsia"/>
          <w:sz w:val="24"/>
          <w:lang w:eastAsia="zh-Hans"/>
        </w:rPr>
        <w:t>能力</w:t>
      </w:r>
      <w:r>
        <w:rPr>
          <w:rFonts w:ascii="幼圆" w:eastAsia="幼圆" w:hAnsi="幼圆" w:cs="幼圆" w:hint="eastAsia"/>
          <w:sz w:val="24"/>
          <w:lang w:val="en-US" w:eastAsia="zh-Hans"/>
        </w:rPr>
        <w:t>以及</w:t>
      </w:r>
      <w:r>
        <w:rPr>
          <w:rFonts w:ascii="幼圆" w:eastAsia="幼圆" w:hAnsi="幼圆" w:cs="幼圆" w:hint="eastAsia"/>
          <w:sz w:val="24"/>
          <w:lang w:eastAsia="zh-Hans"/>
        </w:rPr>
        <w:t>现金流量四个</w:t>
      </w:r>
      <w:r>
        <w:rPr>
          <w:rFonts w:ascii="幼圆" w:eastAsia="幼圆" w:hAnsi="幼圆" w:cs="幼圆" w:hint="eastAsia"/>
          <w:sz w:val="24"/>
          <w:lang w:val="en-US" w:eastAsia="zh-Hans"/>
        </w:rPr>
        <w:t>角度来</w:t>
      </w:r>
      <w:r>
        <w:rPr>
          <w:rFonts w:ascii="幼圆" w:eastAsia="幼圆" w:hAnsi="幼圆" w:cs="幼圆" w:hint="eastAsia"/>
          <w:sz w:val="24"/>
          <w:lang w:eastAsia="zh-Hans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揭阳佳隆股份</w:t>
      </w:r>
      <w:r>
        <w:rPr>
          <w:rFonts w:ascii="幼圆" w:eastAsia="幼圆" w:hAnsi="幼圆" w:cs="幼圆" w:hint="eastAsia"/>
          <w:sz w:val="24"/>
          <w:lang w:eastAsia="zh-Hans"/>
        </w:rPr>
        <w:t>公司财务风险进行识别分析。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1</w:t>
      </w:r>
      <w:r>
        <w:rPr>
          <w:rFonts w:ascii="幼圆" w:eastAsia="幼圆" w:hAnsi="幼圆" w:cs="幼圆" w:hint="eastAsia"/>
          <w:sz w:val="24"/>
          <w:lang w:eastAsia="zh-Hans"/>
        </w:rPr>
        <w:t>.</w:t>
      </w:r>
      <w:r>
        <w:rPr>
          <w:rFonts w:ascii="幼圆" w:eastAsia="幼圆" w:hAnsi="幼圆" w:cs="幼圆" w:hint="eastAsia"/>
          <w:sz w:val="24"/>
        </w:rPr>
        <w:t>盈利能力</w:t>
      </w:r>
      <w:r>
        <w:rPr>
          <w:rFonts w:ascii="幼圆" w:eastAsia="幼圆" w:hAnsi="幼圆" w:cs="幼圆" w:hint="eastAsia"/>
          <w:sz w:val="24"/>
          <w:lang w:eastAsia="zh-Hans"/>
        </w:rPr>
        <w:t>风险识别</w:t>
      </w:r>
      <w:r>
        <w:rPr>
          <w:rFonts w:ascii="幼圆" w:eastAsia="幼圆" w:hAnsi="幼圆" w:cs="幼圆" w:hint="eastAsia"/>
          <w:sz w:val="24"/>
        </w:rPr>
        <w:br/>
      </w:r>
      <w:r>
        <w:rPr>
          <w:rFonts w:ascii="幼圆" w:eastAsia="幼圆" w:hAnsi="幼圆" w:cs="幼圆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https://d.book118.com/217115043112006043</w:t>
        </w:r>
      </w:hyperlink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</w:p>
    <w:sectPr>
      <w:footerReference w:type="default" r:id="rId12"/>
      <w:type w:val="nextPage"/>
      <w:pgSz w:w="11850" w:h="16783"/>
      <w:pgMar w:top="1417" w:right="1134" w:bottom="1417" w:left="17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7"/>
      <w:cols w:space="708"/>
      <w:titlePg w:val="0"/>
      <w:rtlGutter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5.65pt;height:25.65pt;margin-top:0;margin-left:205.9pt;mso-position-horizontal-relative:margin;mso-wrap-style:squar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1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5.65pt;height:25.65pt;margin-top:0;margin-left:205.9pt;mso-position-horizontal-relative:margin;mso-wrap-style:squar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2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5.65pt;height:25.65pt;margin-top:0;margin-left:205.9pt;mso-position-horizontal-relative:margin;mso-wrap-style:squar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3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5.65pt;height:25.65pt;margin-top:0;margin-left:205.9pt;mso-position-horizontal-relative:margin;mso-wrap-style:squar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4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5.65pt;height:25.65pt;margin-top:0;margin-left:205.9pt;mso-position-horizontal-relative:margin;mso-wrap-style:squar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5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4" type="#_x0000_t202" style="width:25.65pt;height:25.65pt;margin-top:0;margin-left:205.9pt;mso-position-horizontal-relative:margin;mso-wrap-style:square;position:absolute;v-text-anchor:top;z-index:251663360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6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5" type="#_x0000_t202" style="width:25.65pt;height:25.65pt;margin-top:0;margin-left:205.9pt;mso-position-horizontal-relative:margin;mso-wrap-style:square;position:absolute;v-text-anchor:top;z-index:251664384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8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  <w:footnote w:id="2">
    <w:p>
      <w:pPr>
        <w:spacing w:line="360" w:lineRule="auto"/>
        <w:ind w:firstLine="360" w:firstLineChars="200"/>
        <w:jc w:val="left"/>
        <w:rPr>
          <w:rFonts w:ascii="宋体" w:hAnsi="宋体" w:cs="宋体"/>
          <w:sz w:val="24"/>
          <w:lang w:eastAsia="zh-Hans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Times New Roman Regular" w:eastAsia="楷体_GB2312" w:hAnsi="Times New Roman Regular" w:cs="Times New Roman Regular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</w:t>
      </w:r>
    </w:p>
    <w:p>
      <w:pPr>
        <w:pStyle w:val="FootnoteText"/>
      </w:pPr>
    </w:p>
  </w:footnote>
  <w:footnote w:id="3">
    <w:p>
      <w:pPr>
        <w:spacing w:line="360" w:lineRule="auto"/>
        <w:ind w:firstLine="360" w:firstLineChars="200"/>
        <w:jc w:val="left"/>
        <w:rPr>
          <w:rFonts w:ascii="楷体_GB2312" w:eastAsia="楷体_GB2312" w:hAnsi="楷体_GB2312" w:cs="楷体_GB2312"/>
          <w:sz w:val="18"/>
          <w:szCs w:val="18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Times New Roman Regular" w:eastAsia="楷体_GB2312" w:hAnsi="Times New Roman Regular" w:cs="Times New Roman Regular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数据来源：同花顺财经、雪球</w:t>
      </w:r>
    </w:p>
    <w:p>
      <w:pPr>
        <w:pStyle w:val="FootnoteText"/>
        <w:rPr>
          <w:rFonts w:ascii="楷体_GB2312" w:eastAsia="楷体_GB2312" w:hAnsi="楷体_GB2312" w:cs="楷体_GB2312"/>
          <w:szCs w:val="18"/>
        </w:rPr>
      </w:pPr>
    </w:p>
  </w:footnote>
  <w:footnote w:id="4">
    <w:p>
      <w:pPr>
        <w:spacing w:line="360" w:lineRule="auto"/>
        <w:ind w:firstLine="360" w:firstLineChars="200"/>
        <w:rPr>
          <w:sz w:val="18"/>
          <w:szCs w:val="18"/>
          <w:lang w:eastAsia="zh-Hans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楷体_GB2312" w:eastAsia="楷体_GB2312" w:hAnsi="楷体_GB2312" w:cs="楷体_GB2312" w:hint="eastAsia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</w:t>
      </w:r>
    </w:p>
    <w:p>
      <w:pPr>
        <w:pStyle w:val="FootnoteTex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36EB2F"/>
    <w:multiLevelType w:val="singleLevel"/>
    <w:tmpl w:val="6236EB2F"/>
    <w:lvl w:ilvl="0">
      <w:start w:val="1"/>
      <w:numFmt w:val="decimal"/>
      <w:suff w:val="nothing"/>
      <w:lvlText w:val="（%1）"/>
      <w:lvlJc w:val="left"/>
    </w:lvl>
  </w:abstractNum>
  <w:abstractNum w:abstractNumId="1">
    <w:nsid w:val="62539047"/>
    <w:multiLevelType w:val="singleLevel"/>
    <w:tmpl w:val="62539047"/>
    <w:lvl w:ilvl="0">
      <w:start w:val="2"/>
      <w:numFmt w:val="chineseCounting"/>
      <w:suff w:val="space"/>
      <w:lvlText w:val="(%1)"/>
      <w:lvlJc w:val="left"/>
    </w:lvl>
  </w:abstractNum>
  <w:abstractNum w:abstractNumId="2">
    <w:nsid w:val="6253F36E"/>
    <w:multiLevelType w:val="singleLevel"/>
    <w:tmpl w:val="6253F36E"/>
    <w:lvl w:ilvl="0">
      <w:start w:val="4"/>
      <w:numFmt w:val="chineseCounting"/>
      <w:suff w:val="space"/>
      <w:lvlText w:val="(%1)"/>
      <w:lvlJc w:val="left"/>
    </w:lvl>
  </w:abstractNum>
  <w:abstractNum w:abstractNumId="3">
    <w:nsid w:val="625E70EC"/>
    <w:multiLevelType w:val="singleLevel"/>
    <w:tmpl w:val="625E70EC"/>
    <w:lvl w:ilvl="0">
      <w:start w:val="1"/>
      <w:numFmt w:val="decimal"/>
      <w:suff w:val="space"/>
      <w:lvlText w:val="(%1)"/>
      <w:lvlJc w:val="left"/>
    </w:lvl>
  </w:abstractNum>
  <w:abstractNum w:abstractNumId="4">
    <w:nsid w:val="625EC162"/>
    <w:multiLevelType w:val="singleLevel"/>
    <w:tmpl w:val="625EC162"/>
    <w:lvl w:ilvl="0">
      <w:start w:val="1"/>
      <w:numFmt w:val="decimal"/>
      <w:suff w:val="space"/>
      <w:lvlText w:val="(%1)"/>
      <w:lvlJc w:val="left"/>
    </w:lvl>
  </w:abstractNum>
  <w:abstractNum w:abstractNumId="5">
    <w:nsid w:val="6266257B"/>
    <w:multiLevelType w:val="singleLevel"/>
    <w:tmpl w:val="6266257B"/>
    <w:lvl w:ilvl="0">
      <w:start w:val="2"/>
      <w:numFmt w:val="chineseCounting"/>
      <w:suff w:val="space"/>
      <w:lvlText w:val="(%1)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81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footnotePr>
    <w:footnote w:id="0"/>
    <w:footnote w:id="1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A7172A"/>
    <w:rsid w:val="8DFDC1B2"/>
    <w:rsid w:val="8EDFD8AE"/>
    <w:rsid w:val="95BEAC2C"/>
    <w:rsid w:val="96E712ED"/>
    <w:rsid w:val="97BC2F13"/>
    <w:rsid w:val="97FDA1E8"/>
    <w:rsid w:val="987F76EC"/>
    <w:rsid w:val="9BFE4A4B"/>
    <w:rsid w:val="9BFEA716"/>
    <w:rsid w:val="9CDF9058"/>
    <w:rsid w:val="9FDB201E"/>
    <w:rsid w:val="9FDCD01B"/>
    <w:rsid w:val="9FFC409B"/>
    <w:rsid w:val="9FFE647E"/>
    <w:rsid w:val="A54F4946"/>
    <w:rsid w:val="A77F7A04"/>
    <w:rsid w:val="A7DE39E0"/>
    <w:rsid w:val="A7FF3A87"/>
    <w:rsid w:val="AB279863"/>
    <w:rsid w:val="AB995DBF"/>
    <w:rsid w:val="AB9F8DE4"/>
    <w:rsid w:val="ABEE1721"/>
    <w:rsid w:val="ABFF7A79"/>
    <w:rsid w:val="AC9E521C"/>
    <w:rsid w:val="ADB97D13"/>
    <w:rsid w:val="ADBF3BB8"/>
    <w:rsid w:val="AECEA1D8"/>
    <w:rsid w:val="AECFEAF1"/>
    <w:rsid w:val="AEFEE9F8"/>
    <w:rsid w:val="AF700104"/>
    <w:rsid w:val="AFFD078C"/>
    <w:rsid w:val="AFFF77DE"/>
    <w:rsid w:val="AFFFED23"/>
    <w:rsid w:val="B1B9867D"/>
    <w:rsid w:val="B3E7022C"/>
    <w:rsid w:val="B3FFFA63"/>
    <w:rsid w:val="B4FEB7B0"/>
    <w:rsid w:val="B57FDC14"/>
    <w:rsid w:val="B5CFA546"/>
    <w:rsid w:val="B6E22282"/>
    <w:rsid w:val="B6F28DFC"/>
    <w:rsid w:val="B6FFACF3"/>
    <w:rsid w:val="B71F1486"/>
    <w:rsid w:val="B77D2BBD"/>
    <w:rsid w:val="B77F333F"/>
    <w:rsid w:val="B77FE3AE"/>
    <w:rsid w:val="B7CA6E0B"/>
    <w:rsid w:val="B7DE8A39"/>
    <w:rsid w:val="B7DFC866"/>
    <w:rsid w:val="B7EFA269"/>
    <w:rsid w:val="B7EFB6AF"/>
    <w:rsid w:val="B7FBDC3E"/>
    <w:rsid w:val="B7FD7B01"/>
    <w:rsid w:val="B7FEE122"/>
    <w:rsid w:val="B8DF2108"/>
    <w:rsid w:val="B8FD1099"/>
    <w:rsid w:val="B9FFEC48"/>
    <w:rsid w:val="BADF69E3"/>
    <w:rsid w:val="BB1F4EC6"/>
    <w:rsid w:val="BB33319E"/>
    <w:rsid w:val="BB7B3014"/>
    <w:rsid w:val="BBBF7929"/>
    <w:rsid w:val="BCDD2414"/>
    <w:rsid w:val="BD6C534C"/>
    <w:rsid w:val="BD7D14AA"/>
    <w:rsid w:val="BDE7607C"/>
    <w:rsid w:val="BDFF0C2E"/>
    <w:rsid w:val="BE13E2F6"/>
    <w:rsid w:val="BE7FA837"/>
    <w:rsid w:val="BEB45852"/>
    <w:rsid w:val="BEB938F6"/>
    <w:rsid w:val="BEDF6E8C"/>
    <w:rsid w:val="BEF0CA0F"/>
    <w:rsid w:val="BEF94587"/>
    <w:rsid w:val="BF1D5562"/>
    <w:rsid w:val="BF3AF199"/>
    <w:rsid w:val="BF3DD003"/>
    <w:rsid w:val="BF7A22E0"/>
    <w:rsid w:val="BFAF2F75"/>
    <w:rsid w:val="BFB630E3"/>
    <w:rsid w:val="BFBCE0A1"/>
    <w:rsid w:val="BFBF0C88"/>
    <w:rsid w:val="BFBF94AC"/>
    <w:rsid w:val="BFC71546"/>
    <w:rsid w:val="BFCD2710"/>
    <w:rsid w:val="BFF4731A"/>
    <w:rsid w:val="BFFB6496"/>
    <w:rsid w:val="BFFBAB69"/>
    <w:rsid w:val="BFFE0528"/>
    <w:rsid w:val="BFFE8D39"/>
    <w:rsid w:val="BFFF64B1"/>
    <w:rsid w:val="BFFF8D31"/>
    <w:rsid w:val="C6BE7C26"/>
    <w:rsid w:val="C7BB0621"/>
    <w:rsid w:val="C7FB8D2A"/>
    <w:rsid w:val="C9FF9CFC"/>
    <w:rsid w:val="CD7E4AB1"/>
    <w:rsid w:val="CEBF1A45"/>
    <w:rsid w:val="CED6B3EA"/>
    <w:rsid w:val="CF8CD56B"/>
    <w:rsid w:val="CFBFCFFC"/>
    <w:rsid w:val="CFDF9860"/>
    <w:rsid w:val="CFF3ED08"/>
    <w:rsid w:val="CFF70127"/>
    <w:rsid w:val="CFFDEA89"/>
    <w:rsid w:val="CFFEB3A7"/>
    <w:rsid w:val="D17F81DF"/>
    <w:rsid w:val="D26FEA07"/>
    <w:rsid w:val="D33F0118"/>
    <w:rsid w:val="D3DE62B5"/>
    <w:rsid w:val="D3F95ED4"/>
    <w:rsid w:val="D553291F"/>
    <w:rsid w:val="D5E72C14"/>
    <w:rsid w:val="D6650CAE"/>
    <w:rsid w:val="D6FB1DED"/>
    <w:rsid w:val="D71D3644"/>
    <w:rsid w:val="D74EC174"/>
    <w:rsid w:val="D78F8898"/>
    <w:rsid w:val="D792FD97"/>
    <w:rsid w:val="D797BDDC"/>
    <w:rsid w:val="D7AF988B"/>
    <w:rsid w:val="D7BC8894"/>
    <w:rsid w:val="D7BD9607"/>
    <w:rsid w:val="D7BDA130"/>
    <w:rsid w:val="D7BF1703"/>
    <w:rsid w:val="D7E341E7"/>
    <w:rsid w:val="D7EEE4F2"/>
    <w:rsid w:val="D7F9FB0C"/>
    <w:rsid w:val="D7FF11EC"/>
    <w:rsid w:val="D9EFA755"/>
    <w:rsid w:val="D9FF8868"/>
    <w:rsid w:val="DA7F0248"/>
    <w:rsid w:val="DB5F2539"/>
    <w:rsid w:val="DB7F7E8E"/>
    <w:rsid w:val="DBEE8E2E"/>
    <w:rsid w:val="DCF59961"/>
    <w:rsid w:val="DD6669EB"/>
    <w:rsid w:val="DDD88C04"/>
    <w:rsid w:val="DDEF04FA"/>
    <w:rsid w:val="DDF3575E"/>
    <w:rsid w:val="DDFF1711"/>
    <w:rsid w:val="DDFF6359"/>
    <w:rsid w:val="DE7BD737"/>
    <w:rsid w:val="DEBEFCCF"/>
    <w:rsid w:val="DEBFCCC2"/>
    <w:rsid w:val="DED75360"/>
    <w:rsid w:val="DEE72263"/>
    <w:rsid w:val="DEEA151A"/>
    <w:rsid w:val="DEFDCDDA"/>
    <w:rsid w:val="DEFF51EA"/>
    <w:rsid w:val="DFAFC606"/>
    <w:rsid w:val="DFBD9A6A"/>
    <w:rsid w:val="DFBFBBD9"/>
    <w:rsid w:val="DFDF4675"/>
    <w:rsid w:val="DFE34807"/>
    <w:rsid w:val="DFE7712B"/>
    <w:rsid w:val="E23F02F4"/>
    <w:rsid w:val="E2D971ED"/>
    <w:rsid w:val="E37D30E8"/>
    <w:rsid w:val="E65FBDBD"/>
    <w:rsid w:val="E6FD9DC4"/>
    <w:rsid w:val="E72DD976"/>
    <w:rsid w:val="E73F8621"/>
    <w:rsid w:val="E76B7F04"/>
    <w:rsid w:val="E77F78C8"/>
    <w:rsid w:val="E7BFE670"/>
    <w:rsid w:val="E7EF3B57"/>
    <w:rsid w:val="E7FA988A"/>
    <w:rsid w:val="E8E7ACBD"/>
    <w:rsid w:val="E9F375EB"/>
    <w:rsid w:val="EADE4E41"/>
    <w:rsid w:val="EAFBD799"/>
    <w:rsid w:val="EB1D381C"/>
    <w:rsid w:val="EBBBB9E6"/>
    <w:rsid w:val="EBBEC872"/>
    <w:rsid w:val="EBD366B8"/>
    <w:rsid w:val="EBED6BEC"/>
    <w:rsid w:val="EBF3764D"/>
    <w:rsid w:val="EBFD5E75"/>
    <w:rsid w:val="EBFE0025"/>
    <w:rsid w:val="EBFE1ECC"/>
    <w:rsid w:val="EC1B5C17"/>
    <w:rsid w:val="ECEFECA7"/>
    <w:rsid w:val="ECFE18EB"/>
    <w:rsid w:val="EDBB7B81"/>
    <w:rsid w:val="EDEFDAE1"/>
    <w:rsid w:val="EDFAAA80"/>
    <w:rsid w:val="EDFF4378"/>
    <w:rsid w:val="EEB7DD99"/>
    <w:rsid w:val="EEBE2EAF"/>
    <w:rsid w:val="EEC7B0D6"/>
    <w:rsid w:val="EEDF1AFF"/>
    <w:rsid w:val="EEE96593"/>
    <w:rsid w:val="EF3F7808"/>
    <w:rsid w:val="EF5F1207"/>
    <w:rsid w:val="EF9BD0F9"/>
    <w:rsid w:val="EF9D695D"/>
    <w:rsid w:val="EFAD8A2A"/>
    <w:rsid w:val="EFBBEDE9"/>
    <w:rsid w:val="EFBF65DC"/>
    <w:rsid w:val="EFBFE43B"/>
    <w:rsid w:val="EFE58EDE"/>
    <w:rsid w:val="EFEFA92D"/>
    <w:rsid w:val="EFF968E6"/>
    <w:rsid w:val="EFFB103E"/>
    <w:rsid w:val="EFFBAB7E"/>
    <w:rsid w:val="EFFD9700"/>
    <w:rsid w:val="EFFF6B78"/>
    <w:rsid w:val="F04FD25D"/>
    <w:rsid w:val="F15D323B"/>
    <w:rsid w:val="F1AF43EA"/>
    <w:rsid w:val="F1FC57DF"/>
    <w:rsid w:val="F1FECE99"/>
    <w:rsid w:val="F27BD7FF"/>
    <w:rsid w:val="F2EFBE5B"/>
    <w:rsid w:val="F2FF8A54"/>
    <w:rsid w:val="F3132A1D"/>
    <w:rsid w:val="F338259D"/>
    <w:rsid w:val="F33C733C"/>
    <w:rsid w:val="F33E0070"/>
    <w:rsid w:val="F357A18C"/>
    <w:rsid w:val="F37F1AAF"/>
    <w:rsid w:val="F3B38E85"/>
    <w:rsid w:val="F3BE75A9"/>
    <w:rsid w:val="F3E7D67D"/>
    <w:rsid w:val="F3F7C38A"/>
    <w:rsid w:val="F3FD934A"/>
    <w:rsid w:val="F5BB75D5"/>
    <w:rsid w:val="F5D72499"/>
    <w:rsid w:val="F5F65285"/>
    <w:rsid w:val="F5FF792D"/>
    <w:rsid w:val="F67E69CC"/>
    <w:rsid w:val="F6B124F2"/>
    <w:rsid w:val="F6BF6A63"/>
    <w:rsid w:val="F6D367C5"/>
    <w:rsid w:val="F6F7BD29"/>
    <w:rsid w:val="F6FD1EC0"/>
    <w:rsid w:val="F6FE80AC"/>
    <w:rsid w:val="F71F66DB"/>
    <w:rsid w:val="F77D6C9C"/>
    <w:rsid w:val="F77F2AB1"/>
    <w:rsid w:val="F77FA8B0"/>
    <w:rsid w:val="F7B7B22D"/>
    <w:rsid w:val="F7E870B1"/>
    <w:rsid w:val="F7E9A0AC"/>
    <w:rsid w:val="F7EF18E9"/>
    <w:rsid w:val="F7F16BA4"/>
    <w:rsid w:val="F7F57916"/>
    <w:rsid w:val="F7FBB0AB"/>
    <w:rsid w:val="F7FDAE4E"/>
    <w:rsid w:val="F7FFA187"/>
    <w:rsid w:val="F7FFC0EF"/>
    <w:rsid w:val="F8CFA076"/>
    <w:rsid w:val="F8FD1CA4"/>
    <w:rsid w:val="F977AF21"/>
    <w:rsid w:val="F9D79925"/>
    <w:rsid w:val="F9F5C49B"/>
    <w:rsid w:val="F9FF7DF7"/>
    <w:rsid w:val="F9FFB404"/>
    <w:rsid w:val="FA76AA8C"/>
    <w:rsid w:val="FABB7501"/>
    <w:rsid w:val="FADFC4AF"/>
    <w:rsid w:val="FAE9EDA1"/>
    <w:rsid w:val="FAEF4F24"/>
    <w:rsid w:val="FAF767D1"/>
    <w:rsid w:val="FAFDFB1C"/>
    <w:rsid w:val="FB1DE2C4"/>
    <w:rsid w:val="FB2F1624"/>
    <w:rsid w:val="FB4F4CB4"/>
    <w:rsid w:val="FB6DAC8A"/>
    <w:rsid w:val="FB73FD44"/>
    <w:rsid w:val="FB7477A3"/>
    <w:rsid w:val="FB7C9D4A"/>
    <w:rsid w:val="FB9FB984"/>
    <w:rsid w:val="FBB69709"/>
    <w:rsid w:val="FBBDADE6"/>
    <w:rsid w:val="FBBF21A1"/>
    <w:rsid w:val="FBEB0F9B"/>
    <w:rsid w:val="FBFF2526"/>
    <w:rsid w:val="FC765082"/>
    <w:rsid w:val="FC7DD5E1"/>
    <w:rsid w:val="FCF4481B"/>
    <w:rsid w:val="FCFBCEC8"/>
    <w:rsid w:val="FCFC6CF3"/>
    <w:rsid w:val="FCFF9186"/>
    <w:rsid w:val="FD486FC5"/>
    <w:rsid w:val="FD6F9A56"/>
    <w:rsid w:val="FDAFAF47"/>
    <w:rsid w:val="FDE4DE9B"/>
    <w:rsid w:val="FDEFCEC8"/>
    <w:rsid w:val="FDF37AFF"/>
    <w:rsid w:val="FDF68412"/>
    <w:rsid w:val="FDF735AB"/>
    <w:rsid w:val="FDFFE412"/>
    <w:rsid w:val="FDFFF082"/>
    <w:rsid w:val="FE1E2577"/>
    <w:rsid w:val="FE2CE2D3"/>
    <w:rsid w:val="FE3F642D"/>
    <w:rsid w:val="FE6FA97F"/>
    <w:rsid w:val="FE77A58C"/>
    <w:rsid w:val="FE792988"/>
    <w:rsid w:val="FE7DE743"/>
    <w:rsid w:val="FE7E71A8"/>
    <w:rsid w:val="FE9B9474"/>
    <w:rsid w:val="FEB59186"/>
    <w:rsid w:val="FEBEE844"/>
    <w:rsid w:val="FEBF993B"/>
    <w:rsid w:val="FED715A0"/>
    <w:rsid w:val="FED9C5CB"/>
    <w:rsid w:val="FEDA6B23"/>
    <w:rsid w:val="FEEF2E8C"/>
    <w:rsid w:val="FEEFDADC"/>
    <w:rsid w:val="FEF22A5B"/>
    <w:rsid w:val="FEF53C7B"/>
    <w:rsid w:val="FEFD7919"/>
    <w:rsid w:val="FEFE2956"/>
    <w:rsid w:val="FEFF03A3"/>
    <w:rsid w:val="FEFFB081"/>
    <w:rsid w:val="FF1EB933"/>
    <w:rsid w:val="FF219420"/>
    <w:rsid w:val="FF375BF7"/>
    <w:rsid w:val="FF51DB83"/>
    <w:rsid w:val="FF53B26B"/>
    <w:rsid w:val="FF5B1CFC"/>
    <w:rsid w:val="FF5E2CD7"/>
    <w:rsid w:val="FF6B9BD9"/>
    <w:rsid w:val="FF6F1FC5"/>
    <w:rsid w:val="FF76D129"/>
    <w:rsid w:val="FF7755DB"/>
    <w:rsid w:val="FF7A0B33"/>
    <w:rsid w:val="FF7F06F4"/>
    <w:rsid w:val="FF7F6757"/>
    <w:rsid w:val="FF7FA68F"/>
    <w:rsid w:val="FFA5833B"/>
    <w:rsid w:val="FFB77472"/>
    <w:rsid w:val="FFBE938B"/>
    <w:rsid w:val="FFC32AD0"/>
    <w:rsid w:val="FFC72496"/>
    <w:rsid w:val="FFD35152"/>
    <w:rsid w:val="FFDF5D0C"/>
    <w:rsid w:val="FFDFE0A1"/>
    <w:rsid w:val="FFE73D2D"/>
    <w:rsid w:val="FFEB85C3"/>
    <w:rsid w:val="FFEDD0F6"/>
    <w:rsid w:val="FFEE60B3"/>
    <w:rsid w:val="FFEF19EC"/>
    <w:rsid w:val="FFEF51F8"/>
    <w:rsid w:val="FFEFCDCB"/>
    <w:rsid w:val="FFF71338"/>
    <w:rsid w:val="FFF7CB52"/>
    <w:rsid w:val="FFFA90BF"/>
    <w:rsid w:val="FFFB5589"/>
    <w:rsid w:val="FFFCA1F7"/>
    <w:rsid w:val="FFFD6E8F"/>
    <w:rsid w:val="FFFDEF3E"/>
    <w:rsid w:val="FFFE2405"/>
    <w:rsid w:val="FFFF4F85"/>
    <w:rsid w:val="FFFFF63B"/>
    <w:rsid w:val="00085071"/>
    <w:rsid w:val="000E6498"/>
    <w:rsid w:val="000E7913"/>
    <w:rsid w:val="000F142E"/>
    <w:rsid w:val="001A6443"/>
    <w:rsid w:val="00302600"/>
    <w:rsid w:val="003E3CED"/>
    <w:rsid w:val="00401E4E"/>
    <w:rsid w:val="004A4C1F"/>
    <w:rsid w:val="00561088"/>
    <w:rsid w:val="005C28A8"/>
    <w:rsid w:val="00611B21"/>
    <w:rsid w:val="00893B53"/>
    <w:rsid w:val="00A772B9"/>
    <w:rsid w:val="00AD7932"/>
    <w:rsid w:val="00AF2DA6"/>
    <w:rsid w:val="00C604CB"/>
    <w:rsid w:val="00C75E09"/>
    <w:rsid w:val="00DA1866"/>
    <w:rsid w:val="00E0117E"/>
    <w:rsid w:val="00E87516"/>
    <w:rsid w:val="00FB3350"/>
    <w:rsid w:val="00FD73F8"/>
    <w:rsid w:val="02733562"/>
    <w:rsid w:val="03F97F66"/>
    <w:rsid w:val="05250070"/>
    <w:rsid w:val="05D26C97"/>
    <w:rsid w:val="07D23EA1"/>
    <w:rsid w:val="08FADF02"/>
    <w:rsid w:val="09097B5F"/>
    <w:rsid w:val="09943828"/>
    <w:rsid w:val="0AEF5A09"/>
    <w:rsid w:val="0B493857"/>
    <w:rsid w:val="0BBF5B64"/>
    <w:rsid w:val="0BDF3351"/>
    <w:rsid w:val="0BF281A7"/>
    <w:rsid w:val="0EA54965"/>
    <w:rsid w:val="0F7FC074"/>
    <w:rsid w:val="0FDD7304"/>
    <w:rsid w:val="0FE70440"/>
    <w:rsid w:val="0FEA2C0D"/>
    <w:rsid w:val="0FFFDD59"/>
    <w:rsid w:val="10312962"/>
    <w:rsid w:val="10A03C4F"/>
    <w:rsid w:val="10DDDC50"/>
    <w:rsid w:val="115975B0"/>
    <w:rsid w:val="118F0F86"/>
    <w:rsid w:val="121E7095"/>
    <w:rsid w:val="125A615D"/>
    <w:rsid w:val="12E41DBE"/>
    <w:rsid w:val="13FD4609"/>
    <w:rsid w:val="16A469F0"/>
    <w:rsid w:val="16DB6FDD"/>
    <w:rsid w:val="178F4A35"/>
    <w:rsid w:val="17E6ABDC"/>
    <w:rsid w:val="17FF5013"/>
    <w:rsid w:val="18182936"/>
    <w:rsid w:val="189B0C6F"/>
    <w:rsid w:val="1A2C73A3"/>
    <w:rsid w:val="1AB044F2"/>
    <w:rsid w:val="1ADC608E"/>
    <w:rsid w:val="1B391661"/>
    <w:rsid w:val="1B9F787C"/>
    <w:rsid w:val="1BF66972"/>
    <w:rsid w:val="1BFD19ED"/>
    <w:rsid w:val="1BFE64D2"/>
    <w:rsid w:val="1CEDCE16"/>
    <w:rsid w:val="1D97309B"/>
    <w:rsid w:val="1DD45526"/>
    <w:rsid w:val="1DFF5583"/>
    <w:rsid w:val="1E771E73"/>
    <w:rsid w:val="1EFF642E"/>
    <w:rsid w:val="1F182447"/>
    <w:rsid w:val="1FDE00EA"/>
    <w:rsid w:val="1FEF84B7"/>
    <w:rsid w:val="1FEFD69A"/>
    <w:rsid w:val="20804773"/>
    <w:rsid w:val="2293391B"/>
    <w:rsid w:val="245C369E"/>
    <w:rsid w:val="24697E9D"/>
    <w:rsid w:val="25EE5B79"/>
    <w:rsid w:val="26F7126A"/>
    <w:rsid w:val="27C820A4"/>
    <w:rsid w:val="27DBA40C"/>
    <w:rsid w:val="27FC156C"/>
    <w:rsid w:val="27FE7134"/>
    <w:rsid w:val="2957F779"/>
    <w:rsid w:val="2A0F65A8"/>
    <w:rsid w:val="2A1463EB"/>
    <w:rsid w:val="2B4D60AB"/>
    <w:rsid w:val="2BAD4921"/>
    <w:rsid w:val="2BBFCF75"/>
    <w:rsid w:val="2BDFAB19"/>
    <w:rsid w:val="2C5F175A"/>
    <w:rsid w:val="2D0C0EB6"/>
    <w:rsid w:val="2D99FACF"/>
    <w:rsid w:val="2D9BD214"/>
    <w:rsid w:val="2DEB5ECE"/>
    <w:rsid w:val="2EC61DB3"/>
    <w:rsid w:val="2EF714A4"/>
    <w:rsid w:val="2F3A2BFD"/>
    <w:rsid w:val="2FC65747"/>
    <w:rsid w:val="2FFB8446"/>
    <w:rsid w:val="2FFCB4B6"/>
    <w:rsid w:val="2FFF4A7C"/>
    <w:rsid w:val="30F61E34"/>
    <w:rsid w:val="31EFB2AF"/>
    <w:rsid w:val="33376983"/>
    <w:rsid w:val="333FF941"/>
    <w:rsid w:val="337B8714"/>
    <w:rsid w:val="337F7A06"/>
    <w:rsid w:val="33B77551"/>
    <w:rsid w:val="33DF2D8F"/>
    <w:rsid w:val="341D4230"/>
    <w:rsid w:val="360A2925"/>
    <w:rsid w:val="368F0CB2"/>
    <w:rsid w:val="36C671DD"/>
    <w:rsid w:val="36EBE2DD"/>
    <w:rsid w:val="372058AF"/>
    <w:rsid w:val="375EAC9F"/>
    <w:rsid w:val="377758CD"/>
    <w:rsid w:val="377DA400"/>
    <w:rsid w:val="37A5BD9B"/>
    <w:rsid w:val="37AF0D29"/>
    <w:rsid w:val="37D15D3E"/>
    <w:rsid w:val="37FBE5D9"/>
    <w:rsid w:val="37FF1607"/>
    <w:rsid w:val="3862200D"/>
    <w:rsid w:val="38FB6D88"/>
    <w:rsid w:val="3973BD5C"/>
    <w:rsid w:val="3A5B0610"/>
    <w:rsid w:val="3AED30C2"/>
    <w:rsid w:val="3AFA1F84"/>
    <w:rsid w:val="3B0EB925"/>
    <w:rsid w:val="3B635212"/>
    <w:rsid w:val="3B6640FE"/>
    <w:rsid w:val="3BCD233B"/>
    <w:rsid w:val="3BCF551E"/>
    <w:rsid w:val="3BDBD964"/>
    <w:rsid w:val="3BE7E250"/>
    <w:rsid w:val="3C4118F4"/>
    <w:rsid w:val="3CAD6C10"/>
    <w:rsid w:val="3CFFB5D3"/>
    <w:rsid w:val="3D093B98"/>
    <w:rsid w:val="3D3B2AAA"/>
    <w:rsid w:val="3D3F6331"/>
    <w:rsid w:val="3D571645"/>
    <w:rsid w:val="3D725291"/>
    <w:rsid w:val="3D7B8331"/>
    <w:rsid w:val="3D7BA364"/>
    <w:rsid w:val="3DBFA68C"/>
    <w:rsid w:val="3DCB3E29"/>
    <w:rsid w:val="3E3BF054"/>
    <w:rsid w:val="3E47028F"/>
    <w:rsid w:val="3E8C39B3"/>
    <w:rsid w:val="3EDF73C7"/>
    <w:rsid w:val="3EFD6D52"/>
    <w:rsid w:val="3EFF1631"/>
    <w:rsid w:val="3EFF2EB8"/>
    <w:rsid w:val="3F033812"/>
    <w:rsid w:val="3F3BE5E1"/>
    <w:rsid w:val="3F6F222A"/>
    <w:rsid w:val="3F77C094"/>
    <w:rsid w:val="3F7F4C73"/>
    <w:rsid w:val="3F9DF2FE"/>
    <w:rsid w:val="3F9E9EF2"/>
    <w:rsid w:val="3FAF57F7"/>
    <w:rsid w:val="3FBE1F22"/>
    <w:rsid w:val="3FBF1720"/>
    <w:rsid w:val="3FCF402C"/>
    <w:rsid w:val="3FD9CD05"/>
    <w:rsid w:val="3FDBE560"/>
    <w:rsid w:val="3FDEEB3D"/>
    <w:rsid w:val="3FDF3F71"/>
    <w:rsid w:val="3FDF40A1"/>
    <w:rsid w:val="3FE9022E"/>
    <w:rsid w:val="3FF57822"/>
    <w:rsid w:val="3FF75CF2"/>
    <w:rsid w:val="3FFD89EC"/>
    <w:rsid w:val="3FFDFA3E"/>
    <w:rsid w:val="3FFE17BC"/>
    <w:rsid w:val="40495E38"/>
    <w:rsid w:val="408C1D4B"/>
    <w:rsid w:val="40B85777"/>
    <w:rsid w:val="40CA1E8E"/>
    <w:rsid w:val="41DF121F"/>
    <w:rsid w:val="42436695"/>
    <w:rsid w:val="425F2B80"/>
    <w:rsid w:val="42BE0955"/>
    <w:rsid w:val="43CC12C7"/>
    <w:rsid w:val="450D1BB1"/>
    <w:rsid w:val="4553746A"/>
    <w:rsid w:val="45724EFB"/>
    <w:rsid w:val="4577128F"/>
    <w:rsid w:val="46FA5AF3"/>
    <w:rsid w:val="47EBFB9E"/>
    <w:rsid w:val="480615AB"/>
    <w:rsid w:val="48740A06"/>
    <w:rsid w:val="499F11AF"/>
    <w:rsid w:val="49C3A3B7"/>
    <w:rsid w:val="49DF544C"/>
    <w:rsid w:val="4A016B4A"/>
    <w:rsid w:val="4B033EB1"/>
    <w:rsid w:val="4B2F064D"/>
    <w:rsid w:val="4B77C86C"/>
    <w:rsid w:val="4DFC7028"/>
    <w:rsid w:val="4E5403C0"/>
    <w:rsid w:val="4FD24C6D"/>
    <w:rsid w:val="4FE77AEB"/>
    <w:rsid w:val="4FEFF8D0"/>
    <w:rsid w:val="4FF48BC1"/>
    <w:rsid w:val="4FF616FD"/>
    <w:rsid w:val="4FF9D091"/>
    <w:rsid w:val="50DDAA7A"/>
    <w:rsid w:val="5144008C"/>
    <w:rsid w:val="51D78166"/>
    <w:rsid w:val="52F97643"/>
    <w:rsid w:val="535B019A"/>
    <w:rsid w:val="53A54536"/>
    <w:rsid w:val="53AADD8F"/>
    <w:rsid w:val="53D82B83"/>
    <w:rsid w:val="53EF23AC"/>
    <w:rsid w:val="54380D99"/>
    <w:rsid w:val="55AF88F8"/>
    <w:rsid w:val="55B06D6D"/>
    <w:rsid w:val="55E74565"/>
    <w:rsid w:val="55FDF437"/>
    <w:rsid w:val="56177552"/>
    <w:rsid w:val="5689D697"/>
    <w:rsid w:val="56BBA06F"/>
    <w:rsid w:val="56E974D2"/>
    <w:rsid w:val="572A4F8A"/>
    <w:rsid w:val="572EDB27"/>
    <w:rsid w:val="577DB4B3"/>
    <w:rsid w:val="577F3CCB"/>
    <w:rsid w:val="57AF330F"/>
    <w:rsid w:val="57EEB122"/>
    <w:rsid w:val="57F79183"/>
    <w:rsid w:val="57FDA2F8"/>
    <w:rsid w:val="57FF19C5"/>
    <w:rsid w:val="583F6A3A"/>
    <w:rsid w:val="593F0852"/>
    <w:rsid w:val="59B532C1"/>
    <w:rsid w:val="59BF3BA7"/>
    <w:rsid w:val="5AED3BF1"/>
    <w:rsid w:val="5B1F1D55"/>
    <w:rsid w:val="5B7F607A"/>
    <w:rsid w:val="5BEF49EC"/>
    <w:rsid w:val="5BF3F7D7"/>
    <w:rsid w:val="5BF53CE9"/>
    <w:rsid w:val="5BFFA12F"/>
    <w:rsid w:val="5C0E6E33"/>
    <w:rsid w:val="5C8E9A8E"/>
    <w:rsid w:val="5CBE5608"/>
    <w:rsid w:val="5CF65FF3"/>
    <w:rsid w:val="5CFB6DCE"/>
    <w:rsid w:val="5CFF56ED"/>
    <w:rsid w:val="5D9C8867"/>
    <w:rsid w:val="5DD31D7E"/>
    <w:rsid w:val="5DEF05E6"/>
    <w:rsid w:val="5E6DD298"/>
    <w:rsid w:val="5E7F7405"/>
    <w:rsid w:val="5E91710C"/>
    <w:rsid w:val="5EBD19A6"/>
    <w:rsid w:val="5EBEB381"/>
    <w:rsid w:val="5EEFB089"/>
    <w:rsid w:val="5EF67496"/>
    <w:rsid w:val="5EFE4A61"/>
    <w:rsid w:val="5F19E34B"/>
    <w:rsid w:val="5F226AC3"/>
    <w:rsid w:val="5F3E301F"/>
    <w:rsid w:val="5F3F29B1"/>
    <w:rsid w:val="5F676494"/>
    <w:rsid w:val="5FB766A9"/>
    <w:rsid w:val="5FBF0109"/>
    <w:rsid w:val="5FDD455B"/>
    <w:rsid w:val="5FE787CF"/>
    <w:rsid w:val="5FF650F2"/>
    <w:rsid w:val="5FF903A1"/>
    <w:rsid w:val="5FFD7DCE"/>
    <w:rsid w:val="5FFDAC41"/>
    <w:rsid w:val="5FFE03BB"/>
    <w:rsid w:val="608B3BA6"/>
    <w:rsid w:val="60CFB5FA"/>
    <w:rsid w:val="61C7E337"/>
    <w:rsid w:val="62911192"/>
    <w:rsid w:val="63AF097E"/>
    <w:rsid w:val="63FF87CC"/>
    <w:rsid w:val="64A6684F"/>
    <w:rsid w:val="64E75572"/>
    <w:rsid w:val="65AF7CDE"/>
    <w:rsid w:val="65FE0DBA"/>
    <w:rsid w:val="65FF1E6B"/>
    <w:rsid w:val="65FF7BA8"/>
    <w:rsid w:val="66DF7483"/>
    <w:rsid w:val="671D1221"/>
    <w:rsid w:val="67B7C5B6"/>
    <w:rsid w:val="67D573E7"/>
    <w:rsid w:val="67FDDCEF"/>
    <w:rsid w:val="67FF2E15"/>
    <w:rsid w:val="67FFAD3F"/>
    <w:rsid w:val="68CF5C6A"/>
    <w:rsid w:val="68DBF441"/>
    <w:rsid w:val="693634DB"/>
    <w:rsid w:val="6957A959"/>
    <w:rsid w:val="69B862EF"/>
    <w:rsid w:val="69BB6984"/>
    <w:rsid w:val="6AF11860"/>
    <w:rsid w:val="6AFF484F"/>
    <w:rsid w:val="6AFFB7D6"/>
    <w:rsid w:val="6B5F4F68"/>
    <w:rsid w:val="6B7BB471"/>
    <w:rsid w:val="6B7D4687"/>
    <w:rsid w:val="6B7FA7A1"/>
    <w:rsid w:val="6BAA629D"/>
    <w:rsid w:val="6C7B1A29"/>
    <w:rsid w:val="6CDBBC5C"/>
    <w:rsid w:val="6CE9EFF3"/>
    <w:rsid w:val="6CF652DA"/>
    <w:rsid w:val="6CFD5186"/>
    <w:rsid w:val="6CFF8219"/>
    <w:rsid w:val="6D486B6B"/>
    <w:rsid w:val="6D6F1A00"/>
    <w:rsid w:val="6DA61F71"/>
    <w:rsid w:val="6DD5BEFD"/>
    <w:rsid w:val="6DEFD939"/>
    <w:rsid w:val="6DFFD81C"/>
    <w:rsid w:val="6DFFDEB0"/>
    <w:rsid w:val="6E2ED382"/>
    <w:rsid w:val="6E5F0C86"/>
    <w:rsid w:val="6E860C58"/>
    <w:rsid w:val="6EC54671"/>
    <w:rsid w:val="6EF38DF7"/>
    <w:rsid w:val="6F1E922F"/>
    <w:rsid w:val="6F295B7E"/>
    <w:rsid w:val="6F2E0523"/>
    <w:rsid w:val="6F3E996F"/>
    <w:rsid w:val="6F3FA6B2"/>
    <w:rsid w:val="6F4EE924"/>
    <w:rsid w:val="6F5F6B4B"/>
    <w:rsid w:val="6F6BA0FD"/>
    <w:rsid w:val="6F7A1247"/>
    <w:rsid w:val="6F7FE86B"/>
    <w:rsid w:val="6F9FAE6F"/>
    <w:rsid w:val="6FBFCCE3"/>
    <w:rsid w:val="6FCF246C"/>
    <w:rsid w:val="6FD2EA48"/>
    <w:rsid w:val="6FE796AD"/>
    <w:rsid w:val="6FEDCD8B"/>
    <w:rsid w:val="6FF8CD6E"/>
    <w:rsid w:val="6FFB39C7"/>
    <w:rsid w:val="6FFBEF1F"/>
    <w:rsid w:val="6FFD44BA"/>
    <w:rsid w:val="6FFD6703"/>
    <w:rsid w:val="6FFDA540"/>
    <w:rsid w:val="6FFF0C4F"/>
    <w:rsid w:val="6FFFA9DD"/>
    <w:rsid w:val="71EFAFF1"/>
    <w:rsid w:val="71F4567D"/>
    <w:rsid w:val="71F47640"/>
    <w:rsid w:val="71FF8664"/>
    <w:rsid w:val="72268FCB"/>
    <w:rsid w:val="72DFB364"/>
    <w:rsid w:val="72FD09EE"/>
    <w:rsid w:val="73378FC2"/>
    <w:rsid w:val="733D99CF"/>
    <w:rsid w:val="73CF4E3E"/>
    <w:rsid w:val="73D3285B"/>
    <w:rsid w:val="73FF6301"/>
    <w:rsid w:val="742C64F3"/>
    <w:rsid w:val="74C9E4D1"/>
    <w:rsid w:val="74F41F4E"/>
    <w:rsid w:val="75D9E394"/>
    <w:rsid w:val="75ECF24C"/>
    <w:rsid w:val="75EF65F3"/>
    <w:rsid w:val="75EFF481"/>
    <w:rsid w:val="75F7BE19"/>
    <w:rsid w:val="75FD5561"/>
    <w:rsid w:val="75FFE9C7"/>
    <w:rsid w:val="75FFEE35"/>
    <w:rsid w:val="763FE72D"/>
    <w:rsid w:val="7645C9B4"/>
    <w:rsid w:val="766E91BD"/>
    <w:rsid w:val="76BB0FD4"/>
    <w:rsid w:val="76BD2B22"/>
    <w:rsid w:val="76EBB494"/>
    <w:rsid w:val="76EF2395"/>
    <w:rsid w:val="76F7B58C"/>
    <w:rsid w:val="76FD00C4"/>
    <w:rsid w:val="76FF6B18"/>
    <w:rsid w:val="773DF927"/>
    <w:rsid w:val="77530DE9"/>
    <w:rsid w:val="777371F7"/>
    <w:rsid w:val="77777F75"/>
    <w:rsid w:val="777A5DA2"/>
    <w:rsid w:val="777EFBF8"/>
    <w:rsid w:val="777F2881"/>
    <w:rsid w:val="779FE39F"/>
    <w:rsid w:val="77A74A59"/>
    <w:rsid w:val="77BF0537"/>
    <w:rsid w:val="77CA22B7"/>
    <w:rsid w:val="77CFE851"/>
    <w:rsid w:val="77DC6B16"/>
    <w:rsid w:val="77DD57A5"/>
    <w:rsid w:val="77EB6F38"/>
    <w:rsid w:val="77EC3899"/>
    <w:rsid w:val="77F6D27D"/>
    <w:rsid w:val="77FAF0F9"/>
    <w:rsid w:val="77FB5FCA"/>
    <w:rsid w:val="77FF5EC3"/>
    <w:rsid w:val="7896FF69"/>
    <w:rsid w:val="78C62CA7"/>
    <w:rsid w:val="78DD3AAF"/>
    <w:rsid w:val="78E035C6"/>
    <w:rsid w:val="78EC4F01"/>
    <w:rsid w:val="79290E9C"/>
    <w:rsid w:val="79DB6361"/>
    <w:rsid w:val="79DD3831"/>
    <w:rsid w:val="79DD7047"/>
    <w:rsid w:val="79EF4163"/>
    <w:rsid w:val="79F70F9D"/>
    <w:rsid w:val="79F7EA97"/>
    <w:rsid w:val="79FD81DA"/>
    <w:rsid w:val="7A2E11B7"/>
    <w:rsid w:val="7A372C58"/>
    <w:rsid w:val="7A7F65B9"/>
    <w:rsid w:val="7ACB5CD4"/>
    <w:rsid w:val="7AD3C0A3"/>
    <w:rsid w:val="7AEF669A"/>
    <w:rsid w:val="7AFC611F"/>
    <w:rsid w:val="7B17E8C7"/>
    <w:rsid w:val="7B35B305"/>
    <w:rsid w:val="7B3FA060"/>
    <w:rsid w:val="7B66209A"/>
    <w:rsid w:val="7B6EA92E"/>
    <w:rsid w:val="7B7E2AF1"/>
    <w:rsid w:val="7B7FF24B"/>
    <w:rsid w:val="7BB77DA2"/>
    <w:rsid w:val="7BBFB07B"/>
    <w:rsid w:val="7BE9D3B9"/>
    <w:rsid w:val="7BE9F3D6"/>
    <w:rsid w:val="7BEC4B25"/>
    <w:rsid w:val="7BEF8155"/>
    <w:rsid w:val="7BEFB708"/>
    <w:rsid w:val="7BEFCCB4"/>
    <w:rsid w:val="7BF21EB8"/>
    <w:rsid w:val="7BF3562A"/>
    <w:rsid w:val="7BFA23F3"/>
    <w:rsid w:val="7BFBF6AE"/>
    <w:rsid w:val="7BFEC2A9"/>
    <w:rsid w:val="7CCE4A80"/>
    <w:rsid w:val="7CD959A1"/>
    <w:rsid w:val="7CEEA162"/>
    <w:rsid w:val="7CF3A506"/>
    <w:rsid w:val="7CFB31F3"/>
    <w:rsid w:val="7D6D5A35"/>
    <w:rsid w:val="7D779B08"/>
    <w:rsid w:val="7D7A5CB5"/>
    <w:rsid w:val="7DBEEF50"/>
    <w:rsid w:val="7DCFFBE8"/>
    <w:rsid w:val="7DDFF10B"/>
    <w:rsid w:val="7DEB0139"/>
    <w:rsid w:val="7DED1DA4"/>
    <w:rsid w:val="7DEF0BA1"/>
    <w:rsid w:val="7DEFBF4D"/>
    <w:rsid w:val="7DFC5DEB"/>
    <w:rsid w:val="7DFD0313"/>
    <w:rsid w:val="7DFD26BD"/>
    <w:rsid w:val="7DFD437B"/>
    <w:rsid w:val="7DFD9EF7"/>
    <w:rsid w:val="7DFDC817"/>
    <w:rsid w:val="7DFE0B95"/>
    <w:rsid w:val="7DFF5EA2"/>
    <w:rsid w:val="7DFF7C29"/>
    <w:rsid w:val="7DFFD1AA"/>
    <w:rsid w:val="7DFFEB9C"/>
    <w:rsid w:val="7E1F38CE"/>
    <w:rsid w:val="7E4BC966"/>
    <w:rsid w:val="7E7733F9"/>
    <w:rsid w:val="7E7E4692"/>
    <w:rsid w:val="7E7FD73F"/>
    <w:rsid w:val="7E7FD86E"/>
    <w:rsid w:val="7E98EDEF"/>
    <w:rsid w:val="7EA7172A"/>
    <w:rsid w:val="7EAE5DBD"/>
    <w:rsid w:val="7EAF801F"/>
    <w:rsid w:val="7EDA18A6"/>
    <w:rsid w:val="7EEDB210"/>
    <w:rsid w:val="7EF53DA0"/>
    <w:rsid w:val="7EFBC351"/>
    <w:rsid w:val="7EFC52A7"/>
    <w:rsid w:val="7EFF9E90"/>
    <w:rsid w:val="7EFF9FCC"/>
    <w:rsid w:val="7F1E1253"/>
    <w:rsid w:val="7F1F5FEF"/>
    <w:rsid w:val="7F36AAAD"/>
    <w:rsid w:val="7F37281E"/>
    <w:rsid w:val="7F37A4B7"/>
    <w:rsid w:val="7F3BEC53"/>
    <w:rsid w:val="7F3EE089"/>
    <w:rsid w:val="7F3F600E"/>
    <w:rsid w:val="7F3FE192"/>
    <w:rsid w:val="7F57809B"/>
    <w:rsid w:val="7F5AD889"/>
    <w:rsid w:val="7F5EA7AD"/>
    <w:rsid w:val="7F5FC5A6"/>
    <w:rsid w:val="7F6A6AA5"/>
    <w:rsid w:val="7F6B0E88"/>
    <w:rsid w:val="7F6D2614"/>
    <w:rsid w:val="7F73ABCE"/>
    <w:rsid w:val="7F77B725"/>
    <w:rsid w:val="7F77B73A"/>
    <w:rsid w:val="7F77C167"/>
    <w:rsid w:val="7F79568C"/>
    <w:rsid w:val="7F7CAAD7"/>
    <w:rsid w:val="7F7D9C9A"/>
    <w:rsid w:val="7F7E0D49"/>
    <w:rsid w:val="7F7FCC6A"/>
    <w:rsid w:val="7F9FC3EE"/>
    <w:rsid w:val="7FB6755A"/>
    <w:rsid w:val="7FB76093"/>
    <w:rsid w:val="7FB7C5D4"/>
    <w:rsid w:val="7FBB3230"/>
    <w:rsid w:val="7FBBE512"/>
    <w:rsid w:val="7FBED25E"/>
    <w:rsid w:val="7FBFB389"/>
    <w:rsid w:val="7FBFBDBD"/>
    <w:rsid w:val="7FCE5485"/>
    <w:rsid w:val="7FD62B7A"/>
    <w:rsid w:val="7FDEEAE5"/>
    <w:rsid w:val="7FDF5D9F"/>
    <w:rsid w:val="7FDFA1DC"/>
    <w:rsid w:val="7FDFCFFE"/>
    <w:rsid w:val="7FE59853"/>
    <w:rsid w:val="7FEA5CBF"/>
    <w:rsid w:val="7FEE0C43"/>
    <w:rsid w:val="7FEF2654"/>
    <w:rsid w:val="7FF3D9AD"/>
    <w:rsid w:val="7FF56837"/>
    <w:rsid w:val="7FF87AA7"/>
    <w:rsid w:val="7FF9FB28"/>
    <w:rsid w:val="7FFA1365"/>
    <w:rsid w:val="7FFA1D8E"/>
    <w:rsid w:val="7FFBA144"/>
    <w:rsid w:val="7FFBC0A7"/>
    <w:rsid w:val="7FFC2451"/>
    <w:rsid w:val="7FFC34A5"/>
    <w:rsid w:val="7FFCEDC6"/>
    <w:rsid w:val="7FFCFDEF"/>
    <w:rsid w:val="7FFD3A9E"/>
    <w:rsid w:val="7FFD9B2F"/>
    <w:rsid w:val="7FFDEB91"/>
    <w:rsid w:val="7FFE5F96"/>
    <w:rsid w:val="7FFE707D"/>
    <w:rsid w:val="7FFEBB57"/>
    <w:rsid w:val="7FFEE6AD"/>
    <w:rsid w:val="7FFF41F5"/>
    <w:rsid w:val="7FFF423A"/>
    <w:rsid w:val="7FFF8BE8"/>
    <w:rsid w:val="7FFF9835"/>
    <w:rsid w:val="7FFFB4BA"/>
    <w:rsid w:val="7FFFF5C0"/>
  </w:rsids>
  <w:docVars>
    <w:docVar w:name="commondata" w:val="eyJoZGlkIjoiNWFhMWI5MDQwNDBiYWI1ZmY5ZTQxYWNiYzY0MTdm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标题 3 字符"/>
    <w:link w:val="Heading3"/>
    <w:qFormat/>
    <w:rPr>
      <w:b/>
      <w:sz w:val="32"/>
    </w:rPr>
  </w:style>
  <w:style w:type="character" w:customStyle="1" w:styleId="1">
    <w:name w:val="标题 1 字符"/>
    <w:link w:val="Heading1"/>
    <w:uiPriority w:val="99"/>
    <w:qFormat/>
    <w:rPr>
      <w:b/>
      <w:kern w:val="44"/>
      <w:sz w:val="44"/>
    </w:rPr>
  </w:style>
  <w:style w:type="character" w:customStyle="1" w:styleId="2">
    <w:name w:val="标题 2 字符"/>
    <w:link w:val="Heading2"/>
    <w:qFormat/>
    <w:rPr>
      <w:rFonts w:ascii="Arial" w:eastAsia="黑体" w:hAnsi="Arial"/>
      <w:b/>
      <w:sz w:val="32"/>
    </w:rPr>
  </w:style>
  <w:style w:type="paragraph" w:styleId="CommentText">
    <w:name w:val="annotation text"/>
    <w:basedOn w:val="Normal"/>
    <w:link w:val="a"/>
    <w:uiPriority w:val="99"/>
    <w:qFormat/>
    <w:pPr>
      <w:jc w:val="left"/>
    </w:pPr>
    <w:rPr>
      <w:kern w:val="0"/>
      <w:sz w:val="20"/>
    </w:rPr>
  </w:style>
  <w:style w:type="character" w:customStyle="1" w:styleId="a">
    <w:name w:val="批注文字 字符"/>
    <w:link w:val="CommentText"/>
    <w:uiPriority w:val="99"/>
    <w:qFormat/>
    <w:locked/>
    <w:rPr>
      <w:rFonts w:ascii="Calibri" w:eastAsia="宋体" w:hAnsi="Calibri" w:cs="Times New Roman"/>
      <w:szCs w:val="24"/>
    </w:rPr>
  </w:style>
  <w:style w:type="paragraph" w:styleId="BodyTextIndent">
    <w:name w:val="Body Text Indent"/>
    <w:basedOn w:val="Normal"/>
    <w:qFormat/>
    <w:pPr>
      <w:spacing w:line="440" w:lineRule="atLeast"/>
      <w:ind w:firstLine="480"/>
    </w:pPr>
    <w:rPr>
      <w:kern w:val="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qFormat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99"/>
    <w:qFormat/>
    <w:rPr>
      <w:rFonts w:cs="Times New Roman"/>
      <w:b/>
    </w:rPr>
  </w:style>
  <w:style w:type="character" w:styleId="CommentReference">
    <w:name w:val="annotation reference"/>
    <w:uiPriority w:val="99"/>
    <w:qFormat/>
    <w:rPr>
      <w:rFonts w:ascii="宋体" w:eastAsia="宋体" w:hAnsi="宋体" w:cs="Times New Roman"/>
      <w:sz w:val="21"/>
      <w:vertAlign w:val="superscript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2016">
    <w:name w:val="2016"/>
    <w:basedOn w:val="Normal"/>
    <w:qFormat/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table" w:customStyle="1" w:styleId="0">
    <w:name w:val="网格型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6.xml" /><Relationship Id="rId11" Type="http://schemas.openxmlformats.org/officeDocument/2006/relationships/hyperlink" Target="https://d.book118.com/217115043112006043" TargetMode="External" /><Relationship Id="rId12" Type="http://schemas.openxmlformats.org/officeDocument/2006/relationships/footer" Target="footer7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157259040</TotalTime>
  <Pages>8</Pages>
  <Words>11543</Words>
  <Characters>15640</Characters>
  <Application>Microsoft Office Word</Application>
  <DocSecurity>0</DocSecurity>
  <Lines>145</Lines>
  <Paragraphs>41</Paragraphs>
  <ScaleCrop>false</ScaleCrop>
  <Company/>
  <LinksUpToDate>false</LinksUpToDate>
  <CharactersWithSpaces>16249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17</cp:revision>
  <cp:lastPrinted>2022-05-03T15:13:00Z</cp:lastPrinted>
  <dcterms:created xsi:type="dcterms:W3CDTF">2022-01-20T00:48:00Z</dcterms:created>
  <dcterms:modified xsi:type="dcterms:W3CDTF">2023-08-12T13:21:56Z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DF20740AE0954913A768BD02452C5DE2_13</vt:lpwstr>
  </property>
  <property fmtid="{D5CDD505-2E9C-101B-9397-08002B2CF9AE}" pid="3" name="KSOProductBuildVer">
    <vt:lpwstr>2052-12.1.0.15120</vt:lpwstr>
  </property>
</Properties>
</file>