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靶向给药材料项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3270449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二)、靶向给药材料项目总平面设计要求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、靶向给药材料项目建设期原辅材料供应情况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)、靶向给药材料项目运营期原辅材料供应及质量管理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四、靶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向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给药材料项目建设背景及必要性分析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)、靶向给药材料项目技术工艺分析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)、靶向给药材料项目技术流程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)、靶向给药材料项目对环境的主要影响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0427992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)、靶向给药材料项目进度安排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)、靶向给药材料项目实施保障措施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十、靶向给药材料项目管理与团队协作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一)、靶向给药材料项目管理方法论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(二)、靶向给药材料项目计划与进度管理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201979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五)、靶向给药材料项目风险管理与应对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旨在规范和指导靶向给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药材料项目的实施</w:t>
      </w:r>
      <w:r>
        <w:rPr>
          <w:rFonts w:ascii="FangSong" w:eastAsia="FangSong" w:hAnsi="FangSong" w:cs="FangSong"/>
          <w:spacing w:val="-3"/>
          <w:sz w:val="28"/>
          <w:szCs w:val="28"/>
        </w:rPr>
        <w:t>过程。本方案的开展将包括靶向给药材料项目的目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的和背景、需求分析、项目范围、时间计划、资源分配等重要内</w:t>
      </w:r>
      <w:r>
        <w:rPr>
          <w:rFonts w:ascii="FangSong" w:eastAsia="FangSong" w:hAnsi="FangSong" w:cs="FangSong"/>
          <w:spacing w:val="-1"/>
          <w:sz w:val="28"/>
          <w:szCs w:val="28"/>
        </w:rPr>
        <w:t>容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此</w:t>
      </w:r>
      <w:r>
        <w:rPr>
          <w:rFonts w:ascii="FangSong" w:eastAsia="FangSong" w:hAnsi="FangSong" w:cs="FangSong"/>
          <w:spacing w:val="-8"/>
          <w:sz w:val="28"/>
          <w:szCs w:val="28"/>
        </w:rPr>
        <w:t>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认知的平台。请注意，本方案不可做为商业用途，只用作学习交</w:t>
      </w:r>
      <w:r>
        <w:rPr>
          <w:rFonts w:ascii="FangSong" w:eastAsia="FangSong" w:hAnsi="FangSong" w:cs="FangSong"/>
          <w:spacing w:val="-1"/>
          <w:sz w:val="28"/>
          <w:szCs w:val="28"/>
        </w:rPr>
        <w:t>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在靶</w:t>
      </w:r>
      <w:r>
        <w:rPr>
          <w:rFonts w:ascii="FangSong" w:eastAsia="FangSong" w:hAnsi="FangSong" w:cs="FangSong"/>
          <w:spacing w:val="-15"/>
          <w:sz w:val="28"/>
          <w:szCs w:val="28"/>
        </w:rPr>
        <w:t>向</w:t>
      </w:r>
      <w:r>
        <w:rPr>
          <w:rFonts w:ascii="FangSong" w:eastAsia="FangSong" w:hAnsi="FangSong" w:cs="FangSong"/>
          <w:spacing w:val="-8"/>
          <w:sz w:val="28"/>
          <w:szCs w:val="28"/>
        </w:rPr>
        <w:t>给药材料项目的建筑工程设计过程中，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以确保靶向给药材料项目的可持续发展和建筑结构的安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全</w:t>
      </w:r>
      <w:r>
        <w:rPr>
          <w:rFonts w:ascii="FangSong" w:eastAsia="FangSong" w:hAnsi="FangSong" w:cs="FangSong"/>
          <w:spacing w:val="-18"/>
          <w:sz w:val="28"/>
          <w:szCs w:val="28"/>
        </w:rPr>
        <w:t>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二)、靶向给药材料项目总平面设计要求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设计</w:t>
      </w:r>
      <w:r>
        <w:rPr>
          <w:rFonts w:ascii="FangSong" w:eastAsia="FangSong" w:hAnsi="FangSong" w:cs="FangSong"/>
          <w:spacing w:val="-4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定，适应靶向</w:t>
      </w:r>
      <w:r>
        <w:rPr>
          <w:rFonts w:ascii="FangSong" w:eastAsia="FangSong" w:hAnsi="FangSong" w:cs="FangSong"/>
          <w:spacing w:val="-3"/>
          <w:sz w:val="28"/>
          <w:szCs w:val="28"/>
        </w:rPr>
        <w:t>给</w:t>
      </w:r>
      <w:r>
        <w:rPr>
          <w:rFonts w:ascii="FangSong" w:eastAsia="FangSong" w:hAnsi="FangSong" w:cs="FangSong"/>
          <w:spacing w:val="-2"/>
          <w:sz w:val="28"/>
          <w:szCs w:val="28"/>
        </w:rPr>
        <w:t>药材料项目的实际使用需要。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62" w:right="82" w:firstLine="5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靶</w:t>
      </w:r>
      <w:r>
        <w:rPr>
          <w:rFonts w:ascii="FangSong" w:eastAsia="FangSong" w:hAnsi="FangSong" w:cs="FangSong"/>
          <w:spacing w:val="-8"/>
          <w:sz w:val="28"/>
          <w:szCs w:val="28"/>
        </w:rPr>
        <w:t>向给药材料项目所处地区的地质条件和地震风险，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当的抗震设</w:t>
      </w:r>
      <w:r>
        <w:rPr>
          <w:rFonts w:ascii="FangSong" w:eastAsia="FangSong" w:hAnsi="FangSong" w:cs="FangSong"/>
          <w:spacing w:val="-7"/>
          <w:sz w:val="28"/>
          <w:szCs w:val="28"/>
        </w:rPr>
        <w:t>防</w:t>
      </w:r>
      <w:r>
        <w:rPr>
          <w:rFonts w:ascii="FangSong" w:eastAsia="FangSong" w:hAnsi="FangSong" w:cs="FangSong"/>
          <w:spacing w:val="-4"/>
          <w:sz w:val="28"/>
          <w:szCs w:val="28"/>
        </w:rPr>
        <w:t>烈度。结构将被设计以保证在地震发生时能够安全稳定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承受地震作用。</w:t>
      </w:r>
    </w:p>
    <w:p>
      <w:pPr>
        <w:spacing w:before="289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7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结合靶向给药材料项目的实际需求和环境条件，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能够</w:t>
      </w:r>
      <w:r>
        <w:rPr>
          <w:rFonts w:ascii="FangSong" w:eastAsia="FangSong" w:hAnsi="FangSong" w:cs="FangSong"/>
          <w:spacing w:val="-3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筑工程的设计总体要求是确保靶向给药材料项目实现预期功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得平衡。</w:t>
      </w:r>
      <w:r>
        <w:rPr>
          <w:rFonts w:ascii="FangSong" w:eastAsia="FangSong" w:hAnsi="FangSong" w:cs="FangSong"/>
          <w:spacing w:val="-4"/>
          <w:sz w:val="28"/>
          <w:szCs w:val="28"/>
        </w:rPr>
        <w:t>下</w:t>
      </w:r>
      <w:r>
        <w:rPr>
          <w:rFonts w:ascii="FangSong" w:eastAsia="FangSong" w:hAnsi="FangSong" w:cs="FangSong"/>
          <w:spacing w:val="-3"/>
          <w:sz w:val="28"/>
          <w:szCs w:val="28"/>
        </w:rPr>
        <w:t>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1" w:right="9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建筑的功能布局满足靶向给药材料项目需求，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</w:t>
      </w:r>
      <w:r>
        <w:rPr>
          <w:rFonts w:ascii="FangSong" w:eastAsia="FangSong" w:hAnsi="FangSong" w:cs="FangSong"/>
          <w:spacing w:val="-2"/>
          <w:sz w:val="28"/>
          <w:szCs w:val="28"/>
        </w:rPr>
        <w:t>足靶向给药材料项目的长期发展需求。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1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靶向给药材料项目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靶向给药材料项目的功能布局和需求，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靶向给药材料项目总投资比例：</w:t>
      </w:r>
    </w:p>
    <w:p>
      <w:pPr>
        <w:spacing w:before="290" w:line="416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靶</w:t>
      </w:r>
      <w:r>
        <w:rPr>
          <w:rFonts w:ascii="FangSong" w:eastAsia="FangSong" w:hAnsi="FangSong" w:cs="FangSong"/>
          <w:spacing w:val="-3"/>
          <w:sz w:val="28"/>
          <w:szCs w:val="28"/>
        </w:rPr>
        <w:t>向给药材料项目总投资的比例为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投资结</w:t>
      </w:r>
      <w:r>
        <w:rPr>
          <w:rFonts w:ascii="FangSong" w:eastAsia="FangSong" w:hAnsi="FangSong" w:cs="FangSong"/>
          <w:spacing w:val="-3"/>
          <w:sz w:val="28"/>
          <w:szCs w:val="28"/>
        </w:rPr>
        <w:t>构</w:t>
      </w:r>
      <w:r>
        <w:rPr>
          <w:rFonts w:ascii="FangSong" w:eastAsia="FangSong" w:hAnsi="FangSong" w:cs="FangSong"/>
          <w:spacing w:val="-2"/>
          <w:sz w:val="28"/>
          <w:szCs w:val="28"/>
        </w:rPr>
        <w:t>中占有合理比例，确保资金分配的均衡性。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满足未来靶向给药材料项目运营的需求，同时避免了过度浪费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靶向给药材料项目整体布局：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使靶向给药材料项目更好地适应当地的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(一)、靶向给药材料项目建设期原辅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在靶</w:t>
      </w:r>
      <w:r>
        <w:rPr>
          <w:rFonts w:ascii="FangSong" w:eastAsia="FangSong" w:hAnsi="FangSong" w:cs="FangSong"/>
          <w:spacing w:val="-15"/>
          <w:sz w:val="28"/>
          <w:szCs w:val="28"/>
        </w:rPr>
        <w:t>向</w:t>
      </w:r>
      <w:r>
        <w:rPr>
          <w:rFonts w:ascii="FangSong" w:eastAsia="FangSong" w:hAnsi="FangSong" w:cs="FangSong"/>
          <w:spacing w:val="-8"/>
          <w:sz w:val="28"/>
          <w:szCs w:val="28"/>
        </w:rPr>
        <w:t>给药材料项目的建设和运营过程中，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保工程顺利进行和</w:t>
      </w:r>
      <w:r>
        <w:rPr>
          <w:rFonts w:ascii="FangSong" w:eastAsia="FangSong" w:hAnsi="FangSong" w:cs="FangSong"/>
          <w:spacing w:val="-3"/>
          <w:sz w:val="28"/>
          <w:szCs w:val="28"/>
        </w:rPr>
        <w:t>产品质量稳定的重要环节。本章将详细探讨靶向给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药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靶向给药材料项目建设期原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在靶</w:t>
      </w:r>
      <w:r>
        <w:rPr>
          <w:rFonts w:ascii="FangSong" w:eastAsia="FangSong" w:hAnsi="FangSong" w:cs="FangSong"/>
          <w:spacing w:val="-15"/>
          <w:sz w:val="28"/>
          <w:szCs w:val="28"/>
        </w:rPr>
        <w:t>向</w:t>
      </w:r>
      <w:r>
        <w:rPr>
          <w:rFonts w:ascii="FangSong" w:eastAsia="FangSong" w:hAnsi="FangSong" w:cs="FangSong"/>
          <w:spacing w:val="-8"/>
          <w:sz w:val="28"/>
          <w:szCs w:val="28"/>
        </w:rPr>
        <w:t>给药材料项目建设期间，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和质量有着直接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影响。下面是靶向给药材料项目建设期原辅材料供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(二)、靶向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给药材料项目运营期原辅材料供应及质量管理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</w:t>
      </w:r>
      <w:r>
        <w:rPr>
          <w:rFonts w:ascii="FangSong" w:eastAsia="FangSong" w:hAnsi="FangSong" w:cs="FangSong"/>
          <w:spacing w:val="-4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理同样至关重要。下面是靶向给药材料项目运营期原辅材料供应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8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before="291"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</w:t>
      </w:r>
      <w:r>
        <w:rPr>
          <w:rFonts w:ascii="FangSong" w:eastAsia="FangSong" w:hAnsi="FangSong" w:cs="FangSong"/>
          <w:spacing w:val="-4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域使得该行业成为科技进步、市场需求不断演变的前沿阵地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2" w:right="8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靶向给药材料行业在技术上取得了显著的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方向迅速发展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2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**靶向给药材料行业**是一片充满活力的领域，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和服务。根据最新的统计数据，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7" w:line="416" w:lineRule="auto"/>
        <w:ind w:left="34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right="14" w:firstLine="5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</w:t>
      </w:r>
      <w:r>
        <w:rPr>
          <w:rFonts w:ascii="FangSong" w:eastAsia="FangSong" w:hAnsi="FangSong" w:cs="FangSong"/>
          <w:spacing w:val="-4"/>
          <w:sz w:val="28"/>
          <w:szCs w:val="28"/>
        </w:rPr>
        <w:t>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主要受益于消费</w:t>
      </w:r>
      <w:r>
        <w:rPr>
          <w:rFonts w:ascii="FangSong" w:eastAsia="FangSong" w:hAnsi="FangSong" w:cs="FangSong"/>
          <w:spacing w:val="-5"/>
          <w:sz w:val="28"/>
          <w:szCs w:val="28"/>
        </w:rPr>
        <w:t>者</w:t>
      </w:r>
      <w:r>
        <w:rPr>
          <w:rFonts w:ascii="FangSong" w:eastAsia="FangSong" w:hAnsi="FangSong" w:cs="FangSong"/>
          <w:spacing w:val="-3"/>
          <w:sz w:val="28"/>
          <w:szCs w:val="28"/>
        </w:rPr>
        <w:t>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扩大也为新进入者提供了更多的机遇，加剧了行业内的竞争。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4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靶向给药材料行业在技术上取得了显著的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为行业带来了更多的发展可能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性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四、靶向给药材料项目建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firstLine="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3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、靶向给药材料项目技术工艺分析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提供优质产品和服务。保障工艺流程能够满足靶向给药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材</w:t>
      </w:r>
      <w:r>
        <w:rPr>
          <w:rFonts w:ascii="FangSong" w:eastAsia="FangSong" w:hAnsi="FangSong" w:cs="FangSong"/>
          <w:spacing w:val="-12"/>
          <w:sz w:val="28"/>
          <w:szCs w:val="28"/>
        </w:rPr>
        <w:t>料项目产品要求，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进行操作，提高产品合格率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40" w:right="1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靶向给药材料项目建设贯彻“三同时”的原则，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靶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10"/>
          <w:sz w:val="28"/>
          <w:szCs w:val="28"/>
        </w:rPr>
        <w:t>给药材料项目的技术保障措施从设计、施工、试运行到投产、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以确保靶向给药材料项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目在技术开发和生</w:t>
      </w:r>
      <w:r>
        <w:rPr>
          <w:rFonts w:ascii="FangSong" w:eastAsia="FangSong" w:hAnsi="FangSong" w:cs="FangSong"/>
          <w:spacing w:val="-3"/>
          <w:sz w:val="28"/>
          <w:szCs w:val="28"/>
        </w:rPr>
        <w:t>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持将确保靶向给药材料项目的可持续发展和高效运营。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向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给药材料项目技术流程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07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在靶向给药材料</w:t>
      </w:r>
      <w:r>
        <w:rPr>
          <w:rFonts w:ascii="FangSong" w:eastAsia="FangSong" w:hAnsi="FangSong" w:cs="FangSong"/>
          <w:spacing w:val="-2"/>
          <w:sz w:val="28"/>
          <w:szCs w:val="28"/>
        </w:rPr>
        <w:t>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7" w:lineRule="auto"/>
        <w:ind w:left="33" w:right="14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据分析工具监测和分析靶向给药材料项目各环节数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6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共同构建了高效、稳定的靶向给药材料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项目技</w:t>
      </w:r>
      <w:r>
        <w:rPr>
          <w:rFonts w:ascii="FangSong" w:eastAsia="FangSong" w:hAnsi="FangSong" w:cs="FangSong"/>
          <w:spacing w:val="-3"/>
          <w:sz w:val="28"/>
          <w:szCs w:val="28"/>
        </w:rPr>
        <w:t>术</w:t>
      </w:r>
      <w:r>
        <w:rPr>
          <w:rFonts w:ascii="FangSong" w:eastAsia="FangSong" w:hAnsi="FangSong" w:cs="FangSong"/>
          <w:spacing w:val="-2"/>
          <w:sz w:val="28"/>
          <w:szCs w:val="28"/>
        </w:rPr>
        <w:t>实施框架，确保靶向给药材料项目顺利推进。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确保选用的设备能够满足靶向给药材料项目的技术要求，例如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right="18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所选设备与靶向给药材料项目工艺流程相匹配，例如：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认</w:t>
      </w:r>
      <w:r>
        <w:rPr>
          <w:rFonts w:ascii="FangSong" w:eastAsia="FangSong" w:hAnsi="FangSong" w:cs="FangSong"/>
          <w:spacing w:val="-2"/>
          <w:sz w:val="28"/>
          <w:szCs w:val="28"/>
        </w:rPr>
        <w:t>设备的生产能力是否符合靶向给药材料项目的产能需求。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90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工作</w:t>
      </w:r>
      <w:r>
        <w:rPr>
          <w:rFonts w:ascii="FangSong" w:eastAsia="FangSong" w:hAnsi="FangSong" w:cs="FangSong"/>
          <w:spacing w:val="-4"/>
          <w:sz w:val="28"/>
          <w:szCs w:val="28"/>
        </w:rPr>
        <w:t>场所的合法合规运营。具体措施包括：</w:t>
      </w:r>
    </w:p>
    <w:p>
      <w:pPr>
        <w:spacing w:before="2" w:line="411" w:lineRule="auto"/>
        <w:ind w:left="35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靶向给药材料项目团队将定期审核国家和地方的劳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动安全法规，确保所有的员工和工作场所都符合最新的法规要求。</w:t>
      </w:r>
    </w:p>
    <w:p>
      <w:pPr>
        <w:spacing w:before="1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应对靶向给药材料项目所在行业的特殊性，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靶向给药材料项目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参考并采用相关技术标准，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做法包括：</w:t>
      </w:r>
    </w:p>
    <w:p>
      <w:pPr>
        <w:spacing w:before="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6" w:lineRule="auto"/>
        <w:ind w:left="33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7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药</w:t>
      </w:r>
      <w:r>
        <w:rPr>
          <w:rFonts w:ascii="FangSong" w:eastAsia="FangSong" w:hAnsi="FangSong" w:cs="FangSong"/>
          <w:spacing w:val="-6"/>
          <w:sz w:val="28"/>
          <w:szCs w:val="28"/>
        </w:rPr>
        <w:t>材料项目将采取以下措施：</w:t>
      </w:r>
    </w:p>
    <w:p>
      <w:pPr>
        <w:spacing w:before="1" w:line="411" w:lineRule="auto"/>
        <w:ind w:left="32" w:right="10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101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16" w:lineRule="auto"/>
        <w:ind w:left="33" w:right="1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过进行全员劳动安全培训，靶向给药材料项目将覆盖以下方面：</w:t>
      </w:r>
    </w:p>
    <w:p>
      <w:pPr>
        <w:spacing w:before="292" w:line="411" w:lineRule="auto"/>
        <w:ind w:left="40" w:right="101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1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7" w:line="416" w:lineRule="auto"/>
        <w:ind w:left="37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靶向给药材料项目将提供适当的个人防护用具，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9"/>
          <w:sz w:val="28"/>
          <w:szCs w:val="28"/>
        </w:rPr>
        <w:t>中的人身安全：</w:t>
      </w:r>
    </w:p>
    <w:p>
      <w:pPr>
        <w:sectPr>
          <w:pgSz w:w="11906" w:h="16839"/>
          <w:pgMar w:top="1431" w:right="1698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5" w:line="411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靶向给药材料项目将采取以下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措施：</w:t>
      </w:r>
    </w:p>
    <w:p>
      <w:pPr>
        <w:spacing w:before="1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5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靶向给药材料项目将确保工作环境符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全标准：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right="6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before="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10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5" w:lineRule="auto"/>
        <w:ind w:left="30" w:right="102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2" w:line="416" w:lineRule="auto"/>
        <w:ind w:left="32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靶向给药材料项目将最大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度地降低工作中的安全风险，创造一个安全、可靠的工作环境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全卫生专用设施设计：在靶向给药材料项目建设过程中，我们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对安全卫生进行了周</w:t>
      </w:r>
      <w:r>
        <w:rPr>
          <w:rFonts w:ascii="FangSong" w:eastAsia="FangSong" w:hAnsi="FangSong" w:cs="FangSong"/>
          <w:spacing w:val="-3"/>
          <w:sz w:val="28"/>
          <w:szCs w:val="28"/>
        </w:rPr>
        <w:t>详</w:t>
      </w:r>
      <w:r>
        <w:rPr>
          <w:rFonts w:ascii="FangSong" w:eastAsia="FangSong" w:hAnsi="FangSong" w:cs="FangSong"/>
          <w:spacing w:val="-2"/>
          <w:sz w:val="28"/>
          <w:szCs w:val="28"/>
        </w:rPr>
        <w:t>的考虑，精心设计和配置了一系列专用设施，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pacing w:val="-8"/>
          <w:sz w:val="28"/>
          <w:szCs w:val="28"/>
        </w:rPr>
        <w:t>靶</w:t>
      </w:r>
      <w:r>
        <w:rPr>
          <w:rFonts w:ascii="FangSong" w:eastAsia="FangSong" w:hAnsi="FangSong" w:cs="FangSong"/>
          <w:spacing w:val="-6"/>
          <w:sz w:val="28"/>
          <w:szCs w:val="28"/>
        </w:rPr>
        <w:t>向给药材料项目的全方位安全保障。这包括了防火防爆设施、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火灾自动报警系统、水消防系统、空调设施、岗位通风设施、隔</w:t>
      </w:r>
      <w:r>
        <w:rPr>
          <w:rFonts w:ascii="FangSong" w:eastAsia="FangSong" w:hAnsi="FangSong" w:cs="FangSong"/>
          <w:spacing w:val="-3"/>
          <w:sz w:val="28"/>
          <w:szCs w:val="28"/>
        </w:rPr>
        <w:t>声</w:t>
      </w:r>
      <w:r>
        <w:rPr>
          <w:rFonts w:ascii="FangSong" w:eastAsia="FangSong" w:hAnsi="FangSong" w:cs="FangSong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噪</w:t>
      </w:r>
      <w:r>
        <w:rPr>
          <w:rFonts w:ascii="FangSong" w:eastAsia="FangSong" w:hAnsi="FangSong" w:cs="FangSong"/>
          <w:spacing w:val="-8"/>
          <w:sz w:val="28"/>
          <w:szCs w:val="28"/>
        </w:rPr>
        <w:t>设施、安全供水以及安全供电设施。通过这些设施的配备，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确保生产过程中所有设备和工作环境都符合高标准的安全要求，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员工提供一个安全的工作场所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1" w:lineRule="auto"/>
        <w:ind w:left="38" w:right="189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取与生产工艺相匹配：针对靶向给药材料项目特有的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生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全</w:t>
      </w:r>
      <w:r>
        <w:rPr>
          <w:rFonts w:ascii="FangSong" w:eastAsia="FangSong" w:hAnsi="FangSong" w:cs="FangSong"/>
          <w:spacing w:val="-11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卫生风险中安全工作。这些措施符合相关标准和规范的要求，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操</w:t>
      </w:r>
      <w:r>
        <w:rPr>
          <w:rFonts w:ascii="FangSong" w:eastAsia="FangSong" w:hAnsi="FangSong" w:cs="FangSong"/>
          <w:spacing w:val="-8"/>
          <w:sz w:val="28"/>
          <w:szCs w:val="28"/>
        </w:rPr>
        <w:t>作人员遵守相应的安全操作规程，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下</w:t>
      </w:r>
      <w:r>
        <w:rPr>
          <w:rFonts w:ascii="FangSong" w:eastAsia="FangSong" w:hAnsi="FangSong" w:cs="FangSong"/>
          <w:spacing w:val="-8"/>
          <w:sz w:val="28"/>
          <w:szCs w:val="28"/>
        </w:rPr>
        <w:t>进行工作。</w:t>
      </w:r>
    </w:p>
    <w:p>
      <w:pPr>
        <w:spacing w:before="3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用先进、成熟、可靠的生产技术：靶向给药材料项目设计中采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了先进、成熟、可靠的生产技术，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策。我们根据实际情况采取了一系列完善的安全卫生措施，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员工在高效生</w:t>
      </w:r>
      <w:r>
        <w:rPr>
          <w:rFonts w:ascii="FangSong" w:eastAsia="FangSong" w:hAnsi="FangSong" w:cs="FangSong"/>
          <w:spacing w:val="-2"/>
          <w:sz w:val="28"/>
          <w:szCs w:val="28"/>
        </w:rPr>
        <w:t>产的同时，充分保障其劳动安全。</w:t>
      </w:r>
    </w:p>
    <w:p>
      <w:pPr>
        <w:spacing w:before="2" w:line="415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确保工程靶向给药材料项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https://d.book118.com/217116056024006053</w:t>
        </w:r>
      </w:hyperlink>
    </w:p>
    <w:p/>
    <w:sectPr>
      <w:pgSz w:w="11906" w:h="16839"/>
      <w:pgMar w:top="1431" w:right="1610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17116056024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2024-03-13T13:26:55Z</vt:filetime>
  </property>
  <property fmtid="{D5CDD505-2E9C-101B-9397-08002B2CF9AE}" pid="3" name="CRO">
    <vt:lpwstr>wqlLaW5nc29mdCBQREYgdG8gV1BTIDgw</vt:lpwstr>
  </property>
</Properties>
</file>