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83"/>
        <w:ind w:left="636" w:right="1648" w:firstLine="0"/>
        <w:jc w:val="center"/>
        <w:rPr>
          <w:sz w:val="27"/>
        </w:rPr>
      </w:pPr>
      <w:r>
        <w:pict>
          <v:group id="_x0000_s1025" style="width:893pt;height:1248pt;margin-top:0;margin-left:0;mso-position-horizontal-relative:page;mso-position-vertical-relative:page;position:absolute;z-index:-251658240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4980;height:260;left:1120;position:absolute;top:820" stroked="f">
              <v:imagedata r:id="rId4" o:title=""/>
            </v:shape>
            <v:shape id="_x0000_s1027" type="#_x0000_t75" style="width:17860;height:24960;position:absolute" stroked="f">
              <v:imagedata r:id="rId5" o:title=""/>
            </v:shape>
          </v:group>
        </w:pict>
      </w:r>
      <w:r>
        <w:rPr>
          <w:rFonts w:ascii="Arial" w:eastAsia="Arial"/>
          <w:sz w:val="27"/>
        </w:rPr>
        <w:t xml:space="preserve">WORD </w:t>
      </w:r>
      <w:r>
        <w:rPr>
          <w:sz w:val="27"/>
        </w:rPr>
        <w:t>格式可下载</w:t>
      </w:r>
    </w:p>
    <w:p>
      <w:pPr>
        <w:spacing w:before="169" w:line="266" w:lineRule="auto"/>
        <w:ind w:left="637" w:right="1648" w:firstLine="0"/>
        <w:jc w:val="center"/>
        <w:rPr>
          <w:sz w:val="66"/>
        </w:rPr>
      </w:pPr>
      <w:r>
        <w:rPr>
          <w:sz w:val="66"/>
        </w:rPr>
        <w:t>杭政储出[2012]44</w:t>
      </w:r>
      <w:r>
        <w:rPr>
          <w:spacing w:val="-23"/>
          <w:sz w:val="66"/>
        </w:rPr>
        <w:t xml:space="preserve"> 号块地商品住宅</w:t>
      </w:r>
      <w:r>
        <w:rPr>
          <w:sz w:val="66"/>
        </w:rPr>
        <w:t>（设配套公建</w:t>
      </w:r>
      <w:r>
        <w:rPr>
          <w:spacing w:val="-16"/>
          <w:sz w:val="66"/>
        </w:rPr>
        <w:t xml:space="preserve">） </w:t>
      </w:r>
      <w:r>
        <w:rPr>
          <w:sz w:val="66"/>
        </w:rPr>
        <w:t>项目总承包工程</w:t>
      </w:r>
    </w:p>
    <w:p>
      <w:pPr>
        <w:pStyle w:val="BodyText"/>
        <w:spacing w:before="5"/>
        <w:rPr>
          <w:sz w:val="66"/>
        </w:rPr>
      </w:pPr>
    </w:p>
    <w:p>
      <w:pPr>
        <w:pStyle w:val="Title"/>
        <w:spacing w:line="218" w:lineRule="auto"/>
      </w:pPr>
      <w:r>
        <w:rPr>
          <w:w w:val="95"/>
        </w:rPr>
        <w:t>施工现场安全防护措施方案</w:t>
      </w:r>
    </w:p>
    <w:p>
      <w:pPr>
        <w:pStyle w:val="BodyText"/>
        <w:rPr>
          <w:b/>
          <w:sz w:val="72"/>
        </w:rPr>
      </w:pPr>
    </w:p>
    <w:p>
      <w:pPr>
        <w:pStyle w:val="BodyText"/>
        <w:spacing w:before="5"/>
        <w:rPr>
          <w:b/>
          <w:sz w:val="72"/>
        </w:rPr>
      </w:pPr>
    </w:p>
    <w:p>
      <w:pPr>
        <w:pStyle w:val="Heading2"/>
        <w:tabs>
          <w:tab w:val="left" w:pos="4976"/>
        </w:tabs>
        <w:ind w:left="3709" w:firstLine="0"/>
      </w:pPr>
      <w:r>
        <w:t>编</w:t>
        <w:tab/>
      </w:r>
      <w:r>
        <w:rPr>
          <w:w w:val="95"/>
        </w:rPr>
        <w:t>制：</w:t>
      </w:r>
    </w:p>
    <w:p>
      <w:pPr>
        <w:pStyle w:val="BodyText"/>
        <w:rPr>
          <w:b/>
          <w:sz w:val="31"/>
        </w:rPr>
      </w:pPr>
    </w:p>
    <w:p>
      <w:pPr>
        <w:tabs>
          <w:tab w:val="left" w:pos="4976"/>
        </w:tabs>
        <w:spacing w:before="1"/>
        <w:ind w:left="3709" w:right="0" w:firstLine="0"/>
        <w:jc w:val="left"/>
        <w:rPr>
          <w:b/>
          <w:sz w:val="42"/>
        </w:rPr>
      </w:pPr>
      <w:r>
        <w:rPr>
          <w:b/>
          <w:sz w:val="42"/>
        </w:rPr>
        <w:t>审</w:t>
        <w:tab/>
      </w:r>
      <w:r>
        <w:rPr>
          <w:b/>
          <w:w w:val="95"/>
          <w:sz w:val="42"/>
        </w:rPr>
        <w:t>核：</w:t>
      </w:r>
    </w:p>
    <w:p>
      <w:pPr>
        <w:pStyle w:val="BodyText"/>
        <w:rPr>
          <w:b/>
          <w:sz w:val="31"/>
        </w:rPr>
      </w:pPr>
    </w:p>
    <w:p>
      <w:pPr>
        <w:pStyle w:val="Heading2"/>
        <w:tabs>
          <w:tab w:val="left" w:pos="4976"/>
        </w:tabs>
        <w:spacing w:line="417" w:lineRule="auto"/>
        <w:ind w:left="3709" w:right="11138" w:firstLine="0"/>
      </w:pPr>
      <w:r>
        <w:t>审</w:t>
        <w:tab/>
        <w:t>批</w:t>
      </w:r>
      <w:r>
        <w:rPr>
          <w:spacing w:val="-17"/>
        </w:rPr>
        <w:t xml:space="preserve">： </w:t>
      </w:r>
      <w:r>
        <w:rPr>
          <w:w w:val="95"/>
        </w:rPr>
        <w:t>编制日期</w:t>
      </w:r>
      <w:r>
        <w:rPr>
          <w:spacing w:val="-14"/>
          <w:w w:val="95"/>
        </w:rPr>
        <w:t>：</w:t>
      </w:r>
    </w:p>
    <w:p>
      <w:pPr>
        <w:pStyle w:val="BodyText"/>
        <w:rPr>
          <w:b/>
        </w:rPr>
      </w:pPr>
    </w:p>
    <w:p>
      <w:pPr>
        <w:pStyle w:val="BodyText"/>
        <w:spacing w:before="8"/>
        <w:rPr>
          <w:b/>
          <w:sz w:val="53"/>
        </w:rPr>
      </w:pPr>
    </w:p>
    <w:p>
      <w:pPr>
        <w:spacing w:before="1"/>
        <w:ind w:left="637" w:right="866" w:firstLine="0"/>
        <w:jc w:val="center"/>
        <w:rPr>
          <w:b/>
          <w:sz w:val="54"/>
        </w:rPr>
      </w:pPr>
      <w:r>
        <w:rPr>
          <w:b/>
          <w:sz w:val="54"/>
        </w:rPr>
        <w:t>浙江省建设投资集团有限公司</w:t>
      </w: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spacing w:before="5"/>
        <w:rPr>
          <w:b/>
          <w:sz w:val="60"/>
        </w:rPr>
      </w:pPr>
    </w:p>
    <w:p>
      <w:pPr>
        <w:tabs>
          <w:tab w:val="left" w:pos="6852"/>
        </w:tabs>
        <w:spacing w:before="0"/>
        <w:ind w:left="3612" w:right="0" w:firstLine="0"/>
        <w:jc w:val="left"/>
        <w:rPr>
          <w:sz w:val="27"/>
        </w:rPr>
      </w:pPr>
      <w:r>
        <w:rPr>
          <w:sz w:val="27"/>
        </w:rPr>
        <w:t>专业技术资料</w:t>
        <w:tab/>
        <w:t>编辑整理分享</w:t>
      </w:r>
    </w:p>
    <w:p>
      <w:pPr>
        <w:spacing w:after="0"/>
        <w:jc w:val="left"/>
        <w:rPr>
          <w:sz w:val="27"/>
        </w:rPr>
        <w:sectPr>
          <w:type w:val="continuous"/>
          <w:pgSz w:w="17860" w:h="25260"/>
          <w:pgMar w:top="520" w:right="260" w:bottom="280" w:left="640" w:header="708" w:footer="708"/>
          <w:cols w:space="708"/>
        </w:sectPr>
      </w:pPr>
    </w:p>
    <w:p>
      <w:pPr>
        <w:pStyle w:val="BodyText"/>
        <w:spacing w:before="8"/>
        <w:rPr>
          <w:sz w:val="11"/>
        </w:rPr>
      </w:pPr>
    </w:p>
    <w:p>
      <w:pPr>
        <w:spacing w:before="7"/>
        <w:ind w:left="635" w:right="1648" w:firstLine="0"/>
        <w:jc w:val="center"/>
        <w:rPr>
          <w:rFonts w:ascii="仿宋" w:eastAsia="仿宋" w:hint="eastAsia"/>
          <w:sz w:val="66"/>
        </w:rPr>
      </w:pPr>
      <w:r>
        <w:rPr>
          <w:rFonts w:ascii="仿宋" w:eastAsia="仿宋" w:hint="eastAsia"/>
          <w:sz w:val="66"/>
        </w:rPr>
        <w:t>目 录</w:t>
      </w:r>
    </w:p>
    <w:sdt>
      <w:sdtPr>
        <w:id w:val="1161582810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leader="dot" w:pos="14730"/>
            </w:tabs>
            <w:spacing w:before="448"/>
            <w:rPr>
              <w:rFonts w:ascii="Arial" w:eastAsia="Arial"/>
              <w:sz w:val="31"/>
            </w:rPr>
          </w:pPr>
          <w:hyperlink w:anchor="_TOC_250015" w:history="1">
            <w:r>
              <w:t>一、基坑临边防护</w:t>
              <w:tab/>
            </w:r>
            <w:r>
              <w:rPr>
                <w:rFonts w:ascii="Arial" w:eastAsia="Arial"/>
                <w:position w:val="-8"/>
                <w:sz w:val="31"/>
              </w:rPr>
              <w:t>2</w:t>
            </w:r>
          </w:hyperlink>
        </w:p>
        <w:p>
          <w:pPr>
            <w:pStyle w:val="TOC1"/>
            <w:tabs>
              <w:tab w:val="left" w:leader="dot" w:pos="14730"/>
            </w:tabs>
            <w:rPr>
              <w:rFonts w:ascii="Arial" w:eastAsia="Arial"/>
              <w:sz w:val="31"/>
            </w:rPr>
          </w:pPr>
          <w:hyperlink w:anchor="_TOC_250014" w:history="1">
            <w:r>
              <w:t>二、楼层屋面临边防护</w:t>
              <w:tab/>
            </w:r>
            <w:r>
              <w:rPr>
                <w:rFonts w:ascii="Arial" w:eastAsia="Arial"/>
                <w:position w:val="-8"/>
                <w:sz w:val="31"/>
              </w:rPr>
              <w:t>3</w:t>
            </w:r>
          </w:hyperlink>
        </w:p>
        <w:p>
          <w:pPr>
            <w:pStyle w:val="TOC1"/>
            <w:tabs>
              <w:tab w:val="left" w:leader="dot" w:pos="14730"/>
            </w:tabs>
            <w:spacing w:before="361"/>
            <w:rPr>
              <w:rFonts w:ascii="Arial" w:eastAsia="Arial"/>
              <w:sz w:val="31"/>
            </w:rPr>
          </w:pPr>
          <w:hyperlink w:anchor="_TOC_250013" w:history="1">
            <w:r>
              <w:t>三、楼梯口与阳台边防护</w:t>
              <w:tab/>
            </w:r>
            <w:r>
              <w:rPr>
                <w:rFonts w:ascii="Arial" w:eastAsia="Arial"/>
                <w:position w:val="-8"/>
                <w:sz w:val="31"/>
              </w:rPr>
              <w:t>3</w:t>
            </w:r>
          </w:hyperlink>
        </w:p>
        <w:p>
          <w:pPr>
            <w:pStyle w:val="TOC1"/>
            <w:tabs>
              <w:tab w:val="left" w:leader="dot" w:pos="14730"/>
            </w:tabs>
            <w:rPr>
              <w:rFonts w:ascii="Arial" w:eastAsia="Arial"/>
              <w:sz w:val="31"/>
            </w:rPr>
          </w:pPr>
          <w:hyperlink w:anchor="_TOC_250012" w:history="1">
            <w:r>
              <w:t>四、电梯井竖向洞口防护</w:t>
              <w:tab/>
            </w:r>
            <w:r>
              <w:rPr>
                <w:rFonts w:ascii="Arial" w:eastAsia="Arial"/>
                <w:position w:val="-8"/>
                <w:sz w:val="31"/>
              </w:rPr>
              <w:t>4</w:t>
            </w:r>
          </w:hyperlink>
        </w:p>
        <w:p>
          <w:pPr>
            <w:pStyle w:val="TOC1"/>
            <w:tabs>
              <w:tab w:val="left" w:leader="dot" w:pos="14730"/>
            </w:tabs>
            <w:rPr>
              <w:rFonts w:ascii="Arial" w:eastAsia="Arial"/>
              <w:sz w:val="31"/>
            </w:rPr>
          </w:pPr>
          <w:hyperlink w:anchor="_TOC_250011" w:history="1">
            <w:r>
              <w:t>五、水平洞口防护</w:t>
              <w:tab/>
            </w:r>
            <w:r>
              <w:rPr>
                <w:rFonts w:ascii="Arial" w:eastAsia="Arial"/>
                <w:position w:val="-8"/>
                <w:sz w:val="31"/>
              </w:rPr>
              <w:t>6</w:t>
            </w:r>
          </w:hyperlink>
        </w:p>
        <w:p>
          <w:pPr>
            <w:pStyle w:val="TOC1"/>
            <w:tabs>
              <w:tab w:val="left" w:leader="dot" w:pos="14730"/>
            </w:tabs>
            <w:spacing w:before="361"/>
            <w:rPr>
              <w:rFonts w:ascii="Arial" w:eastAsia="Arial"/>
              <w:sz w:val="31"/>
            </w:rPr>
          </w:pPr>
          <w:hyperlink w:anchor="_TOC_250010" w:history="1">
            <w:r>
              <w:t>六、安全通道</w:t>
              <w:tab/>
            </w:r>
            <w:r>
              <w:rPr>
                <w:rFonts w:ascii="Arial" w:eastAsia="Arial"/>
                <w:position w:val="-8"/>
                <w:sz w:val="31"/>
              </w:rPr>
              <w:t>8</w:t>
            </w:r>
          </w:hyperlink>
        </w:p>
        <w:p>
          <w:pPr>
            <w:pStyle w:val="TOC1"/>
            <w:tabs>
              <w:tab w:val="left" w:leader="dot" w:pos="14730"/>
            </w:tabs>
            <w:spacing w:before="361"/>
            <w:rPr>
              <w:rFonts w:ascii="Arial" w:eastAsia="Arial"/>
              <w:sz w:val="31"/>
            </w:rPr>
          </w:pPr>
          <w:hyperlink w:anchor="_TOC_250009" w:history="1">
            <w:r>
              <w:t>七、材料加工防护棚、搅拌机防护棚</w:t>
              <w:tab/>
            </w:r>
            <w:r>
              <w:rPr>
                <w:rFonts w:ascii="Arial" w:eastAsia="Arial"/>
                <w:position w:val="-8"/>
                <w:sz w:val="31"/>
              </w:rPr>
              <w:t>9</w:t>
            </w:r>
          </w:hyperlink>
        </w:p>
        <w:p>
          <w:pPr>
            <w:pStyle w:val="TOC1"/>
            <w:tabs>
              <w:tab w:val="left" w:leader="dot" w:pos="14572"/>
            </w:tabs>
            <w:rPr>
              <w:rFonts w:ascii="Arial" w:eastAsia="Arial"/>
              <w:sz w:val="31"/>
            </w:rPr>
          </w:pPr>
          <w:hyperlink w:anchor="_TOC_250008" w:history="1">
            <w:r>
              <w:t>八、施工用电安全防护</w:t>
              <w:tab/>
            </w:r>
            <w:r>
              <w:rPr>
                <w:rFonts w:ascii="Arial" w:eastAsia="Arial"/>
                <w:position w:val="-8"/>
                <w:sz w:val="31"/>
              </w:rPr>
              <w:t>10</w:t>
            </w:r>
          </w:hyperlink>
        </w:p>
        <w:p>
          <w:pPr>
            <w:pStyle w:val="TOC1"/>
            <w:tabs>
              <w:tab w:val="left" w:leader="dot" w:pos="14572"/>
            </w:tabs>
            <w:rPr>
              <w:rFonts w:ascii="Arial" w:eastAsia="Arial"/>
              <w:sz w:val="31"/>
            </w:rPr>
          </w:pPr>
          <w:hyperlink w:anchor="_TOC_250007" w:history="1">
            <w:r>
              <w:t>九、施工升降机接料台防护</w:t>
              <w:tab/>
            </w:r>
            <w:r>
              <w:rPr>
                <w:rFonts w:ascii="Arial" w:eastAsia="Arial"/>
                <w:position w:val="-8"/>
                <w:sz w:val="31"/>
              </w:rPr>
              <w:t>12</w:t>
            </w:r>
          </w:hyperlink>
        </w:p>
        <w:p>
          <w:pPr>
            <w:pStyle w:val="TOC1"/>
            <w:tabs>
              <w:tab w:val="left" w:leader="dot" w:pos="14572"/>
            </w:tabs>
            <w:spacing w:before="361"/>
            <w:rPr>
              <w:rFonts w:ascii="Arial" w:eastAsia="Arial"/>
              <w:sz w:val="31"/>
            </w:rPr>
          </w:pPr>
          <w:r>
            <w:t>十、落地式外脚手架</w:t>
            <w:tab/>
          </w:r>
          <w:r>
            <w:rPr>
              <w:rFonts w:ascii="Arial" w:eastAsia="Arial"/>
              <w:position w:val="-8"/>
              <w:sz w:val="31"/>
            </w:rPr>
            <w:t>13</w:t>
          </w:r>
        </w:p>
        <w:p>
          <w:pPr>
            <w:pStyle w:val="TOC3"/>
            <w:numPr>
              <w:ilvl w:val="1"/>
              <w:numId w:val="4"/>
            </w:numPr>
            <w:tabs>
              <w:tab w:val="left" w:pos="2022"/>
              <w:tab w:val="left" w:leader="dot" w:pos="15210"/>
            </w:tabs>
            <w:spacing w:before="360" w:after="0" w:line="240" w:lineRule="auto"/>
            <w:ind w:left="2021" w:right="0" w:hanging="844"/>
            <w:jc w:val="left"/>
            <w:rPr>
              <w:rFonts w:ascii="Arial" w:eastAsia="Arial"/>
              <w:b w:val="0"/>
              <w:i w:val="0"/>
              <w:sz w:val="31"/>
            </w:rPr>
          </w:pPr>
          <w:hyperlink w:anchor="_TOC_250006" w:history="1">
            <w:r>
              <w:rPr>
                <w:b w:val="0"/>
                <w:i w:val="0"/>
                <w:sz w:val="42"/>
              </w:rPr>
              <w:t>、基础</w:t>
              <w:tab/>
            </w:r>
            <w:r>
              <w:rPr>
                <w:rFonts w:ascii="Arial" w:eastAsia="Arial"/>
                <w:b w:val="0"/>
                <w:i w:val="0"/>
                <w:position w:val="-8"/>
                <w:sz w:val="31"/>
              </w:rPr>
              <w:t>13</w:t>
            </w:r>
          </w:hyperlink>
        </w:p>
        <w:p>
          <w:pPr>
            <w:pStyle w:val="TOC2"/>
            <w:numPr>
              <w:ilvl w:val="1"/>
              <w:numId w:val="4"/>
            </w:numPr>
            <w:tabs>
              <w:tab w:val="left" w:pos="2022"/>
              <w:tab w:val="left" w:leader="dot" w:pos="15210"/>
            </w:tabs>
            <w:spacing w:before="361" w:after="0" w:line="240" w:lineRule="auto"/>
            <w:ind w:left="2021" w:right="0" w:hanging="844"/>
            <w:jc w:val="left"/>
            <w:rPr>
              <w:rFonts w:ascii="Arial" w:eastAsia="Arial"/>
              <w:sz w:val="31"/>
            </w:rPr>
          </w:pPr>
          <w:hyperlink w:anchor="_TOC_250005" w:history="1">
            <w:r>
              <w:t>、剪刀撑及踢脚线设置</w:t>
              <w:tab/>
            </w:r>
            <w:r>
              <w:rPr>
                <w:rFonts w:ascii="Arial" w:eastAsia="Arial"/>
                <w:position w:val="-8"/>
                <w:sz w:val="31"/>
              </w:rPr>
              <w:t>14</w:t>
            </w:r>
          </w:hyperlink>
        </w:p>
        <w:p>
          <w:pPr>
            <w:pStyle w:val="TOC3"/>
            <w:numPr>
              <w:ilvl w:val="1"/>
              <w:numId w:val="4"/>
            </w:numPr>
            <w:tabs>
              <w:tab w:val="left" w:pos="2022"/>
              <w:tab w:val="left" w:leader="dot" w:pos="15210"/>
            </w:tabs>
            <w:spacing w:before="360" w:after="0" w:line="240" w:lineRule="auto"/>
            <w:ind w:left="2021" w:right="0" w:hanging="844"/>
            <w:jc w:val="left"/>
            <w:rPr>
              <w:rFonts w:ascii="Arial" w:eastAsia="Arial"/>
              <w:b w:val="0"/>
              <w:i w:val="0"/>
              <w:sz w:val="31"/>
            </w:rPr>
          </w:pPr>
          <w:hyperlink w:anchor="_TOC_250004" w:history="1">
            <w:r>
              <w:rPr>
                <w:b w:val="0"/>
                <w:i w:val="0"/>
                <w:sz w:val="42"/>
              </w:rPr>
              <w:t>、连墙杆</w:t>
              <w:tab/>
            </w:r>
            <w:r>
              <w:rPr>
                <w:rFonts w:ascii="Arial" w:eastAsia="Arial"/>
                <w:b w:val="0"/>
                <w:i w:val="0"/>
                <w:position w:val="-8"/>
                <w:sz w:val="31"/>
              </w:rPr>
              <w:t>15</w:t>
            </w:r>
          </w:hyperlink>
        </w:p>
        <w:p>
          <w:pPr>
            <w:pStyle w:val="TOC3"/>
            <w:numPr>
              <w:ilvl w:val="1"/>
              <w:numId w:val="4"/>
            </w:numPr>
            <w:tabs>
              <w:tab w:val="left" w:pos="2022"/>
              <w:tab w:val="left" w:leader="dot" w:pos="15210"/>
            </w:tabs>
            <w:spacing w:before="361" w:after="0" w:line="240" w:lineRule="auto"/>
            <w:ind w:left="2021" w:right="0" w:hanging="844"/>
            <w:jc w:val="left"/>
            <w:rPr>
              <w:rFonts w:ascii="Arial" w:eastAsia="Arial"/>
              <w:b w:val="0"/>
              <w:i w:val="0"/>
              <w:sz w:val="31"/>
            </w:rPr>
          </w:pPr>
          <w:hyperlink w:anchor="_TOC_250003" w:history="1">
            <w:r>
              <w:rPr>
                <w:b w:val="0"/>
                <w:i w:val="0"/>
                <w:sz w:val="42"/>
              </w:rPr>
              <w:t>、立杆</w:t>
              <w:tab/>
            </w:r>
            <w:r>
              <w:rPr>
                <w:rFonts w:ascii="Arial" w:eastAsia="Arial"/>
                <w:b w:val="0"/>
                <w:i w:val="0"/>
                <w:position w:val="-8"/>
                <w:sz w:val="31"/>
              </w:rPr>
              <w:t>16</w:t>
            </w:r>
          </w:hyperlink>
        </w:p>
        <w:p>
          <w:pPr>
            <w:pStyle w:val="TOC3"/>
            <w:numPr>
              <w:ilvl w:val="1"/>
              <w:numId w:val="4"/>
            </w:numPr>
            <w:tabs>
              <w:tab w:val="left" w:pos="2022"/>
              <w:tab w:val="left" w:leader="dot" w:pos="15210"/>
            </w:tabs>
            <w:spacing w:before="360" w:after="0" w:line="240" w:lineRule="auto"/>
            <w:ind w:left="2021" w:right="0" w:hanging="844"/>
            <w:jc w:val="left"/>
            <w:rPr>
              <w:rFonts w:ascii="Arial" w:eastAsia="Arial"/>
              <w:b w:val="0"/>
              <w:i w:val="0"/>
              <w:sz w:val="31"/>
            </w:rPr>
          </w:pPr>
          <w:hyperlink w:anchor="_TOC_250002" w:history="1">
            <w:r>
              <w:rPr>
                <w:b w:val="0"/>
                <w:i w:val="0"/>
                <w:sz w:val="42"/>
              </w:rPr>
              <w:t>、纵向水平杆</w:t>
              <w:tab/>
            </w:r>
            <w:r>
              <w:rPr>
                <w:rFonts w:ascii="Arial" w:eastAsia="Arial"/>
                <w:b w:val="0"/>
                <w:i w:val="0"/>
                <w:position w:val="-8"/>
                <w:sz w:val="31"/>
              </w:rPr>
              <w:t>17</w:t>
            </w:r>
          </w:hyperlink>
        </w:p>
        <w:p>
          <w:pPr>
            <w:pStyle w:val="TOC2"/>
            <w:numPr>
              <w:ilvl w:val="1"/>
              <w:numId w:val="4"/>
            </w:numPr>
            <w:tabs>
              <w:tab w:val="left" w:pos="2022"/>
              <w:tab w:val="left" w:leader="dot" w:pos="15210"/>
            </w:tabs>
            <w:spacing w:before="360" w:after="0" w:line="240" w:lineRule="auto"/>
            <w:ind w:left="2021" w:right="0" w:hanging="844"/>
            <w:jc w:val="left"/>
            <w:rPr>
              <w:rFonts w:ascii="Arial" w:eastAsia="Arial"/>
              <w:sz w:val="31"/>
            </w:rPr>
          </w:pPr>
          <w:hyperlink w:anchor="_TOC_250001" w:history="1">
            <w:r>
              <w:t>、外架安全网悬挂</w:t>
              <w:tab/>
            </w:r>
            <w:r>
              <w:rPr>
                <w:rFonts w:ascii="Arial" w:eastAsia="Arial"/>
                <w:position w:val="-8"/>
                <w:sz w:val="31"/>
              </w:rPr>
              <w:t>17</w:t>
            </w:r>
          </w:hyperlink>
        </w:p>
        <w:p>
          <w:pPr>
            <w:pStyle w:val="TOC2"/>
            <w:numPr>
              <w:ilvl w:val="1"/>
              <w:numId w:val="4"/>
            </w:numPr>
            <w:tabs>
              <w:tab w:val="left" w:pos="2022"/>
              <w:tab w:val="left" w:leader="dot" w:pos="15210"/>
            </w:tabs>
            <w:spacing w:before="360" w:after="0" w:line="240" w:lineRule="auto"/>
            <w:ind w:left="2021" w:right="0" w:hanging="844"/>
            <w:jc w:val="left"/>
            <w:rPr>
              <w:rFonts w:ascii="Arial" w:eastAsia="Arial"/>
              <w:sz w:val="31"/>
            </w:rPr>
          </w:pPr>
          <w:hyperlink w:anchor="_TOC_250000" w:history="1">
            <w:r>
              <w:t>、外脚手架外排阳角做法</w:t>
              <w:tab/>
            </w:r>
            <w:r>
              <w:rPr>
                <w:rFonts w:ascii="Arial" w:eastAsia="Arial"/>
                <w:position w:val="-8"/>
                <w:sz w:val="31"/>
              </w:rPr>
              <w:t>18</w:t>
            </w:r>
          </w:hyperlink>
        </w:p>
        <w:p>
          <w:pPr>
            <w:pStyle w:val="TOC3"/>
            <w:numPr>
              <w:ilvl w:val="1"/>
              <w:numId w:val="4"/>
            </w:numPr>
            <w:tabs>
              <w:tab w:val="left" w:pos="2022"/>
              <w:tab w:val="left" w:leader="dot" w:pos="15210"/>
            </w:tabs>
            <w:spacing w:before="362" w:after="0" w:line="240" w:lineRule="auto"/>
            <w:ind w:left="2021" w:right="0" w:hanging="844"/>
            <w:jc w:val="left"/>
            <w:rPr>
              <w:rFonts w:ascii="Arial" w:eastAsia="Arial"/>
              <w:b w:val="0"/>
              <w:i w:val="0"/>
              <w:sz w:val="31"/>
            </w:rPr>
          </w:pPr>
          <w:r>
            <w:rPr>
              <w:b w:val="0"/>
              <w:i w:val="0"/>
              <w:sz w:val="42"/>
            </w:rPr>
            <w:t>、悬挑脚手架</w:t>
            <w:tab/>
          </w:r>
          <w:r>
            <w:rPr>
              <w:rFonts w:ascii="Arial" w:eastAsia="Arial"/>
              <w:b w:val="0"/>
              <w:i w:val="0"/>
              <w:position w:val="-8"/>
              <w:sz w:val="31"/>
            </w:rPr>
            <w:t>19</w:t>
          </w:r>
        </w:p>
        <w:p>
          <w:pPr>
            <w:pStyle w:val="TOC1"/>
            <w:tabs>
              <w:tab w:val="left" w:leader="dot" w:pos="14572"/>
            </w:tabs>
            <w:rPr>
              <w:rFonts w:ascii="Arial" w:eastAsia="Arial"/>
              <w:sz w:val="31"/>
            </w:rPr>
          </w:pPr>
          <w:r>
            <w:t>十一、卸料平台</w:t>
            <w:tab/>
          </w:r>
          <w:r>
            <w:rPr>
              <w:rFonts w:ascii="Arial" w:eastAsia="Arial"/>
              <w:position w:val="-8"/>
              <w:sz w:val="31"/>
            </w:rPr>
            <w:t>19</w:t>
          </w:r>
        </w:p>
      </w:sdtContent>
    </w:sdt>
    <w:p>
      <w:pPr>
        <w:pStyle w:val="BodyText"/>
        <w:rPr>
          <w:rFonts w:ascii="Arial"/>
          <w:sz w:val="46"/>
        </w:rPr>
      </w:pPr>
    </w:p>
    <w:p>
      <w:pPr>
        <w:pStyle w:val="BodyText"/>
        <w:rPr>
          <w:rFonts w:ascii="Arial"/>
          <w:sz w:val="46"/>
        </w:rPr>
      </w:pPr>
    </w:p>
    <w:p>
      <w:pPr>
        <w:pStyle w:val="BodyText"/>
        <w:rPr>
          <w:rFonts w:ascii="Arial"/>
          <w:sz w:val="46"/>
        </w:rPr>
      </w:pPr>
    </w:p>
    <w:p>
      <w:pPr>
        <w:pStyle w:val="BodyText"/>
        <w:spacing w:before="5"/>
        <w:rPr>
          <w:rFonts w:ascii="Arial"/>
          <w:sz w:val="48"/>
        </w:rPr>
      </w:pPr>
    </w:p>
    <w:p>
      <w:pPr>
        <w:spacing w:before="1"/>
        <w:ind w:left="637" w:right="1453" w:firstLine="0"/>
        <w:jc w:val="center"/>
        <w:rPr>
          <w:b/>
          <w:sz w:val="48"/>
        </w:rPr>
      </w:pPr>
      <w:r>
        <w:rPr>
          <w:b/>
          <w:sz w:val="48"/>
        </w:rPr>
        <w:t>杭政储出[2012]44 号块地商品住宅项目总承包工程</w:t>
      </w:r>
    </w:p>
    <w:p>
      <w:pPr>
        <w:spacing w:after="0"/>
        <w:jc w:val="center"/>
        <w:rPr>
          <w:sz w:val="48"/>
        </w:rPr>
        <w:sectPr>
          <w:headerReference w:type="default" r:id="rId6"/>
          <w:footerReference w:type="default" r:id="rId7"/>
          <w:pgSz w:w="17860" w:h="25260"/>
          <w:pgMar w:top="980" w:right="260" w:bottom="1600" w:left="640" w:header="628" w:footer="1412"/>
          <w:pgNumType w:start="2"/>
          <w:cols w:space="708"/>
        </w:sectPr>
      </w:pPr>
    </w:p>
    <w:p>
      <w:pPr>
        <w:pStyle w:val="BodyText"/>
        <w:spacing w:before="1"/>
        <w:rPr>
          <w:b/>
          <w:sz w:val="20"/>
        </w:rPr>
      </w:pPr>
    </w:p>
    <w:p>
      <w:pPr>
        <w:spacing w:before="31"/>
        <w:ind w:left="4598" w:right="0" w:firstLine="0"/>
        <w:jc w:val="left"/>
        <w:rPr>
          <w:b/>
          <w:sz w:val="48"/>
        </w:rPr>
      </w:pPr>
      <w:r>
        <w:rPr>
          <w:b/>
          <w:sz w:val="48"/>
        </w:rPr>
        <w:t>施工现场安全防护设施搭设计划</w:t>
      </w:r>
    </w:p>
    <w:p>
      <w:pPr>
        <w:pStyle w:val="BodyText"/>
        <w:rPr>
          <w:b/>
          <w:sz w:val="20"/>
        </w:rPr>
      </w:pPr>
    </w:p>
    <w:p>
      <w:pPr>
        <w:pStyle w:val="Heading1"/>
        <w:spacing w:before="174"/>
      </w:pPr>
      <w:bookmarkStart w:id="0" w:name="_TOC_250015"/>
      <w:bookmarkEnd w:id="0"/>
      <w:r>
        <w:t>一、基坑临边防护</w:t>
      </w:r>
    </w:p>
    <w:p>
      <w:pPr>
        <w:pStyle w:val="BodyText"/>
        <w:spacing w:before="10"/>
        <w:rPr>
          <w:b/>
          <w:sz w:val="49"/>
        </w:rPr>
      </w:pPr>
    </w:p>
    <w:p>
      <w:pPr>
        <w:pStyle w:val="BodyText"/>
        <w:spacing w:line="417" w:lineRule="auto"/>
        <w:ind w:left="638" w:right="1577" w:firstLine="839"/>
        <w:jc w:val="both"/>
      </w:pPr>
      <w:r>
        <w:rPr>
          <w:spacing w:val="-11"/>
        </w:rPr>
        <w:t xml:space="preserve">基坑开挖深度超过 </w:t>
      </w:r>
      <w:r>
        <w:t>2000mm</w:t>
      </w:r>
      <w:r>
        <w:rPr>
          <w:spacing w:val="-10"/>
        </w:rPr>
        <w:t xml:space="preserve"> 时,必须搭设基坑临边防护栏杆。基坑临边防护栏杆采用钢管搭设，设置三道水平杆，立杆间距不大于</w:t>
      </w:r>
      <w:r>
        <w:t>1800mm，立杆打入地面以下深度≥700mm（</w:t>
      </w:r>
      <w:r>
        <w:rPr>
          <w:spacing w:val="4"/>
        </w:rPr>
        <w:t>若基坑顶面有混凝土压顶梁则预埋</w:t>
      </w:r>
      <w:r>
        <w:t>1φ18</w:t>
      </w:r>
      <w:r>
        <w:rPr>
          <w:spacing w:val="-14"/>
        </w:rPr>
        <w:t xml:space="preserve"> 钢筋，深度≥</w:t>
      </w:r>
      <w:r>
        <w:rPr>
          <w:spacing w:val="-4"/>
        </w:rPr>
        <w:t>500mm</w:t>
      </w:r>
      <w:r>
        <w:t>、外</w:t>
      </w:r>
      <w:r>
        <w:rPr>
          <w:spacing w:val="-47"/>
        </w:rPr>
        <w:t xml:space="preserve">露 </w:t>
      </w:r>
      <w:r>
        <w:t>150mm，与立杆焊接</w:t>
      </w:r>
      <w:r>
        <w:rPr>
          <w:spacing w:val="-48"/>
        </w:rPr>
        <w:t>）</w:t>
      </w:r>
      <w:r>
        <w:rPr>
          <w:spacing w:val="-17"/>
        </w:rPr>
        <w:t xml:space="preserve">,防护栏杆下部设置 </w:t>
      </w:r>
      <w:r>
        <w:t>200mm</w:t>
      </w:r>
      <w:r>
        <w:rPr>
          <w:spacing w:val="-11"/>
        </w:rPr>
        <w:t xml:space="preserve"> 砖砌挡脚板，防护栏杆的水平</w:t>
      </w:r>
      <w:r>
        <w:rPr>
          <w:spacing w:val="-6"/>
        </w:rPr>
        <w:t>杆、立杆以及挡脚板，必须刷间距为</w:t>
      </w:r>
      <w:r>
        <w:t>400mm</w:t>
      </w:r>
      <w:r>
        <w:rPr>
          <w:spacing w:val="-10"/>
        </w:rPr>
        <w:t xml:space="preserve"> 的红白相间的警示油漆。所有水平杆</w:t>
      </w:r>
      <w:r>
        <w:rPr>
          <w:spacing w:val="-19"/>
        </w:rPr>
        <w:t xml:space="preserve">控制伸出立杆外侧 </w:t>
      </w:r>
      <w:r>
        <w:rPr>
          <w:spacing w:val="-20"/>
        </w:rPr>
        <w:t>100mm</w:t>
      </w:r>
      <w:r>
        <w:rPr>
          <w:spacing w:val="-18"/>
        </w:rPr>
        <w:t xml:space="preserve">；防护栏杆靠基坑侧满挂密目安全网，在醒目处悬挂“当心坠落”安全警示标志，并设置夜间警示灯；基坑排水沟设置在防护栏杆外侧， </w:t>
      </w:r>
      <w:r>
        <w:rPr>
          <w:spacing w:val="-11"/>
        </w:rPr>
        <w:t xml:space="preserve">采取有组织排水。坑边 </w:t>
      </w:r>
      <w:r>
        <w:t>1m</w:t>
      </w:r>
      <w:r>
        <w:rPr>
          <w:spacing w:val="-12"/>
        </w:rPr>
        <w:t xml:space="preserve"> 内不得堆土、堆料、停防机具。(详下见图)</w:t>
      </w:r>
    </w:p>
    <w:p>
      <w:pPr>
        <w:pStyle w:val="BodyText"/>
      </w:pPr>
    </w:p>
    <w:p>
      <w:pPr>
        <w:spacing w:before="315"/>
        <w:ind w:left="5510" w:right="1648" w:firstLine="0"/>
        <w:jc w:val="center"/>
        <w:rPr>
          <w:sz w:val="29"/>
        </w:rPr>
      </w:pPr>
      <w:r>
        <w:rPr>
          <w:sz w:val="29"/>
        </w:rPr>
        <w:t>栏杆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6"/>
        </w:rPr>
      </w:pPr>
    </w:p>
    <w:p>
      <w:pPr>
        <w:spacing w:before="57" w:line="297" w:lineRule="exact"/>
        <w:ind w:left="1554" w:right="0" w:firstLine="0"/>
        <w:jc w:val="left"/>
        <w:rPr>
          <w:sz w:val="33"/>
        </w:rPr>
      </w:pPr>
      <w:r>
        <w:pict>
          <v:group id="_x0000_s1028" style="width:635pt;height:281pt;margin-top:-80.1pt;margin-left:121pt;mso-position-horizontal-relative:page;position:absolute;z-index:251659264" coordorigin="2420,-1602" coordsize="12700,5620">
            <v:shape id="_x0000_s1029" type="#_x0000_t75" style="width:12700;height:5620;left:2420;position:absolute;top:-1602" stroked="f">
              <v:imagedata r:id="rId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width:602;height:291;left:12563;position:absolute;top:-1157" filled="f" stroked="f">
              <v:textbox inset="0,0,0,0">
                <w:txbxContent>
                  <w:p>
                    <w:pPr>
                      <w:spacing w:before="0" w:line="291" w:lineRule="exact"/>
                      <w:ind w:left="0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sz w:val="29"/>
                      </w:rPr>
                      <w:t>立杆</w:t>
                    </w:r>
                  </w:p>
                </w:txbxContent>
              </v:textbox>
            </v:shape>
            <v:shape id="_x0000_s1031" type="#_x0000_t202" style="width:385;height:365;left:7502;position:absolute;top:1339" filled="f" stroked="f">
              <v:textbox inset="0,0,0,0">
                <w:txbxContent>
                  <w:p>
                    <w:pPr>
                      <w:spacing w:before="0" w:line="364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101"/>
                        <w:sz w:val="36"/>
                      </w:rPr>
                      <w:t>墙</w:t>
                    </w:r>
                  </w:p>
                </w:txbxContent>
              </v:textbox>
            </v:shape>
            <v:shape id="_x0000_s1032" type="#_x0000_t202" style="width:1045;height:342;left:6611;position:absolute;top:3488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sz w:val="34"/>
                      </w:rPr>
                    </w:pPr>
                    <w:r>
                      <w:rPr>
                        <w:sz w:val="34"/>
                      </w:rPr>
                      <w:t>≯1800</w:t>
                    </w:r>
                  </w:p>
                </w:txbxContent>
              </v:textbox>
            </v:shape>
            <v:shape id="_x0000_s1033" type="#_x0000_t202" style="width:1045;height:342;left:11353;position:absolute;top:3488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sz w:val="34"/>
                      </w:rPr>
                    </w:pPr>
                    <w:r>
                      <w:rPr>
                        <w:sz w:val="34"/>
                      </w:rPr>
                      <w:t>≯1800</w:t>
                    </w:r>
                  </w:p>
                </w:txbxContent>
              </v:textbox>
            </v:shape>
          </v:group>
        </w:pict>
      </w:r>
      <w:r>
        <w:rPr>
          <w:w w:val="101"/>
          <w:sz w:val="33"/>
        </w:rPr>
        <w:t>0</w:t>
      </w:r>
    </w:p>
    <w:p>
      <w:pPr>
        <w:spacing w:before="0" w:line="171" w:lineRule="exact"/>
        <w:ind w:left="1554" w:right="0" w:firstLine="0"/>
        <w:jc w:val="left"/>
        <w:rPr>
          <w:sz w:val="33"/>
        </w:rPr>
      </w:pPr>
      <w:r>
        <w:rPr>
          <w:w w:val="101"/>
          <w:sz w:val="33"/>
        </w:rPr>
        <w:t>0</w:t>
      </w:r>
    </w:p>
    <w:p>
      <w:pPr>
        <w:spacing w:before="0" w:line="297" w:lineRule="exact"/>
        <w:ind w:left="1554" w:right="0" w:firstLine="0"/>
        <w:jc w:val="left"/>
        <w:rPr>
          <w:sz w:val="33"/>
        </w:rPr>
      </w:pPr>
      <w:r>
        <w:rPr>
          <w:w w:val="101"/>
          <w:sz w:val="33"/>
        </w:rPr>
        <w:t>6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8"/>
        </w:rPr>
      </w:pPr>
    </w:p>
    <w:p>
      <w:pPr>
        <w:spacing w:before="57" w:line="297" w:lineRule="exact"/>
        <w:ind w:left="1554" w:right="0" w:firstLine="0"/>
        <w:jc w:val="left"/>
        <w:rPr>
          <w:sz w:val="33"/>
        </w:rPr>
      </w:pPr>
      <w:r>
        <w:rPr>
          <w:w w:val="101"/>
          <w:sz w:val="33"/>
        </w:rPr>
        <w:t>0</w:t>
      </w:r>
    </w:p>
    <w:p>
      <w:pPr>
        <w:spacing w:before="0" w:line="171" w:lineRule="exact"/>
        <w:ind w:left="1554" w:right="0" w:firstLine="0"/>
        <w:jc w:val="left"/>
        <w:rPr>
          <w:sz w:val="33"/>
        </w:rPr>
      </w:pPr>
      <w:r>
        <w:rPr>
          <w:w w:val="101"/>
          <w:sz w:val="33"/>
        </w:rPr>
        <w:t>0</w:t>
      </w:r>
    </w:p>
    <w:p>
      <w:pPr>
        <w:spacing w:before="0" w:line="297" w:lineRule="exact"/>
        <w:ind w:left="1554" w:right="0" w:firstLine="0"/>
        <w:jc w:val="left"/>
        <w:rPr>
          <w:sz w:val="33"/>
        </w:rPr>
      </w:pPr>
      <w:r>
        <w:rPr>
          <w:w w:val="101"/>
          <w:sz w:val="33"/>
        </w:rPr>
        <w:t>6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4"/>
        </w:rPr>
      </w:pPr>
    </w:p>
    <w:p>
      <w:pPr>
        <w:spacing w:before="54"/>
        <w:ind w:left="637" w:right="2549" w:firstLine="0"/>
        <w:jc w:val="center"/>
        <w:rPr>
          <w:sz w:val="36"/>
        </w:rPr>
      </w:pPr>
      <w:r>
        <w:rPr>
          <w:sz w:val="36"/>
        </w:rPr>
        <w:t>基坑防护栏杆</w:t>
      </w:r>
    </w:p>
    <w:p>
      <w:pPr>
        <w:spacing w:after="0"/>
        <w:jc w:val="center"/>
        <w:rPr>
          <w:sz w:val="36"/>
        </w:rPr>
        <w:sectPr>
          <w:headerReference w:type="default" r:id="rId9"/>
          <w:footerReference w:type="default" r:id="rId10"/>
          <w:pgSz w:w="17860" w:h="25260"/>
          <w:pgMar w:top="980" w:right="260" w:bottom="1600" w:left="640" w:header="628" w:footer="1412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Heading1"/>
        <w:spacing w:before="213"/>
      </w:pPr>
      <w:bookmarkStart w:id="1" w:name="_TOC_250014"/>
      <w:bookmarkEnd w:id="1"/>
      <w:r>
        <w:t>二、楼层、屋面临边防护</w:t>
      </w:r>
    </w:p>
    <w:p>
      <w:pPr>
        <w:pStyle w:val="BodyText"/>
        <w:spacing w:before="10"/>
        <w:rPr>
          <w:b/>
          <w:sz w:val="49"/>
        </w:rPr>
      </w:pPr>
    </w:p>
    <w:p>
      <w:pPr>
        <w:pStyle w:val="BodyText"/>
        <w:spacing w:line="417" w:lineRule="auto"/>
        <w:ind w:left="638" w:right="1603" w:firstLine="839"/>
        <w:jc w:val="both"/>
      </w:pPr>
      <w:r>
        <w:rPr>
          <w:spacing w:val="-1"/>
        </w:rPr>
        <w:t>当临边窗台或屋面女儿墙高度≤</w:t>
      </w:r>
      <w:r>
        <w:rPr>
          <w:spacing w:val="-3"/>
        </w:rPr>
        <w:t>800mm</w:t>
      </w:r>
      <w:r>
        <w:rPr>
          <w:spacing w:val="-16"/>
        </w:rPr>
        <w:t xml:space="preserve">，外侧高差大于 </w:t>
      </w:r>
      <w:r>
        <w:t>2000mm</w:t>
      </w:r>
      <w:r>
        <w:rPr>
          <w:spacing w:val="-13"/>
        </w:rPr>
        <w:t xml:space="preserve"> 时，需要搭设临边防护；临边采用</w:t>
      </w:r>
      <w:r>
        <w:rPr>
          <w:spacing w:val="-10"/>
        </w:rPr>
        <w:t>Ф48mm</w:t>
      </w:r>
      <w:r>
        <w:rPr>
          <w:spacing w:val="34"/>
        </w:rPr>
        <w:t>、厚</w:t>
      </w:r>
      <w:r>
        <w:t>3.5mm</w:t>
      </w:r>
      <w:r>
        <w:rPr>
          <w:spacing w:val="-4"/>
        </w:rPr>
        <w:t xml:space="preserve"> 钢管搭设，立杆间距不大于</w:t>
      </w:r>
      <w:r>
        <w:t>1.8m，</w:t>
      </w:r>
      <w:r>
        <w:rPr>
          <w:spacing w:val="-6"/>
        </w:rPr>
        <w:t>下边在</w:t>
      </w:r>
      <w:r>
        <w:t>0.18m</w:t>
      </w:r>
      <w:r>
        <w:rPr>
          <w:spacing w:val="-10"/>
        </w:rPr>
        <w:t xml:space="preserve"> 高度设置扫地杆一道。防护栏杆与结构柱处采用钢管抱箍方式拉结，防护</w:t>
      </w:r>
      <w:r>
        <w:rPr>
          <w:spacing w:val="-42"/>
        </w:rPr>
        <w:t xml:space="preserve">高度 </w:t>
      </w:r>
      <w:r>
        <w:t>0.6m</w:t>
      </w:r>
      <w:r>
        <w:rPr>
          <w:spacing w:val="-4"/>
        </w:rPr>
        <w:t>、</w:t>
      </w:r>
      <w:r>
        <w:t>1.2m</w:t>
      </w:r>
      <w:r>
        <w:rPr>
          <w:spacing w:val="-17"/>
        </w:rPr>
        <w:t xml:space="preserve"> 两道，扫地杆涂红白相间警示色，间距为 </w:t>
      </w:r>
      <w:r>
        <w:t>400mm。</w:t>
      </w:r>
    </w:p>
    <w:p>
      <w:pPr>
        <w:pStyle w:val="BodyText"/>
        <w:spacing w:line="537" w:lineRule="exact"/>
        <w:ind w:left="1477"/>
      </w:pPr>
      <w:r>
        <w:t>如图所示：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6"/>
        </w:rPr>
      </w:pPr>
      <w:r>
        <w:pict>
          <v:group id="_x0000_s1034" style="width:593pt;height:283pt;margin-top:12.36pt;margin-left:190pt;mso-position-horizontal-relative:page;mso-wrap-distance-left:0;mso-wrap-distance-right:0;position:absolute;z-index:-251656192" coordorigin="3800,247" coordsize="11860,5660">
            <v:shape id="_x0000_s1035" type="#_x0000_t75" style="width:11860;height:5660;left:3800;position:absolute;top:247" stroked="f">
              <v:imagedata r:id="rId11" o:title=""/>
            </v:shape>
            <v:shape id="_x0000_s1036" type="#_x0000_t202" style="width:926;height:302;left:6656;position:absolute;top:1597" filled="f" stroked="f">
              <v:textbox inset="0,0,0,0">
                <w:txbxContent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≯1800</w:t>
                    </w:r>
                  </w:p>
                </w:txbxContent>
              </v:textbox>
            </v:shape>
            <v:shape id="_x0000_s1037" type="#_x0000_t202" style="width:926;height:302;left:9659;position:absolute;top:1596" filled="f" stroked="f">
              <v:textbox inset="0,0,0,0">
                <w:txbxContent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≯1800</w:t>
                    </w:r>
                  </w:p>
                </w:txbxContent>
              </v:textbox>
            </v:shape>
            <v:shape id="_x0000_s1038" type="#_x0000_t202" style="width:926;height:302;left:12661;position:absolute;top:1610" filled="f" stroked="f">
              <v:textbox inset="0,0,0,0">
                <w:txbxContent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≯1800</w:t>
                    </w:r>
                  </w:p>
                </w:txbxContent>
              </v:textbox>
            </v:shape>
            <v:shape id="_x0000_s1039" type="#_x0000_t202" style="width:890;height:290;left:3836;position:absolute;top:2767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sz w:val="29"/>
                      </w:rPr>
                      <w:t>扫地杆</w:t>
                    </w:r>
                  </w:p>
                </w:txbxContent>
              </v:textbox>
            </v:shape>
            <v:shape id="_x0000_s1040" type="#_x0000_t202" style="width:127;height:516;left:15324;position:absolute;top:2911" filled="f" stroked="f">
              <v:textbox inset="0,0,0,0">
                <w:txbxContent>
                  <w:p>
                    <w:pPr>
                      <w:spacing w:before="0" w:line="183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w w:val="101"/>
                        <w:sz w:val="21"/>
                      </w:rPr>
                      <w:t>0</w:t>
                    </w:r>
                  </w:p>
                  <w:p>
                    <w:pPr>
                      <w:spacing w:before="0" w:line="151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w w:val="101"/>
                        <w:sz w:val="21"/>
                      </w:rPr>
                      <w:t>0</w:t>
                    </w:r>
                  </w:p>
                  <w:p>
                    <w:pPr>
                      <w:spacing w:before="0" w:line="181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w w:val="101"/>
                        <w:sz w:val="21"/>
                      </w:rPr>
                      <w:t>6</w:t>
                    </w:r>
                  </w:p>
                </w:txbxContent>
              </v:textbox>
            </v:shape>
            <v:shape id="_x0000_s1041" type="#_x0000_t202" style="width:127;height:516;left:15324;position:absolute;top:3745" filled="f" stroked="f">
              <v:textbox inset="0,0,0,0">
                <w:txbxContent>
                  <w:p>
                    <w:pPr>
                      <w:spacing w:before="0" w:line="183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w w:val="101"/>
                        <w:sz w:val="21"/>
                      </w:rPr>
                      <w:t>0</w:t>
                    </w:r>
                  </w:p>
                  <w:p>
                    <w:pPr>
                      <w:spacing w:before="0" w:line="151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w w:val="101"/>
                        <w:sz w:val="21"/>
                      </w:rPr>
                      <w:t>0</w:t>
                    </w:r>
                  </w:p>
                  <w:p>
                    <w:pPr>
                      <w:spacing w:before="0" w:line="181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w w:val="101"/>
                        <w:sz w:val="21"/>
                      </w:rPr>
                      <w:t>6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60"/>
        <w:ind w:left="8846" w:right="0" w:firstLine="0"/>
        <w:jc w:val="left"/>
        <w:rPr>
          <w:sz w:val="29"/>
        </w:rPr>
      </w:pPr>
      <w:r>
        <w:rPr>
          <w:sz w:val="29"/>
        </w:rPr>
        <w:t>楼 层 临 边 防 护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6"/>
        </w:rPr>
      </w:pPr>
    </w:p>
    <w:p>
      <w:pPr>
        <w:pStyle w:val="Heading1"/>
        <w:ind w:left="638"/>
      </w:pPr>
      <w:bookmarkStart w:id="2" w:name="_TOC_250013"/>
      <w:bookmarkEnd w:id="2"/>
      <w:r>
        <w:t>三、楼梯口与阳台边防护</w:t>
      </w:r>
    </w:p>
    <w:p>
      <w:pPr>
        <w:spacing w:after="0"/>
        <w:sectPr>
          <w:headerReference w:type="default" r:id="rId12"/>
          <w:footerReference w:type="default" r:id="rId13"/>
          <w:pgSz w:w="17860" w:h="25260"/>
          <w:pgMar w:top="980" w:right="260" w:bottom="1600" w:left="640" w:header="628" w:footer="1412"/>
          <w:pgNumType w:start="4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6"/>
        </w:rPr>
      </w:pPr>
    </w:p>
    <w:p>
      <w:pPr>
        <w:pStyle w:val="BodyText"/>
        <w:spacing w:before="42" w:line="417" w:lineRule="auto"/>
        <w:ind w:left="638" w:right="1420" w:firstLine="839"/>
      </w:pPr>
      <w:r>
        <w:t>延楼梯踏步采用</w:t>
      </w:r>
      <w:r>
        <w:rPr>
          <w:spacing w:val="-3"/>
        </w:rPr>
        <w:t>Ф48mm</w:t>
      </w:r>
      <w:r>
        <w:rPr>
          <w:spacing w:val="30"/>
        </w:rPr>
        <w:t>、厚</w:t>
      </w:r>
      <w:r>
        <w:t>3.5mm</w:t>
      </w:r>
      <w:r>
        <w:rPr>
          <w:spacing w:val="-7"/>
        </w:rPr>
        <w:t xml:space="preserve"> 钢管搭设，立杆间距不大于</w:t>
      </w:r>
      <w:r>
        <w:t>1.8m，防护高</w:t>
      </w:r>
      <w:r>
        <w:rPr>
          <w:spacing w:val="-50"/>
        </w:rPr>
        <w:t xml:space="preserve">度 </w:t>
      </w:r>
      <w:r>
        <w:t>0.6m</w:t>
      </w:r>
      <w:r>
        <w:rPr>
          <w:spacing w:val="-19"/>
        </w:rPr>
        <w:t>、</w:t>
      </w:r>
      <w:r>
        <w:t>1.2m</w:t>
      </w:r>
      <w:r>
        <w:rPr>
          <w:spacing w:val="-21"/>
        </w:rPr>
        <w:t xml:space="preserve"> 各一道，下边设置踢脚板 </w:t>
      </w:r>
      <w:r>
        <w:t>0.18m</w:t>
      </w:r>
      <w:r>
        <w:rPr>
          <w:spacing w:val="-51"/>
        </w:rPr>
        <w:t xml:space="preserve"> 或在 </w:t>
      </w:r>
      <w:r>
        <w:t>0.18m</w:t>
      </w:r>
      <w:r>
        <w:rPr>
          <w:spacing w:val="-13"/>
        </w:rPr>
        <w:t xml:space="preserve"> 高度设置扫地杆一道。</w:t>
      </w:r>
      <w:r>
        <w:rPr>
          <w:spacing w:val="3"/>
        </w:rPr>
        <w:t>踢脚板、钢管均涂红白相间警示色，踢脚板间距</w:t>
      </w:r>
      <w:r>
        <w:t>150mm</w:t>
      </w:r>
      <w:r>
        <w:rPr>
          <w:spacing w:val="-16"/>
        </w:rPr>
        <w:t xml:space="preserve">，钢管间距为 </w:t>
      </w:r>
      <w:r>
        <w:t>400m。楼梯</w:t>
      </w:r>
      <w:r>
        <w:rPr>
          <w:spacing w:val="-11"/>
        </w:rPr>
        <w:t xml:space="preserve">间必须设置照明，采用 </w:t>
      </w:r>
      <w:r>
        <w:t>36V</w:t>
      </w:r>
      <w:r>
        <w:rPr>
          <w:spacing w:val="-11"/>
        </w:rPr>
        <w:t xml:space="preserve"> 低压供电，并设置灯罩。</w:t>
      </w:r>
    </w:p>
    <w:p>
      <w:pPr>
        <w:pStyle w:val="BodyText"/>
        <w:spacing w:line="537" w:lineRule="exact"/>
        <w:ind w:left="1477"/>
      </w:pPr>
      <w:r>
        <w:t>如下图所示：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  <w:r>
        <w:pict>
          <v:group id="_x0000_s1042" style="width:698pt;height:445.05pt;margin-top:11.95pt;margin-left:109pt;mso-position-horizontal-relative:page;mso-wrap-distance-left:0;mso-wrap-distance-right:0;position:absolute;z-index:-251655168" coordorigin="2180,239" coordsize="13960,8901">
            <v:shape id="_x0000_s1043" type="#_x0000_t75" style="width:13960;height:8900;left:2180;position:absolute;top:239" stroked="f">
              <v:imagedata r:id="rId14" o:title=""/>
            </v:shape>
            <v:shape id="_x0000_s1044" type="#_x0000_t202" style="width:950;height:523;left:2220;position:absolute;top:467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18" w:firstLine="0"/>
                      <w:jc w:val="right"/>
                      <w:rPr>
                        <w:sz w:val="18"/>
                      </w:rPr>
                    </w:pPr>
                    <w:r>
                      <w:rPr>
                        <w:spacing w:val="-4"/>
                        <w:sz w:val="18"/>
                      </w:rPr>
                      <w:t>通长栏杆柱</w:t>
                    </w:r>
                  </w:p>
                  <w:p>
                    <w:pPr>
                      <w:spacing w:before="106" w:line="206" w:lineRule="exact"/>
                      <w:ind w:left="0" w:right="40" w:firstLine="0"/>
                      <w:jc w:val="righ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横杆上杆</w:t>
                    </w:r>
                  </w:p>
                </w:txbxContent>
              </v:textbox>
            </v:shape>
            <v:shape id="_x0000_s1045" type="#_x0000_t202" style="width:764;height:186;left:2410;position:absolute;top:1468" filled="f" stroked="f">
              <v:textbox inset="0,0,0,0">
                <w:txbxContent>
                  <w:p>
                    <w:pPr>
                      <w:spacing w:before="0" w:line="186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w w:val="105"/>
                        <w:sz w:val="18"/>
                      </w:rPr>
                      <w:t>横杆下杆</w:t>
                    </w:r>
                  </w:p>
                </w:txbxContent>
              </v:textbox>
            </v:shape>
            <v:shape id="_x0000_s1046" type="#_x0000_t202" style="width:106;height:171;left:4726;position:absolute;top:1475" filled="f" stroked="f">
              <v:textbox inset="0,0,0,0">
                <w:txbxContent>
                  <w:p>
                    <w:pPr>
                      <w:spacing w:before="0" w:line="171" w:lineRule="exact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w w:val="100"/>
                        <w:sz w:val="17"/>
                      </w:rPr>
                      <w:t>0</w:t>
                    </w:r>
                  </w:p>
                </w:txbxContent>
              </v:textbox>
            </v:shape>
            <v:shape id="_x0000_s1047" type="#_x0000_t202" style="width:106;height:171;left:4726;position:absolute;top:1572" filled="f" stroked="f">
              <v:textbox inset="0,0,0,0">
                <w:txbxContent>
                  <w:p>
                    <w:pPr>
                      <w:spacing w:before="0" w:line="171" w:lineRule="exact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w w:val="100"/>
                        <w:sz w:val="17"/>
                      </w:rPr>
                      <w:t>0</w:t>
                    </w:r>
                  </w:p>
                </w:txbxContent>
              </v:textbox>
            </v:shape>
            <v:shape id="_x0000_s1048" type="#_x0000_t202" style="width:106;height:581;left:4726;position:absolute;top:1670" filled="f" stroked="f">
              <v:textbox inset="0,0,0,0">
                <w:txbxContent>
                  <w:p>
                    <w:pPr>
                      <w:spacing w:before="0" w:line="195" w:lineRule="exact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w w:val="100"/>
                        <w:sz w:val="17"/>
                      </w:rPr>
                      <w:t>6</w:t>
                    </w:r>
                  </w:p>
                  <w:p>
                    <w:pPr>
                      <w:spacing w:before="12" w:line="240" w:lineRule="auto"/>
                      <w:rPr>
                        <w:sz w:val="14"/>
                      </w:rPr>
                    </w:pPr>
                  </w:p>
                  <w:p>
                    <w:pPr>
                      <w:spacing w:before="0" w:line="194" w:lineRule="exact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w w:val="100"/>
                        <w:sz w:val="17"/>
                      </w:rPr>
                      <w:t>0</w:t>
                    </w:r>
                  </w:p>
                </w:txbxContent>
              </v:textbox>
            </v:shape>
            <v:shape id="_x0000_s1049" type="#_x0000_t202" style="width:1136;height:186;left:12105;position:absolute;top:1984" filled="f" stroked="f">
              <v:textbox inset="0,0,0,0">
                <w:txbxContent>
                  <w:p>
                    <w:pPr>
                      <w:spacing w:before="0" w:line="186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￠48x3.5钢管</w:t>
                    </w:r>
                  </w:p>
                </w:txbxContent>
              </v:textbox>
            </v:shape>
            <v:shape id="_x0000_s1050" type="#_x0000_t202" style="width:106;height:171;left:4726;position:absolute;top:2177" filled="f" stroked="f">
              <v:textbox inset="0,0,0,0">
                <w:txbxContent>
                  <w:p>
                    <w:pPr>
                      <w:spacing w:before="0" w:line="171" w:lineRule="exact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w w:val="100"/>
                        <w:sz w:val="17"/>
                      </w:rPr>
                      <w:t>0</w:t>
                    </w:r>
                  </w:p>
                </w:txbxContent>
              </v:textbox>
            </v:shape>
            <v:shape id="_x0000_s1051" type="#_x0000_t202" style="width:106;height:171;left:4726;position:absolute;top:2274" filled="f" stroked="f">
              <v:textbox inset="0,0,0,0">
                <w:txbxContent>
                  <w:p>
                    <w:pPr>
                      <w:spacing w:before="0" w:line="171" w:lineRule="exact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w w:val="100"/>
                        <w:sz w:val="17"/>
                      </w:rPr>
                      <w:t>5</w:t>
                    </w:r>
                  </w:p>
                </w:txbxContent>
              </v:textbox>
            </v:shape>
            <v:shape id="_x0000_s1052" type="#_x0000_t202" style="width:578;height:186;left:6575;position:absolute;top:2861" filled="f" stroked="f">
              <v:textbox inset="0,0,0,0">
                <w:txbxContent>
                  <w:p>
                    <w:pPr>
                      <w:spacing w:before="0" w:line="186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w w:val="105"/>
                        <w:sz w:val="18"/>
                      </w:rPr>
                      <w:t>扫地杆</w:t>
                    </w:r>
                  </w:p>
                </w:txbxContent>
              </v:textbox>
            </v:shape>
            <v:shape id="_x0000_s1053" type="#_x0000_t202" style="width:206;height:400;left:4649;position:absolute;top:3594" filled="f" stroked="f">
              <v:textbox inset="0,0,0,0">
                <w:txbxContent>
                  <w:p>
                    <w:pPr>
                      <w:spacing w:before="0" w:line="223" w:lineRule="auto"/>
                      <w:ind w:left="0" w:right="18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阳台</w:t>
                    </w:r>
                  </w:p>
                </w:txbxContent>
              </v:textbox>
            </v:shape>
            <v:shape id="_x0000_s1054" type="#_x0000_t202" style="width:764;height:186;left:15253;position:absolute;top:3832" filled="f" stroked="f">
              <v:textbox inset="0,0,0,0">
                <w:txbxContent>
                  <w:p>
                    <w:pPr>
                      <w:spacing w:before="0" w:line="186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w w:val="105"/>
                        <w:sz w:val="18"/>
                      </w:rPr>
                      <w:t>栏杆横杆</w:t>
                    </w:r>
                  </w:p>
                </w:txbxContent>
              </v:textbox>
            </v:shape>
            <v:shape id="_x0000_s1055" type="#_x0000_t202" style="width:764;height:186;left:2329;position:absolute;top:4062" filled="f" stroked="f">
              <v:textbox inset="0,0,0,0">
                <w:txbxContent>
                  <w:p>
                    <w:pPr>
                      <w:spacing w:before="0" w:line="186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w w:val="105"/>
                        <w:sz w:val="18"/>
                      </w:rPr>
                      <w:t>对接扣件</w:t>
                    </w:r>
                  </w:p>
                </w:txbxContent>
              </v:textbox>
            </v:shape>
            <v:shape id="_x0000_s1056" type="#_x0000_t202" style="width:578;height:186;left:10499;position:absolute;top:4024" filled="f" stroked="f">
              <v:textbox inset="0,0,0,0">
                <w:txbxContent>
                  <w:p>
                    <w:pPr>
                      <w:spacing w:before="0" w:line="186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w w:val="105"/>
                        <w:sz w:val="18"/>
                      </w:rPr>
                      <w:t>扫地杆</w:t>
                    </w:r>
                  </w:p>
                </w:txbxContent>
              </v:textbox>
            </v:shape>
            <v:shape id="_x0000_s1057" type="#_x0000_t202" style="width:764;height:186;left:2386;position:absolute;top:5217" filled="f" stroked="f">
              <v:textbox inset="0,0,0,0">
                <w:txbxContent>
                  <w:p>
                    <w:pPr>
                      <w:spacing w:before="0" w:line="186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w w:val="105"/>
                        <w:sz w:val="18"/>
                      </w:rPr>
                      <w:t>直角扣件</w:t>
                    </w:r>
                  </w:p>
                </w:txbxContent>
              </v:textbox>
            </v:shape>
            <v:shape id="_x0000_s1058" type="#_x0000_t202" style="width:764;height:186;left:2392;position:absolute;top:5844" filled="f" stroked="f">
              <v:textbox inset="0,0,0,0">
                <w:txbxContent>
                  <w:p>
                    <w:pPr>
                      <w:spacing w:before="0" w:line="186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w w:val="105"/>
                        <w:sz w:val="18"/>
                      </w:rPr>
                      <w:t>埋锚固件</w:t>
                    </w:r>
                  </w:p>
                </w:txbxContent>
              </v:textbox>
            </v:shape>
            <v:shape id="_x0000_s1059" type="#_x0000_t202" style="width:578;height:186;left:6885;position:absolute;top:6087" filled="f" stroked="f">
              <v:textbox inset="0,0,0,0">
                <w:txbxContent>
                  <w:p>
                    <w:pPr>
                      <w:spacing w:before="0" w:line="186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w w:val="105"/>
                        <w:sz w:val="18"/>
                      </w:rPr>
                      <w:t>踢脚板</w:t>
                    </w:r>
                  </w:p>
                </w:txbxContent>
              </v:textbox>
            </v:shape>
            <v:shape id="_x0000_s1060" type="#_x0000_t202" style="width:950;height:186;left:15113;position:absolute;top:6913" filled="f" stroked="f">
              <v:textbox inset="0,0,0,0">
                <w:txbxContent>
                  <w:p>
                    <w:pPr>
                      <w:spacing w:before="0" w:line="186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通长栏杆柱</w:t>
                    </w:r>
                  </w:p>
                </w:txbxContent>
              </v:textbox>
            </v:shape>
            <v:shape id="_x0000_s1061" type="#_x0000_t202" style="width:764;height:186;left:2222;position:absolute;top:8028" filled="f" stroked="f">
              <v:textbox inset="0,0,0,0">
                <w:txbxContent>
                  <w:p>
                    <w:pPr>
                      <w:spacing w:before="0" w:line="186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w w:val="105"/>
                        <w:sz w:val="18"/>
                      </w:rPr>
                      <w:t>垫板底座</w:t>
                    </w:r>
                  </w:p>
                </w:txbxContent>
              </v:textbox>
            </v:shape>
            <v:shape id="_x0000_s1062" type="#_x0000_t202" style="width:106;height:171;left:4708;position:absolute;top:8084" filled="f" stroked="f">
              <v:textbox inset="0,0,0,0">
                <w:txbxContent>
                  <w:p>
                    <w:pPr>
                      <w:spacing w:before="0" w:line="171" w:lineRule="exact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w w:val="100"/>
                        <w:sz w:val="17"/>
                      </w:rPr>
                      <w:t>0</w:t>
                    </w:r>
                  </w:p>
                </w:txbxContent>
              </v:textbox>
            </v:shape>
            <v:shape id="_x0000_s1063" type="#_x0000_t202" style="width:106;height:171;left:4708;position:absolute;top:8181" filled="f" stroked="f">
              <v:textbox inset="0,0,0,0">
                <w:txbxContent>
                  <w:p>
                    <w:pPr>
                      <w:spacing w:before="0" w:line="171" w:lineRule="exact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w w:val="100"/>
                        <w:sz w:val="17"/>
                      </w:rPr>
                      <w:t>0</w:t>
                    </w:r>
                  </w:p>
                </w:txbxContent>
              </v:textbox>
            </v:shape>
            <v:shape id="_x0000_s1064" type="#_x0000_t202" style="width:578;height:186;left:11633;position:absolute;top:8119" filled="f" stroked="f">
              <v:textbox inset="0,0,0,0">
                <w:txbxContent>
                  <w:p>
                    <w:pPr>
                      <w:spacing w:before="0" w:line="186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w w:val="105"/>
                        <w:sz w:val="18"/>
                      </w:rPr>
                      <w:t>踢脚板</w:t>
                    </w:r>
                  </w:p>
                </w:txbxContent>
              </v:textbox>
            </v:shape>
            <v:shape id="_x0000_s1065" type="#_x0000_t202" style="width:106;height:171;left:4708;position:absolute;top:8278" filled="f" stroked="f">
              <v:textbox inset="0,0,0,0">
                <w:txbxContent>
                  <w:p>
                    <w:pPr>
                      <w:spacing w:before="0" w:line="171" w:lineRule="exact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w w:val="100"/>
                        <w:sz w:val="17"/>
                      </w:rPr>
                      <w:t>1</w:t>
                    </w:r>
                  </w:p>
                </w:txbxContent>
              </v:textbox>
            </v:shape>
            <v:shape id="_x0000_s1066" type="#_x0000_t202" style="width:106;height:171;left:15027;position:absolute;top:8465" filled="f" stroked="f">
              <v:textbox inset="0,0,0,0">
                <w:txbxContent>
                  <w:p>
                    <w:pPr>
                      <w:spacing w:before="0" w:line="171" w:lineRule="exact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w w:val="100"/>
                        <w:sz w:val="17"/>
                      </w:rPr>
                      <w:t>0</w:t>
                    </w:r>
                  </w:p>
                </w:txbxContent>
              </v:textbox>
            </v:shape>
            <v:shape id="_x0000_s1067" type="#_x0000_t202" style="width:764;height:186;left:15329;position:absolute;top:8362" filled="f" stroked="f">
              <v:textbox inset="0,0,0,0">
                <w:txbxContent>
                  <w:p>
                    <w:pPr>
                      <w:spacing w:before="0" w:line="186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w w:val="105"/>
                        <w:sz w:val="18"/>
                      </w:rPr>
                      <w:t>垫板底座</w:t>
                    </w:r>
                  </w:p>
                </w:txbxContent>
              </v:textbox>
            </v:shape>
            <v:shape id="_x0000_s1068" type="#_x0000_t202" style="width:106;height:171;left:15027;position:absolute;top:8562" filled="f" stroked="f">
              <v:textbox inset="0,0,0,0">
                <w:txbxContent>
                  <w:p>
                    <w:pPr>
                      <w:spacing w:before="0" w:line="171" w:lineRule="exact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w w:val="100"/>
                        <w:sz w:val="17"/>
                      </w:rPr>
                      <w:t>0</w:t>
                    </w:r>
                  </w:p>
                </w:txbxContent>
              </v:textbox>
            </v:shape>
            <v:shape id="_x0000_s1069" type="#_x0000_t202" style="width:106;height:171;left:15027;position:absolute;top:8659" filled="f" stroked="f">
              <v:textbox inset="0,0,0,0">
                <w:txbxContent>
                  <w:p>
                    <w:pPr>
                      <w:spacing w:before="0" w:line="171" w:lineRule="exact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w w:val="100"/>
                        <w:sz w:val="17"/>
                      </w:rPr>
                      <w:t>1</w:t>
                    </w:r>
                  </w:p>
                </w:txbxContent>
              </v:textbox>
            </v:shape>
            <v:shape id="_x0000_s1070" type="#_x0000_t202" style="width:604;height:195;left:6526;position:absolute;top:8945" filled="f" stroked="f">
              <v:textbox inset="0,0,0,0">
                <w:txbxContent>
                  <w:p>
                    <w:pPr>
                      <w:spacing w:before="0" w:line="194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≯2000</w:t>
                    </w:r>
                  </w:p>
                </w:txbxContent>
              </v:textbox>
            </v:shape>
            <v:shape id="_x0000_s1071" type="#_x0000_t202" style="width:604;height:195;left:8454;position:absolute;top:8945" filled="f" stroked="f">
              <v:textbox inset="0,0,0,0">
                <w:txbxContent>
                  <w:p>
                    <w:pPr>
                      <w:spacing w:before="0" w:line="194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≯2000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7"/>
        </w:rPr>
      </w:pPr>
    </w:p>
    <w:p>
      <w:pPr>
        <w:pStyle w:val="Heading1"/>
      </w:pPr>
      <w:bookmarkStart w:id="3" w:name="_TOC_250012"/>
      <w:bookmarkEnd w:id="3"/>
      <w:r>
        <w:t>四、电梯井、竖向洞口防护</w:t>
      </w:r>
    </w:p>
    <w:p>
      <w:pPr>
        <w:pStyle w:val="BodyText"/>
        <w:spacing w:before="10"/>
        <w:rPr>
          <w:b/>
          <w:sz w:val="49"/>
        </w:rPr>
      </w:pPr>
    </w:p>
    <w:p>
      <w:pPr>
        <w:pStyle w:val="BodyText"/>
        <w:spacing w:line="417" w:lineRule="auto"/>
        <w:ind w:left="638" w:right="1628" w:firstLine="839"/>
      </w:pPr>
      <w:r>
        <w:t>1</w:t>
      </w:r>
      <w:r>
        <w:rPr>
          <w:spacing w:val="-13"/>
        </w:rPr>
        <w:t xml:space="preserve">、电梯井门洞安装 </w:t>
      </w:r>
      <w:r>
        <w:t>1800mm</w:t>
      </w:r>
      <w:r>
        <w:rPr>
          <w:spacing w:val="-10"/>
        </w:rPr>
        <w:t xml:space="preserve"> 高立式钢筋防护门，钢筋直径为</w:t>
      </w:r>
      <w:r>
        <w:rPr>
          <w:spacing w:val="-4"/>
        </w:rPr>
        <w:t>φ14～φ16，</w:t>
      </w:r>
      <w:r>
        <w:rPr>
          <w:spacing w:val="-15"/>
        </w:rPr>
        <w:t>竖</w:t>
      </w:r>
      <w:r>
        <w:rPr>
          <w:spacing w:val="-12"/>
        </w:rPr>
        <w:t xml:space="preserve">向钢筋间距不大于 </w:t>
      </w:r>
      <w:r>
        <w:t>150mm</w:t>
      </w:r>
      <w:r>
        <w:rPr>
          <w:spacing w:val="-20"/>
        </w:rPr>
        <w:t xml:space="preserve">；底部安装 </w:t>
      </w:r>
      <w:r>
        <w:t>200mm</w:t>
      </w:r>
      <w:r>
        <w:rPr>
          <w:spacing w:val="-38"/>
        </w:rPr>
        <w:t xml:space="preserve"> 高、</w:t>
      </w:r>
      <w:r>
        <w:t>1mm</w:t>
      </w:r>
      <w:r>
        <w:rPr>
          <w:spacing w:val="-11"/>
        </w:rPr>
        <w:t xml:space="preserve"> 厚钢板,刷红白相间警示油漆</w:t>
      </w:r>
      <w:r>
        <w:rPr>
          <w:spacing w:val="-42"/>
        </w:rPr>
        <w:t xml:space="preserve">间距 </w:t>
      </w:r>
      <w:r>
        <w:t>400mm</w:t>
      </w:r>
      <w:r>
        <w:rPr>
          <w:spacing w:val="-9"/>
        </w:rPr>
        <w:t xml:space="preserve">；钢筋防护门的四个角焊接 </w:t>
      </w:r>
      <w:r>
        <w:t>5mm</w:t>
      </w:r>
      <w:r>
        <w:rPr>
          <w:spacing w:val="-69"/>
        </w:rPr>
        <w:t xml:space="preserve"> 厚 </w:t>
      </w:r>
      <w:r>
        <w:t>150×150mm</w:t>
      </w:r>
      <w:r>
        <w:rPr>
          <w:spacing w:val="-27"/>
        </w:rPr>
        <w:t xml:space="preserve"> 钢板,</w:t>
      </w:r>
      <w:r>
        <w:t>φ8</w:t>
      </w:r>
      <w:r>
        <w:rPr>
          <w:spacing w:val="-18"/>
        </w:rPr>
        <w:t xml:space="preserve"> 膨胀螺栓与电梯井墙体固定；电梯井洞口防护门均刷蓝油漆；</w:t>
      </w:r>
    </w:p>
    <w:p>
      <w:pPr>
        <w:spacing w:after="0" w:line="417" w:lineRule="auto"/>
        <w:sectPr>
          <w:headerReference w:type="default" r:id="rId15"/>
          <w:footerReference w:type="default" r:id="rId16"/>
          <w:pgSz w:w="17860" w:h="25260"/>
          <w:pgMar w:top="980" w:right="260" w:bottom="1600" w:left="640" w:header="628" w:footer="1412"/>
          <w:pgNumType w:start="5"/>
          <w:cols w:space="708"/>
        </w:sectPr>
      </w:pPr>
    </w:p>
    <w:p>
      <w:pPr>
        <w:spacing w:before="43"/>
        <w:ind w:left="4144" w:right="1648" w:firstLine="0"/>
        <w:jc w:val="center"/>
        <w:rPr>
          <w:sz w:val="27"/>
        </w:rPr>
      </w:pPr>
      <w:r>
        <w:pict>
          <v:group id="_x0000_s1072" style="width:893pt;height:1248pt;margin-top:0;margin-left:0;mso-position-horizontal-relative:page;mso-position-vertical-relative:page;position:absolute;z-index:-251654144" coordorigin="0,0" coordsize="17860,24960">
            <v:shape id="_x0000_s1073" type="#_x0000_t75" style="width:14980;height:260;left:1120;position:absolute;top:820" stroked="f">
              <v:imagedata r:id="rId4" o:title=""/>
            </v:shape>
            <v:shape id="_x0000_s1074" type="#_x0000_t75" style="width:17860;height:24960;position:absolute" stroked="f">
              <v:imagedata r:id="rId17" o:title=""/>
            </v:shape>
          </v:group>
        </w:pict>
      </w:r>
      <w:r>
        <w:rPr>
          <w:rFonts w:ascii="Arial" w:eastAsia="Arial"/>
          <w:sz w:val="27"/>
        </w:rPr>
        <w:t xml:space="preserve">WORD </w:t>
      </w:r>
      <w:r>
        <w:rPr>
          <w:sz w:val="27"/>
        </w:rPr>
        <w:t>完美格式编辑</w:t>
      </w:r>
    </w:p>
    <w:p>
      <w:pPr>
        <w:pStyle w:val="BodyText"/>
        <w:spacing w:before="1"/>
        <w:rPr>
          <w:sz w:val="41"/>
        </w:rPr>
      </w:pPr>
    </w:p>
    <w:p>
      <w:pPr>
        <w:pStyle w:val="BodyText"/>
        <w:spacing w:line="417" w:lineRule="auto"/>
        <w:ind w:left="638" w:right="1633" w:firstLine="839"/>
      </w:pPr>
      <w:r>
        <w:t>2</w:t>
      </w:r>
      <w:r>
        <w:rPr>
          <w:spacing w:val="-1"/>
        </w:rPr>
        <w:t>、电梯井井道内搭设满堂操作架，架体步距≤</w:t>
      </w:r>
      <w:r>
        <w:rPr>
          <w:spacing w:val="-4"/>
        </w:rPr>
        <w:t>1800mm</w:t>
      </w:r>
      <w:r>
        <w:rPr>
          <w:spacing w:val="-2"/>
        </w:rPr>
        <w:t>，在作业层下一步距</w:t>
      </w:r>
      <w:r>
        <w:rPr>
          <w:spacing w:val="-19"/>
        </w:rPr>
        <w:t xml:space="preserve">处挂设安全平网，作业层以下每隔 </w:t>
      </w:r>
      <w:r>
        <w:t>10m</w:t>
      </w:r>
      <w:r>
        <w:rPr>
          <w:spacing w:val="-13"/>
        </w:rPr>
        <w:t xml:space="preserve"> 设置硬质全封闭,±</w:t>
      </w:r>
      <w:r>
        <w:t>0.000</w:t>
      </w:r>
      <w:r>
        <w:rPr>
          <w:spacing w:val="-16"/>
        </w:rPr>
        <w:t xml:space="preserve"> 处为第一层全封</w:t>
      </w:r>
      <w:r>
        <w:rPr>
          <w:spacing w:val="-22"/>
        </w:rPr>
        <w:t xml:space="preserve">闭层；每 </w:t>
      </w:r>
      <w:r>
        <w:t>2</w:t>
      </w:r>
      <w:r>
        <w:rPr>
          <w:spacing w:val="-23"/>
        </w:rPr>
        <w:t xml:space="preserve"> 层全封闭层中间设置 </w:t>
      </w:r>
      <w:r>
        <w:t>1</w:t>
      </w:r>
      <w:r>
        <w:rPr>
          <w:spacing w:val="-17"/>
        </w:rPr>
        <w:t xml:space="preserve"> 道安全平网；</w:t>
      </w:r>
    </w:p>
    <w:p>
      <w:pPr>
        <w:pStyle w:val="BodyText"/>
        <w:spacing w:line="417" w:lineRule="auto"/>
        <w:ind w:left="638" w:right="1500" w:firstLine="839"/>
      </w:pPr>
      <w:r>
        <w:t>3</w:t>
      </w:r>
      <w:r>
        <w:rPr>
          <w:spacing w:val="-8"/>
        </w:rPr>
        <w:t xml:space="preserve">、下边沿至楼板或底面低于 </w:t>
      </w:r>
      <w:r>
        <w:t>80cm</w:t>
      </w:r>
      <w:r>
        <w:rPr>
          <w:spacing w:val="-16"/>
        </w:rPr>
        <w:t xml:space="preserve"> 的窗台等竖向洞口，如侧边落差大于 </w:t>
      </w:r>
      <w:r>
        <w:t xml:space="preserve">2m </w:t>
      </w:r>
      <w:r>
        <w:rPr>
          <w:spacing w:val="-17"/>
        </w:rPr>
        <w:t xml:space="preserve">时，需加设 </w:t>
      </w:r>
      <w:r>
        <w:t>1200mm</w:t>
      </w:r>
      <w:r>
        <w:rPr>
          <w:spacing w:val="-11"/>
        </w:rPr>
        <w:t xml:space="preserve"> 高防护拉杆；洞口宽度≤</w:t>
      </w:r>
      <w:r>
        <w:t>1800mm</w:t>
      </w:r>
      <w:r>
        <w:rPr>
          <w:spacing w:val="-12"/>
        </w:rPr>
        <w:t xml:space="preserve"> 的采用单立杆,冲击钻钻孔， </w:t>
      </w:r>
      <w:r>
        <w:rPr>
          <w:spacing w:val="-33"/>
        </w:rPr>
        <w:t xml:space="preserve">打入 </w:t>
      </w:r>
      <w:r>
        <w:t>1φ18</w:t>
      </w:r>
      <w:r>
        <w:rPr>
          <w:spacing w:val="-15"/>
        </w:rPr>
        <w:t xml:space="preserve"> 钢筋，深度≥</w:t>
      </w:r>
      <w:r>
        <w:t>200mm</w:t>
      </w:r>
      <w:r>
        <w:rPr>
          <w:spacing w:val="-26"/>
        </w:rPr>
        <w:t xml:space="preserve">、外露 </w:t>
      </w:r>
      <w:r>
        <w:t>150mm，与立杆焊接；洞口宽度＞1800mm 的按照“三、楼层、屋面临边防护”要求搭设防护栏杆。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Heading1"/>
        <w:spacing w:before="356"/>
      </w:pPr>
      <w:bookmarkStart w:id="4" w:name="_TOC_250011"/>
      <w:bookmarkEnd w:id="4"/>
      <w:r>
        <w:t>五、水平洞口防护</w:t>
      </w:r>
    </w:p>
    <w:p>
      <w:pPr>
        <w:pStyle w:val="ListParagraph"/>
        <w:numPr>
          <w:ilvl w:val="2"/>
          <w:numId w:val="5"/>
        </w:numPr>
        <w:tabs>
          <w:tab w:val="left" w:pos="2534"/>
        </w:tabs>
        <w:spacing w:before="246" w:after="0" w:line="930" w:lineRule="atLeast"/>
        <w:ind w:left="638" w:right="1619" w:firstLine="839"/>
        <w:jc w:val="both"/>
        <w:rPr>
          <w:sz w:val="42"/>
        </w:rPr>
      </w:pPr>
      <w:r>
        <w:rPr>
          <w:spacing w:val="-31"/>
          <w:sz w:val="42"/>
        </w:rPr>
        <w:t xml:space="preserve">边长在 </w:t>
      </w:r>
      <w:r>
        <w:rPr>
          <w:rFonts w:ascii="Arial" w:eastAsia="Arial" w:hAnsi="Arial"/>
          <w:sz w:val="42"/>
        </w:rPr>
        <w:t>25</w:t>
      </w:r>
      <w:r>
        <w:rPr>
          <w:sz w:val="42"/>
        </w:rPr>
        <w:t>～</w:t>
      </w:r>
      <w:r>
        <w:rPr>
          <w:rFonts w:ascii="Arial" w:eastAsia="Arial" w:hAnsi="Arial"/>
          <w:sz w:val="42"/>
        </w:rPr>
        <w:t>200mm</w:t>
      </w:r>
      <w:r>
        <w:rPr>
          <w:sz w:val="42"/>
        </w:rPr>
        <w:t>（</w:t>
      </w:r>
      <w:r>
        <w:rPr>
          <w:spacing w:val="-60"/>
          <w:sz w:val="42"/>
        </w:rPr>
        <w:t xml:space="preserve">含 </w:t>
      </w:r>
      <w:r>
        <w:rPr>
          <w:rFonts w:ascii="Arial" w:eastAsia="Arial" w:hAnsi="Arial"/>
          <w:sz w:val="42"/>
        </w:rPr>
        <w:t>200mm)</w:t>
      </w:r>
      <w:r>
        <w:rPr>
          <w:spacing w:val="-9"/>
          <w:sz w:val="42"/>
        </w:rPr>
        <w:t xml:space="preserve">的水平洞口防护，采用洞口楔紧 </w:t>
      </w:r>
      <w:r>
        <w:rPr>
          <w:sz w:val="42"/>
        </w:rPr>
        <w:t>2</w:t>
      </w:r>
      <w:r>
        <w:rPr>
          <w:spacing w:val="-59"/>
          <w:sz w:val="42"/>
        </w:rPr>
        <w:t xml:space="preserve"> 根木枋（立放），</w:t>
      </w:r>
      <w:r>
        <w:rPr>
          <w:spacing w:val="-42"/>
          <w:sz w:val="42"/>
        </w:rPr>
        <w:t xml:space="preserve">上盖 </w:t>
      </w:r>
      <w:r>
        <w:rPr>
          <w:sz w:val="42"/>
        </w:rPr>
        <w:t>18mm</w:t>
      </w:r>
      <w:r>
        <w:rPr>
          <w:spacing w:val="-1"/>
          <w:sz w:val="42"/>
        </w:rPr>
        <w:t xml:space="preserve"> 厚木胶合板用铁钉钉牢，面层刷红白相间的警示油漆</w:t>
      </w:r>
      <w:r>
        <w:rPr>
          <w:spacing w:val="-35"/>
          <w:sz w:val="42"/>
        </w:rPr>
        <w:t xml:space="preserve">间距 </w:t>
      </w:r>
      <w:r>
        <w:rPr>
          <w:sz w:val="42"/>
        </w:rPr>
        <w:t>20cm</w:t>
      </w:r>
      <w:r>
        <w:rPr>
          <w:spacing w:val="-55"/>
          <w:sz w:val="42"/>
        </w:rPr>
        <w:t xml:space="preserve"> 角度 </w:t>
      </w:r>
      <w:r>
        <w:rPr>
          <w:sz w:val="42"/>
        </w:rPr>
        <w:t>45°。</w:t>
      </w:r>
    </w:p>
    <w:p>
      <w:pPr>
        <w:spacing w:before="291"/>
        <w:ind w:left="4829" w:right="0" w:firstLine="0"/>
        <w:jc w:val="left"/>
        <w:rPr>
          <w:sz w:val="27"/>
        </w:rPr>
      </w:pPr>
      <w:r>
        <w:rPr>
          <w:sz w:val="27"/>
        </w:rPr>
        <w:t>专业资料整理</w:t>
      </w:r>
    </w:p>
    <w:p>
      <w:pPr>
        <w:spacing w:after="0"/>
        <w:jc w:val="left"/>
        <w:rPr>
          <w:sz w:val="27"/>
        </w:rPr>
        <w:sectPr>
          <w:headerReference w:type="default" r:id="rId18"/>
          <w:footerReference w:type="default" r:id="rId19"/>
          <w:pgSz w:w="17860" w:h="25260"/>
          <w:pgMar w:top="560" w:right="260" w:bottom="280" w:left="640" w:header="0" w:footer="0"/>
          <w:pgNumType w:start="6"/>
          <w:cols w:space="708"/>
        </w:sectPr>
      </w:pPr>
    </w:p>
    <w:p>
      <w:pPr>
        <w:spacing w:before="43"/>
        <w:ind w:left="4144" w:right="1648" w:firstLine="0"/>
        <w:jc w:val="center"/>
        <w:rPr>
          <w:sz w:val="27"/>
        </w:rPr>
      </w:pPr>
      <w:r>
        <w:pict>
          <v:group id="_x0000_s1075" style="width:893pt;height:1248pt;margin-top:0;margin-left:0;mso-position-horizontal-relative:page;mso-position-vertical-relative:page;position:absolute;z-index:-251653120" coordorigin="0,0" coordsize="17860,24960">
            <v:shape id="_x0000_s1076" type="#_x0000_t75" style="width:14980;height:260;left:1120;position:absolute;top:820" stroked="f">
              <v:imagedata r:id="rId4" o:title=""/>
            </v:shape>
            <v:shape id="_x0000_s1077" type="#_x0000_t75" style="width:17860;height:24960;position:absolute" stroked="f">
              <v:imagedata r:id="rId20" o:title=""/>
            </v:shape>
          </v:group>
        </w:pict>
      </w:r>
      <w:r>
        <w:rPr>
          <w:rFonts w:ascii="Arial" w:eastAsia="Arial"/>
          <w:sz w:val="27"/>
        </w:rPr>
        <w:t xml:space="preserve">WORD </w:t>
      </w:r>
      <w:r>
        <w:rPr>
          <w:sz w:val="27"/>
        </w:rPr>
        <w:t>完美格式编辑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6"/>
        <w:rPr>
          <w:sz w:val="31"/>
        </w:rPr>
      </w:pPr>
    </w:p>
    <w:p>
      <w:pPr>
        <w:pStyle w:val="ListParagraph"/>
        <w:numPr>
          <w:ilvl w:val="2"/>
          <w:numId w:val="3"/>
        </w:numPr>
        <w:tabs>
          <w:tab w:val="left" w:pos="2534"/>
        </w:tabs>
        <w:spacing w:before="0" w:after="0" w:line="417" w:lineRule="auto"/>
        <w:ind w:left="638" w:right="1639" w:firstLine="839"/>
        <w:jc w:val="left"/>
        <w:rPr>
          <w:sz w:val="42"/>
        </w:rPr>
      </w:pPr>
      <w:r>
        <w:rPr>
          <w:w w:val="100"/>
          <w:sz w:val="42"/>
        </w:rPr>
        <w:t>边长在</w:t>
      </w:r>
      <w:r>
        <w:rPr>
          <w:spacing w:val="-110"/>
          <w:sz w:val="42"/>
        </w:rPr>
        <w:t xml:space="preserve"> </w:t>
      </w:r>
      <w:r>
        <w:rPr>
          <w:rFonts w:ascii="Arial" w:eastAsia="Arial" w:hAnsi="Arial"/>
          <w:w w:val="90"/>
          <w:sz w:val="42"/>
        </w:rPr>
        <w:t>20</w:t>
      </w:r>
      <w:r>
        <w:rPr>
          <w:rFonts w:ascii="Arial" w:eastAsia="Arial" w:hAnsi="Arial"/>
          <w:spacing w:val="-2"/>
          <w:w w:val="90"/>
          <w:sz w:val="42"/>
        </w:rPr>
        <w:t>0</w:t>
      </w:r>
      <w:r>
        <w:rPr>
          <w:w w:val="100"/>
          <w:sz w:val="42"/>
        </w:rPr>
        <w:t>～</w:t>
      </w:r>
      <w:r>
        <w:rPr>
          <w:rFonts w:ascii="Arial" w:eastAsia="Arial" w:hAnsi="Arial"/>
          <w:w w:val="91"/>
          <w:sz w:val="42"/>
        </w:rPr>
        <w:t>500m</w:t>
      </w:r>
      <w:r>
        <w:rPr>
          <w:rFonts w:ascii="Arial" w:eastAsia="Arial" w:hAnsi="Arial"/>
          <w:spacing w:val="-185"/>
          <w:w w:val="93"/>
          <w:sz w:val="42"/>
        </w:rPr>
        <w:t>m</w:t>
      </w:r>
      <w:r>
        <w:rPr>
          <w:w w:val="100"/>
          <w:sz w:val="42"/>
        </w:rPr>
        <w:t>（含</w:t>
      </w:r>
      <w:r>
        <w:rPr>
          <w:spacing w:val="-106"/>
          <w:sz w:val="42"/>
        </w:rPr>
        <w:t xml:space="preserve"> </w:t>
      </w:r>
      <w:r>
        <w:rPr>
          <w:rFonts w:ascii="Arial" w:eastAsia="Arial" w:hAnsi="Arial"/>
          <w:w w:val="92"/>
          <w:sz w:val="42"/>
        </w:rPr>
        <w:t>500mm</w:t>
      </w:r>
      <w:r>
        <w:rPr>
          <w:rFonts w:ascii="Arial" w:eastAsia="Arial" w:hAnsi="Arial"/>
          <w:spacing w:val="-2"/>
          <w:w w:val="92"/>
          <w:sz w:val="42"/>
        </w:rPr>
        <w:t>)</w:t>
      </w:r>
      <w:r>
        <w:rPr>
          <w:spacing w:val="-14"/>
          <w:w w:val="100"/>
          <w:sz w:val="42"/>
        </w:rPr>
        <w:t>的水平洞口防护，采用洞口上部盖</w:t>
      </w:r>
      <w:r>
        <w:rPr>
          <w:spacing w:val="-112"/>
          <w:sz w:val="42"/>
        </w:rPr>
        <w:t xml:space="preserve"> </w:t>
      </w:r>
      <w:r>
        <w:rPr>
          <w:spacing w:val="-4"/>
          <w:sz w:val="42"/>
        </w:rPr>
        <w:t>18mm</w:t>
      </w:r>
      <w:r>
        <w:rPr>
          <w:spacing w:val="12"/>
          <w:sz w:val="42"/>
        </w:rPr>
        <w:t>厚木胶合板用</w:t>
      </w:r>
      <w:r>
        <w:rPr>
          <w:sz w:val="42"/>
        </w:rPr>
        <w:t>φ8</w:t>
      </w:r>
      <w:r>
        <w:rPr>
          <w:spacing w:val="-17"/>
          <w:sz w:val="42"/>
        </w:rPr>
        <w:t xml:space="preserve"> 膨胀螺栓固定，面层刷红白相间的警示油漆间距</w:t>
      </w:r>
      <w:r>
        <w:rPr>
          <w:sz w:val="42"/>
        </w:rPr>
        <w:t>20cm</w:t>
      </w:r>
      <w:r>
        <w:rPr>
          <w:spacing w:val="-41"/>
          <w:sz w:val="42"/>
        </w:rPr>
        <w:t xml:space="preserve"> 角度</w:t>
      </w:r>
      <w:r>
        <w:rPr>
          <w:spacing w:val="-5"/>
          <w:sz w:val="42"/>
        </w:rPr>
        <w:t>45°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ListParagraph"/>
        <w:numPr>
          <w:ilvl w:val="2"/>
          <w:numId w:val="3"/>
        </w:numPr>
        <w:tabs>
          <w:tab w:val="left" w:pos="2534"/>
        </w:tabs>
        <w:spacing w:before="306" w:after="0" w:line="417" w:lineRule="auto"/>
        <w:ind w:left="638" w:right="1430" w:firstLine="839"/>
        <w:jc w:val="left"/>
        <w:rPr>
          <w:sz w:val="42"/>
        </w:rPr>
      </w:pPr>
      <w:r>
        <w:rPr>
          <w:spacing w:val="-30"/>
          <w:sz w:val="42"/>
        </w:rPr>
        <w:t xml:space="preserve">边长在 </w:t>
      </w:r>
      <w:r>
        <w:rPr>
          <w:sz w:val="42"/>
        </w:rPr>
        <w:t>500～1500mm（</w:t>
      </w:r>
      <w:r>
        <w:rPr>
          <w:spacing w:val="-54"/>
          <w:sz w:val="42"/>
        </w:rPr>
        <w:t xml:space="preserve">含 </w:t>
      </w:r>
      <w:r>
        <w:rPr>
          <w:sz w:val="42"/>
        </w:rPr>
        <w:t>1500mm)的水平洞口防护，采用洞口上部铺木枋（立放）@400mm</w:t>
      </w:r>
      <w:r>
        <w:rPr>
          <w:spacing w:val="-25"/>
          <w:sz w:val="42"/>
        </w:rPr>
        <w:t xml:space="preserve">，上盖 </w:t>
      </w:r>
      <w:r>
        <w:rPr>
          <w:sz w:val="42"/>
        </w:rPr>
        <w:t>18mm</w:t>
      </w:r>
      <w:r>
        <w:rPr>
          <w:spacing w:val="-11"/>
          <w:sz w:val="42"/>
        </w:rPr>
        <w:t xml:space="preserve"> 厚木胶合板用铁钉钉牢，木枋侧面与地面之间的</w:t>
      </w:r>
      <w:r>
        <w:rPr>
          <w:spacing w:val="-34"/>
          <w:sz w:val="42"/>
        </w:rPr>
        <w:t xml:space="preserve">缝隙也用 </w:t>
      </w:r>
      <w:r>
        <w:rPr>
          <w:sz w:val="42"/>
        </w:rPr>
        <w:t>18mm</w:t>
      </w:r>
      <w:r>
        <w:rPr>
          <w:spacing w:val="-17"/>
          <w:sz w:val="42"/>
        </w:rPr>
        <w:t xml:space="preserve"> 厚木胶合板封严，面层刷红白相间的警示油漆间距</w:t>
      </w:r>
      <w:r>
        <w:rPr>
          <w:sz w:val="42"/>
        </w:rPr>
        <w:t>20cm</w:t>
      </w:r>
      <w:r>
        <w:rPr>
          <w:spacing w:val="-15"/>
          <w:sz w:val="42"/>
        </w:rPr>
        <w:t xml:space="preserve"> 角度</w:t>
      </w:r>
      <w:r>
        <w:rPr>
          <w:sz w:val="42"/>
        </w:rPr>
        <w:t>45°</w:t>
      </w:r>
      <w:r>
        <w:rPr>
          <w:spacing w:val="-16"/>
          <w:sz w:val="42"/>
        </w:rPr>
        <w:t>。</w:t>
      </w:r>
      <w:r>
        <w:rPr>
          <w:spacing w:val="5"/>
          <w:sz w:val="42"/>
        </w:rPr>
        <w:t>洞口周边设置交圈的</w:t>
      </w:r>
      <w:r>
        <w:rPr>
          <w:sz w:val="42"/>
        </w:rPr>
        <w:t>φ48</w:t>
      </w:r>
      <w:r>
        <w:rPr>
          <w:spacing w:val="-30"/>
          <w:sz w:val="42"/>
        </w:rPr>
        <w:t xml:space="preserve"> 钢管防护栏杆，防护栏杆的水平杆、立杆刷间距为</w:t>
      </w:r>
      <w:r>
        <w:rPr>
          <w:sz w:val="42"/>
        </w:rPr>
        <w:t>400mm 红白相间油漆，并在最上一道水平杠处悬挂“当心坠落”警示标志。所有水平杆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38"/>
        </w:rPr>
        <w:sectPr>
          <w:headerReference w:type="default" r:id="rId21"/>
          <w:footerReference w:type="default" r:id="rId22"/>
          <w:pgSz w:w="17860" w:h="25260"/>
          <w:pgMar w:top="560" w:right="260" w:bottom="280" w:left="640" w:header="0" w:footer="0"/>
          <w:pgNumType w:start="7"/>
          <w:cols w:space="708"/>
        </w:sectPr>
      </w:pPr>
    </w:p>
    <w:p>
      <w:pPr>
        <w:spacing w:before="0"/>
        <w:ind w:left="4829" w:right="0" w:firstLine="0"/>
        <w:jc w:val="left"/>
        <w:rPr>
          <w:sz w:val="27"/>
        </w:rPr>
      </w:pPr>
      <w:r>
        <w:rPr>
          <w:sz w:val="27"/>
        </w:rPr>
        <w:t>专业资料整理</w:t>
      </w:r>
    </w:p>
    <w:p>
      <w:pPr>
        <w:spacing w:after="0"/>
        <w:jc w:val="left"/>
        <w:rPr>
          <w:sz w:val="27"/>
        </w:rPr>
        <w:sectPr>
          <w:headerReference w:type="default" r:id="rId23"/>
          <w:footerReference w:type="default" r:id="rId24"/>
          <w:type w:val="nextPage"/>
          <w:pgSz w:w="17860" w:h="25260"/>
          <w:pgMar w:top="560" w:right="260" w:bottom="280" w:left="640" w:header="0" w:footer="0"/>
          <w:pgNumType w:start="8"/>
          <w:cols w:space="708"/>
          <w:titlePg w:val="0"/>
        </w:sectPr>
      </w:pPr>
    </w:p>
    <w:p>
      <w:pPr>
        <w:spacing w:before="83"/>
        <w:ind w:left="4144" w:right="1648" w:firstLine="0"/>
        <w:jc w:val="center"/>
        <w:rPr>
          <w:sz w:val="27"/>
        </w:rPr>
      </w:pPr>
      <w:r>
        <w:pict>
          <v:group id="_x0000_s1078" style="width:893pt;height:1248pt;margin-top:0;margin-left:0;mso-position-horizontal-relative:page;mso-position-vertical-relative:page;position:absolute;z-index:-251652096" coordorigin="0,0" coordsize="17860,24960">
            <v:shape id="_x0000_s1079" type="#_x0000_t75" style="width:14980;height:260;left:1120;position:absolute;top:820" stroked="f">
              <v:imagedata r:id="rId4" o:title=""/>
            </v:shape>
            <v:shape id="_x0000_s1080" type="#_x0000_t75" style="width:17860;height:24960;position:absolute" stroked="f">
              <v:imagedata r:id="rId25" o:title=""/>
            </v:shape>
          </v:group>
        </w:pict>
      </w:r>
      <w:r>
        <w:rPr>
          <w:rFonts w:ascii="Arial" w:eastAsia="Arial"/>
          <w:sz w:val="27"/>
        </w:rPr>
        <w:t xml:space="preserve">WORD </w:t>
      </w:r>
      <w:r>
        <w:rPr>
          <w:sz w:val="27"/>
        </w:rPr>
        <w:t>完美格式编辑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spacing w:before="43"/>
        <w:ind w:left="638"/>
      </w:pPr>
      <w:r>
        <w:t>控制伸出立杆外侧 100mm。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"/>
        <w:rPr>
          <w:sz w:val="43"/>
        </w:rPr>
      </w:pPr>
    </w:p>
    <w:p>
      <w:pPr>
        <w:pStyle w:val="ListParagraph"/>
        <w:numPr>
          <w:ilvl w:val="2"/>
          <w:numId w:val="6"/>
        </w:numPr>
        <w:tabs>
          <w:tab w:val="left" w:pos="1900"/>
        </w:tabs>
        <w:spacing w:before="0" w:after="0" w:line="417" w:lineRule="auto"/>
        <w:ind w:left="638" w:right="1577" w:firstLine="208"/>
        <w:jc w:val="both"/>
        <w:rPr>
          <w:sz w:val="42"/>
        </w:rPr>
      </w:pPr>
      <w:r>
        <w:rPr>
          <w:spacing w:val="-60"/>
          <w:sz w:val="42"/>
        </w:rPr>
        <w:t xml:space="preserve">、边长在 </w:t>
      </w:r>
      <w:r>
        <w:rPr>
          <w:sz w:val="42"/>
        </w:rPr>
        <w:t>1500mm</w:t>
      </w:r>
      <w:r>
        <w:rPr>
          <w:spacing w:val="-24"/>
          <w:sz w:val="42"/>
        </w:rPr>
        <w:t xml:space="preserve"> 以上的水平洞口防护，洞口周边设置交圈的 </w:t>
      </w:r>
      <w:r>
        <w:rPr>
          <w:sz w:val="42"/>
        </w:rPr>
        <w:t>φ48</w:t>
      </w:r>
      <w:r>
        <w:rPr>
          <w:spacing w:val="-34"/>
          <w:sz w:val="42"/>
        </w:rPr>
        <w:t xml:space="preserve"> 钢管</w:t>
      </w:r>
      <w:r>
        <w:rPr>
          <w:sz w:val="42"/>
        </w:rPr>
        <w:t>1.2m</w:t>
      </w:r>
      <w:r>
        <w:rPr>
          <w:spacing w:val="-9"/>
          <w:sz w:val="42"/>
        </w:rPr>
        <w:t xml:space="preserve">高防护栏杆，立杆间距不大于 </w:t>
      </w:r>
      <w:r>
        <w:rPr>
          <w:sz w:val="42"/>
        </w:rPr>
        <w:t>1800mm</w:t>
      </w:r>
      <w:r>
        <w:rPr>
          <w:spacing w:val="-12"/>
          <w:sz w:val="42"/>
        </w:rPr>
        <w:t xml:space="preserve">，防护栏杆下部设置 </w:t>
      </w:r>
      <w:r>
        <w:rPr>
          <w:sz w:val="42"/>
        </w:rPr>
        <w:t>200mm</w:t>
      </w:r>
      <w:r>
        <w:rPr>
          <w:spacing w:val="-67"/>
          <w:sz w:val="42"/>
        </w:rPr>
        <w:t xml:space="preserve"> 高 </w:t>
      </w:r>
      <w:r>
        <w:rPr>
          <w:sz w:val="42"/>
        </w:rPr>
        <w:t>18mm</w:t>
      </w:r>
      <w:r>
        <w:rPr>
          <w:spacing w:val="-26"/>
          <w:sz w:val="42"/>
        </w:rPr>
        <w:t xml:space="preserve"> 厚木胶</w:t>
      </w:r>
      <w:r>
        <w:rPr>
          <w:spacing w:val="-24"/>
          <w:sz w:val="42"/>
        </w:rPr>
        <w:t>合板挡脚板，防护栏杆的水平杆、立杆以及挡脚板，刷间距为</w:t>
      </w:r>
      <w:r>
        <w:rPr>
          <w:sz w:val="42"/>
        </w:rPr>
        <w:t>400mm</w:t>
      </w:r>
      <w:r>
        <w:rPr>
          <w:spacing w:val="-15"/>
          <w:sz w:val="42"/>
        </w:rPr>
        <w:t xml:space="preserve"> 红白相间的</w:t>
      </w:r>
      <w:r>
        <w:rPr>
          <w:spacing w:val="-16"/>
          <w:sz w:val="42"/>
        </w:rPr>
        <w:t>警示油漆，防护栏杆外立面满挂密目安全网并在最上一道水平杠处悬挂“当心坠</w:t>
      </w:r>
      <w:r>
        <w:rPr>
          <w:spacing w:val="-7"/>
          <w:sz w:val="42"/>
        </w:rPr>
        <w:t xml:space="preserve">落”警示标志。所有水平杆控制伸出立杆外侧 </w:t>
      </w:r>
      <w:r>
        <w:rPr>
          <w:sz w:val="42"/>
        </w:rPr>
        <w:t>100mm。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56"/>
        </w:rPr>
      </w:pPr>
    </w:p>
    <w:p>
      <w:pPr>
        <w:spacing w:before="0"/>
        <w:ind w:left="4829" w:right="0" w:firstLine="0"/>
        <w:jc w:val="left"/>
        <w:rPr>
          <w:sz w:val="27"/>
        </w:rPr>
      </w:pPr>
      <w:r>
        <w:rPr>
          <w:sz w:val="27"/>
        </w:rPr>
        <w:t>专业资料整理</w:t>
      </w:r>
    </w:p>
    <w:p>
      <w:pPr>
        <w:spacing w:after="0"/>
        <w:jc w:val="left"/>
        <w:rPr>
          <w:sz w:val="27"/>
        </w:rPr>
        <w:sectPr>
          <w:headerReference w:type="default" r:id="rId26"/>
          <w:footerReference w:type="default" r:id="rId27"/>
          <w:pgSz w:w="17860" w:h="25260"/>
          <w:pgMar w:top="520" w:right="260" w:bottom="280" w:left="640" w:header="0" w:footer="0"/>
          <w:pgNumType w:start="9"/>
          <w:cols w:space="708"/>
        </w:sectPr>
      </w:pPr>
    </w:p>
    <w:p>
      <w:pPr>
        <w:spacing w:before="83"/>
        <w:ind w:left="4144" w:right="1648" w:firstLine="0"/>
        <w:jc w:val="center"/>
        <w:rPr>
          <w:sz w:val="27"/>
        </w:rPr>
      </w:pPr>
      <w:r>
        <w:pict>
          <v:group id="_x0000_s1081" style="width:893pt;height:1248pt;margin-top:0;margin-left:0;mso-position-horizontal-relative:page;mso-position-vertical-relative:page;position:absolute;z-index:-251651072" coordorigin="0,0" coordsize="17860,24960">
            <v:shape id="_x0000_s1082" type="#_x0000_t75" style="width:14980;height:260;left:1120;position:absolute;top:820" stroked="f">
              <v:imagedata r:id="rId4" o:title=""/>
            </v:shape>
            <v:shape id="_x0000_s1083" type="#_x0000_t75" style="width:17860;height:24960;position:absolute" stroked="f">
              <v:imagedata r:id="rId28" o:title=""/>
            </v:shape>
          </v:group>
        </w:pict>
      </w:r>
      <w:r>
        <w:rPr>
          <w:rFonts w:ascii="Arial" w:eastAsia="Arial"/>
          <w:sz w:val="27"/>
        </w:rPr>
        <w:t xml:space="preserve">WORD </w:t>
      </w:r>
      <w:r>
        <w:rPr>
          <w:sz w:val="27"/>
        </w:rPr>
        <w:t>完美格式编辑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4"/>
        </w:rPr>
      </w:pPr>
    </w:p>
    <w:p>
      <w:pPr>
        <w:pStyle w:val="Heading1"/>
      </w:pPr>
      <w:bookmarkStart w:id="5" w:name="_TOC_250010"/>
      <w:bookmarkEnd w:id="5"/>
      <w:r>
        <w:t>六、安全通道</w:t>
      </w:r>
    </w:p>
    <w:p>
      <w:pPr>
        <w:pStyle w:val="BodyText"/>
        <w:spacing w:before="10"/>
        <w:rPr>
          <w:b/>
          <w:sz w:val="49"/>
        </w:rPr>
      </w:pPr>
    </w:p>
    <w:p>
      <w:pPr>
        <w:pStyle w:val="BodyText"/>
        <w:spacing w:line="417" w:lineRule="auto"/>
        <w:ind w:left="638" w:right="1580" w:firstLine="839"/>
        <w:jc w:val="both"/>
      </w:pPr>
      <w:r>
        <w:t>安全通道防护适用于在建工程的出入口，通道口以及物料提升机（</w:t>
      </w:r>
      <w:r>
        <w:rPr>
          <w:spacing w:val="-5"/>
        </w:rPr>
        <w:t>含外用电</w:t>
      </w:r>
      <w:r>
        <w:t>梯）</w:t>
      </w:r>
      <w:r>
        <w:rPr>
          <w:spacing w:val="1"/>
        </w:rPr>
        <w:t>部位。通道口防护棚采用直径</w:t>
      </w:r>
      <w:r>
        <w:t>48mm</w:t>
      </w:r>
      <w:r>
        <w:rPr>
          <w:spacing w:val="22"/>
        </w:rPr>
        <w:t>、壁厚</w:t>
      </w:r>
      <w:r>
        <w:t>3.5mm</w:t>
      </w:r>
      <w:r>
        <w:rPr>
          <w:spacing w:val="-9"/>
        </w:rPr>
        <w:t xml:space="preserve"> 钢管和直角扣件组合，搭设</w:t>
      </w:r>
      <w:r>
        <w:rPr>
          <w:spacing w:val="-26"/>
        </w:rPr>
        <w:t xml:space="preserve">高度不低于 </w:t>
      </w:r>
      <w:r>
        <w:t>3.5m，宽≥3m，</w:t>
      </w:r>
      <w:r>
        <w:rPr>
          <w:spacing w:val="-55"/>
        </w:rPr>
        <w:t xml:space="preserve">长 </w:t>
      </w:r>
      <w:r>
        <w:t>4m</w:t>
      </w:r>
      <w:r>
        <w:rPr>
          <w:spacing w:val="-71"/>
        </w:rPr>
        <w:t xml:space="preserve"> 或 </w:t>
      </w:r>
      <w:r>
        <w:t>6m。</w:t>
      </w:r>
    </w:p>
    <w:p>
      <w:pPr>
        <w:pStyle w:val="BodyText"/>
        <w:spacing w:line="417" w:lineRule="auto"/>
        <w:ind w:left="638" w:right="1576" w:firstLine="728"/>
      </w:pPr>
      <w:r>
        <w:t>安全通道及防护棚进口两侧搭设钢管立柱（900×900），并张挂安全警示标志牌和安全宣传标语，沿通行方向通长设置扫地杆和剪刀撑，立杆纵距不应超过1500mm。安全通道及防护棚两侧应设置隔离栏杆及八字撑，并满挂密目安全网， 所有水平杆控制伸出立杆外侧 100mm。</w:t>
      </w:r>
    </w:p>
    <w:p>
      <w:pPr>
        <w:pStyle w:val="BodyText"/>
        <w:spacing w:line="417" w:lineRule="auto"/>
        <w:ind w:left="638" w:right="1615" w:firstLine="839"/>
        <w:jc w:val="both"/>
      </w:pPr>
      <w:r>
        <w:t>安全通道及防护棚严密铺设双层正交竹串片脚手板或双层正交18mm 厚木模板的水平硬质防护，层间距不应少于 600mm，同时在顶层设置防护栏杆，高度为1200mm，两道水平杆，栏杆刷间距为400mm 红白相间的警示油漆，除入口处外其余三面满挂密目安全网。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32"/>
        </w:rPr>
      </w:pPr>
    </w:p>
    <w:p>
      <w:pPr>
        <w:spacing w:before="0"/>
        <w:ind w:left="4829" w:right="0" w:firstLine="0"/>
        <w:jc w:val="left"/>
        <w:rPr>
          <w:sz w:val="27"/>
        </w:rPr>
      </w:pPr>
      <w:r>
        <w:rPr>
          <w:sz w:val="27"/>
        </w:rPr>
        <w:t>专业资料整理</w:t>
      </w:r>
    </w:p>
    <w:p>
      <w:pPr>
        <w:spacing w:after="0"/>
        <w:jc w:val="left"/>
        <w:rPr>
          <w:sz w:val="27"/>
        </w:rPr>
      </w:pPr>
      <w:r>
        <w:rPr>
          <w:sz w:val="27"/>
        </w:rPr>
        <w:br/>
      </w:r>
      <w:r>
        <w:rPr>
          <w:sz w:val="2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https://d.book118.com/217200020131006034</w:t>
        </w:r>
      </w:hyperlink>
    </w:p>
    <w:p>
      <w:pPr>
        <w:spacing w:after="0"/>
        <w:jc w:val="left"/>
        <w:rPr>
          <w:sz w:val="27"/>
        </w:rPr>
      </w:pPr>
    </w:p>
    <w:sectPr>
      <w:headerReference w:type="default" r:id="rId30"/>
      <w:footerReference w:type="default" r:id="rId31"/>
      <w:pgSz w:w="17860" w:h="25260"/>
      <w:pgMar w:top="520" w:right="260" w:bottom="280" w:left="640" w:header="0" w:footer="0"/>
      <w:pgNumType w:start="1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83pt;height:15.5pt;margin-top:1181.26pt;margin-left:272.45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专业资料整理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83pt;height:15.5pt;margin-top:1181.26pt;margin-left:272.4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专业资料整理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83pt;height:15.5pt;margin-top:1181.26pt;margin-left:272.45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专业资料整理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83pt;height:15.5pt;margin-top:1181.26pt;margin-left:272.45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专业资料整理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584200</wp:posOffset>
          </wp:positionV>
          <wp:extent cx="9398000" cy="38100"/>
          <wp:effectExtent l="0" t="0" r="0" b="0"/>
          <wp:wrapNone/>
          <wp:docPr id="1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398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27.5pt;height:17.1pt;margin-top:30.39pt;margin-left:454.6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3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完美格式编辑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584200</wp:posOffset>
          </wp:positionV>
          <wp:extent cx="9398000" cy="38100"/>
          <wp:effectExtent l="0" t="0" r="0" b="0"/>
          <wp:wrapNone/>
          <wp:docPr id="1305605598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5605598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398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27.5pt;height:17.1pt;margin-top:30.39pt;margin-left:454.65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3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完美格式编辑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584200</wp:posOffset>
          </wp:positionV>
          <wp:extent cx="9398000" cy="38100"/>
          <wp:effectExtent l="0" t="0" r="0" b="0"/>
          <wp:wrapNone/>
          <wp:docPr id="2051995575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1995575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398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27.5pt;height:17.1pt;margin-top:30.39pt;margin-left:454.65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3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完美格式编辑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774700</wp:posOffset>
          </wp:positionH>
          <wp:positionV relativeFrom="page">
            <wp:posOffset>584200</wp:posOffset>
          </wp:positionV>
          <wp:extent cx="9398000" cy="38100"/>
          <wp:effectExtent l="0" t="0" r="0" b="0"/>
          <wp:wrapNone/>
          <wp:docPr id="1926205341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6205341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398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27.5pt;height:17.1pt;margin-top:30.39pt;margin-left:454.65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3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/>
                    <w:sz w:val="27"/>
                  </w:rPr>
                  <w:t>WORD</w:t>
                </w:r>
                <w:r>
                  <w:rPr>
                    <w:rFonts w:ascii="Arial" w:eastAsia="Arial"/>
                    <w:spacing w:val="-34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>完美格式编辑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8FB56C"/>
    <w:multiLevelType w:val="hybridMultilevel"/>
    <w:tmpl w:val="00000000"/>
    <w:lvl w:ilvl="0">
      <w:start w:val="10"/>
      <w:numFmt w:val="decimal"/>
      <w:lvlText w:val="%1"/>
      <w:lvlJc w:val="left"/>
      <w:pPr>
        <w:ind w:left="2021" w:hanging="84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21" w:hanging="84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1"/>
      <w:numFmt w:val="decimal"/>
      <w:lvlText w:val="（%3）"/>
      <w:lvlJc w:val="left"/>
      <w:pPr>
        <w:ind w:left="638" w:hanging="1056"/>
        <w:jc w:val="right"/>
      </w:pPr>
      <w:rPr>
        <w:rFonts w:ascii="宋体" w:eastAsia="宋体" w:hAnsi="宋体" w:cs="宋体" w:hint="default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533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9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5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1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7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9" w:hanging="1056"/>
      </w:pPr>
      <w:rPr>
        <w:rFonts w:hint="default"/>
      </w:rPr>
    </w:lvl>
  </w:abstractNum>
  <w:abstractNum w:abstractNumId="1">
    <w:nsid w:val="1BEA046F"/>
    <w:multiLevelType w:val="hybridMultilevel"/>
    <w:tmpl w:val="00000000"/>
    <w:lvl w:ilvl="0">
      <w:start w:val="10"/>
      <w:numFmt w:val="decimal"/>
      <w:lvlText w:val="%1"/>
      <w:lvlJc w:val="left"/>
      <w:pPr>
        <w:ind w:left="2021" w:hanging="84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21" w:hanging="84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1"/>
      <w:numFmt w:val="decimal"/>
      <w:lvlText w:val="（%3）"/>
      <w:lvlJc w:val="left"/>
      <w:pPr>
        <w:ind w:left="638" w:hanging="1056"/>
        <w:jc w:val="right"/>
      </w:pPr>
      <w:rPr>
        <w:rFonts w:ascii="宋体" w:eastAsia="宋体" w:hAnsi="宋体" w:cs="宋体" w:hint="default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533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9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5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1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7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9" w:hanging="1056"/>
      </w:pPr>
      <w:rPr>
        <w:rFonts w:hint="default"/>
      </w:rPr>
    </w:lvl>
  </w:abstractNum>
  <w:abstractNum w:abstractNumId="2">
    <w:nsid w:val="5BCE69B0"/>
    <w:multiLevelType w:val="hybridMultilevel"/>
    <w:tmpl w:val="00000000"/>
    <w:lvl w:ilvl="0">
      <w:start w:val="1"/>
      <w:numFmt w:val="decimal"/>
      <w:lvlText w:val="（%1）"/>
      <w:lvlJc w:val="left"/>
      <w:pPr>
        <w:ind w:left="638" w:hanging="1053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271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03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35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67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9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31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3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95" w:hanging="1053"/>
      </w:pPr>
      <w:rPr>
        <w:rFonts w:hint="default"/>
      </w:rPr>
    </w:lvl>
  </w:abstractNum>
  <w:abstractNum w:abstractNumId="3">
    <w:nsid w:val="6858815F"/>
    <w:multiLevelType w:val="hybridMultilevel"/>
    <w:tmpl w:val="00000000"/>
    <w:lvl w:ilvl="0">
      <w:start w:val="10"/>
      <w:numFmt w:val="decimal"/>
      <w:lvlText w:val="%1"/>
      <w:lvlJc w:val="left"/>
      <w:pPr>
        <w:ind w:left="2021" w:hanging="84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21" w:hanging="84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1"/>
      <w:numFmt w:val="decimal"/>
      <w:lvlText w:val="（%3）"/>
      <w:lvlJc w:val="left"/>
      <w:pPr>
        <w:ind w:left="638" w:hanging="1056"/>
        <w:jc w:val="right"/>
      </w:pPr>
      <w:rPr>
        <w:rFonts w:ascii="宋体" w:eastAsia="宋体" w:hAnsi="宋体" w:cs="宋体" w:hint="default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533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9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5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1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7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9" w:hanging="1056"/>
      </w:pPr>
      <w:rPr>
        <w:rFonts w:hint="default"/>
      </w:rPr>
    </w:lvl>
  </w:abstractNum>
  <w:abstractNum w:abstractNumId="4">
    <w:nsid w:val="6E3B56C2"/>
    <w:multiLevelType w:val="hybridMultilevel"/>
    <w:tmpl w:val="00000000"/>
    <w:lvl w:ilvl="0">
      <w:start w:val="10"/>
      <w:numFmt w:val="decimal"/>
      <w:lvlText w:val="%1"/>
      <w:lvlJc w:val="left"/>
      <w:pPr>
        <w:ind w:left="2021" w:hanging="84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21" w:hanging="84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1"/>
      <w:numFmt w:val="decimal"/>
      <w:lvlText w:val="（%3）"/>
      <w:lvlJc w:val="left"/>
      <w:pPr>
        <w:ind w:left="638" w:hanging="1056"/>
        <w:jc w:val="right"/>
      </w:pPr>
      <w:rPr>
        <w:rFonts w:ascii="宋体" w:eastAsia="宋体" w:hAnsi="宋体" w:cs="宋体" w:hint="default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533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9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5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1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7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9" w:hanging="1056"/>
      </w:pPr>
      <w:rPr>
        <w:rFonts w:hint="default"/>
      </w:rPr>
    </w:lvl>
  </w:abstractNum>
  <w:abstractNum w:abstractNumId="5">
    <w:nsid w:val="7D68FF7A"/>
    <w:multiLevelType w:val="hybridMultilevel"/>
    <w:tmpl w:val="00000000"/>
    <w:lvl w:ilvl="0">
      <w:start w:val="10"/>
      <w:numFmt w:val="decimal"/>
      <w:lvlText w:val="%1"/>
      <w:lvlJc w:val="left"/>
      <w:pPr>
        <w:ind w:left="1488" w:hanging="85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88" w:hanging="851"/>
        <w:jc w:val="right"/>
      </w:pPr>
      <w:rPr>
        <w:rFonts w:ascii="宋体" w:eastAsia="宋体" w:hAnsi="宋体" w:cs="宋体" w:hint="default"/>
        <w:b/>
        <w:bCs/>
        <w:w w:val="99"/>
        <w:sz w:val="40"/>
        <w:szCs w:val="40"/>
      </w:rPr>
    </w:lvl>
    <w:lvl w:ilvl="2">
      <w:start w:val="1"/>
      <w:numFmt w:val="decimal"/>
      <w:lvlText w:val="（%3）"/>
      <w:lvlJc w:val="left"/>
      <w:pPr>
        <w:ind w:left="2533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4342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44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47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4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52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54" w:hanging="1056"/>
      </w:pPr>
      <w:rPr>
        <w:rFonts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37"/>
      <w:ind w:left="864"/>
      <w:outlineLvl w:val="0"/>
    </w:pPr>
    <w:rPr>
      <w:rFonts w:ascii="宋体" w:eastAsia="宋体" w:hAnsi="宋体" w:cs="宋体"/>
      <w:b/>
      <w:bCs/>
      <w:sz w:val="45"/>
      <w:szCs w:val="45"/>
    </w:rPr>
  </w:style>
  <w:style w:type="paragraph" w:styleId="Heading2">
    <w:name w:val="heading 2"/>
    <w:basedOn w:val="Normal"/>
    <w:uiPriority w:val="1"/>
    <w:qFormat/>
    <w:pPr>
      <w:ind w:left="1700" w:hanging="851"/>
      <w:outlineLvl w:val="1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60"/>
      <w:ind w:right="792"/>
      <w:jc w:val="center"/>
    </w:pPr>
    <w:rPr>
      <w:rFonts w:ascii="宋体" w:eastAsia="宋体" w:hAnsi="宋体" w:cs="宋体"/>
      <w:sz w:val="42"/>
      <w:szCs w:val="42"/>
    </w:rPr>
  </w:style>
  <w:style w:type="paragraph" w:styleId="TOC2">
    <w:name w:val="toc 2"/>
    <w:basedOn w:val="Normal"/>
    <w:uiPriority w:val="1"/>
    <w:qFormat/>
    <w:pPr>
      <w:spacing w:before="360"/>
      <w:ind w:left="2021" w:hanging="844"/>
    </w:pPr>
    <w:rPr>
      <w:rFonts w:ascii="宋体" w:eastAsia="宋体" w:hAnsi="宋体" w:cs="宋体"/>
      <w:sz w:val="42"/>
      <w:szCs w:val="42"/>
    </w:rPr>
  </w:style>
  <w:style w:type="paragraph" w:styleId="TOC3">
    <w:name w:val="toc 3"/>
    <w:basedOn w:val="Normal"/>
    <w:uiPriority w:val="1"/>
    <w:qFormat/>
    <w:pPr>
      <w:spacing w:before="360"/>
      <w:ind w:left="2021" w:hanging="844"/>
    </w:pPr>
    <w:rPr>
      <w:rFonts w:ascii="宋体" w:eastAsia="宋体" w:hAnsi="宋体" w:cs="宋体"/>
      <w:b/>
      <w:bCs/>
      <w:i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Title">
    <w:name w:val="Title"/>
    <w:basedOn w:val="Normal"/>
    <w:uiPriority w:val="1"/>
    <w:qFormat/>
    <w:pPr>
      <w:ind w:left="7612" w:right="8624"/>
      <w:jc w:val="both"/>
    </w:pPr>
    <w:rPr>
      <w:rFonts w:ascii="宋体" w:eastAsia="宋体" w:hAnsi="宋体" w:cs="宋体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ind w:left="2021" w:hanging="85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5.png" /><Relationship Id="rId12" Type="http://schemas.openxmlformats.org/officeDocument/2006/relationships/header" Target="header3.xml" /><Relationship Id="rId13" Type="http://schemas.openxmlformats.org/officeDocument/2006/relationships/footer" Target="footer3.xml" /><Relationship Id="rId14" Type="http://schemas.openxmlformats.org/officeDocument/2006/relationships/image" Target="media/image6.png" /><Relationship Id="rId15" Type="http://schemas.openxmlformats.org/officeDocument/2006/relationships/header" Target="header4.xml" /><Relationship Id="rId16" Type="http://schemas.openxmlformats.org/officeDocument/2006/relationships/footer" Target="footer4.xml" /><Relationship Id="rId17" Type="http://schemas.openxmlformats.org/officeDocument/2006/relationships/image" Target="media/image7.png" /><Relationship Id="rId18" Type="http://schemas.openxmlformats.org/officeDocument/2006/relationships/header" Target="header5.xml" /><Relationship Id="rId19" Type="http://schemas.openxmlformats.org/officeDocument/2006/relationships/footer" Target="footer5.xml" /><Relationship Id="rId2" Type="http://schemas.openxmlformats.org/officeDocument/2006/relationships/webSettings" Target="webSettings.xml" /><Relationship Id="rId20" Type="http://schemas.openxmlformats.org/officeDocument/2006/relationships/image" Target="media/image8.png" /><Relationship Id="rId21" Type="http://schemas.openxmlformats.org/officeDocument/2006/relationships/header" Target="header6.xml" /><Relationship Id="rId22" Type="http://schemas.openxmlformats.org/officeDocument/2006/relationships/footer" Target="footer6.xml" /><Relationship Id="rId23" Type="http://schemas.openxmlformats.org/officeDocument/2006/relationships/header" Target="header7.xml" /><Relationship Id="rId24" Type="http://schemas.openxmlformats.org/officeDocument/2006/relationships/footer" Target="footer7.xml" /><Relationship Id="rId25" Type="http://schemas.openxmlformats.org/officeDocument/2006/relationships/image" Target="media/image9.png" /><Relationship Id="rId26" Type="http://schemas.openxmlformats.org/officeDocument/2006/relationships/header" Target="header8.xml" /><Relationship Id="rId27" Type="http://schemas.openxmlformats.org/officeDocument/2006/relationships/footer" Target="footer8.xml" /><Relationship Id="rId28" Type="http://schemas.openxmlformats.org/officeDocument/2006/relationships/image" Target="media/image10.png" /><Relationship Id="rId29" Type="http://schemas.openxmlformats.org/officeDocument/2006/relationships/hyperlink" Target="https://d.book118.com/217200020131006034" TargetMode="External" /><Relationship Id="rId3" Type="http://schemas.openxmlformats.org/officeDocument/2006/relationships/fontTable" Target="fontTable.xml" /><Relationship Id="rId30" Type="http://schemas.openxmlformats.org/officeDocument/2006/relationships/header" Target="header9.xml" /><Relationship Id="rId31" Type="http://schemas.openxmlformats.org/officeDocument/2006/relationships/footer" Target="footer9.xml" /><Relationship Id="rId32" Type="http://schemas.openxmlformats.org/officeDocument/2006/relationships/theme" Target="theme/theme1.xml" /><Relationship Id="rId33" Type="http://schemas.openxmlformats.org/officeDocument/2006/relationships/numbering" Target="numbering.xml" /><Relationship Id="rId34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image" Target="media/image4.png" /><Relationship Id="rId9" Type="http://schemas.openxmlformats.org/officeDocument/2006/relationships/header" Target="header2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2024-01-10T21:35:54Z</dcterms:created>
  <dcterms:modified xsi:type="dcterms:W3CDTF">2024-01-10T21:35:54Z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2022-10-30T00:00:00Z</vt:filetime>
  </property>
  <property fmtid="{D5CDD505-2E9C-101B-9397-08002B2CF9AE}" pid="3" name="LastSaved">
    <vt:filetime>2024-01-10T00:00:00Z</vt:filetime>
  </property>
</Properties>
</file>