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outlineLvl w:val="0"/>
        <w:rPr>
          <w:rFonts w:ascii="黑体" w:eastAsia="黑体" w:hAnsi="黑体"/>
          <w:snapToGrid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黑体" w:eastAsia="黑体" w:hAnsi="黑体"/>
          <w:snapToGrid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一、建设项目基本情况</w:t>
      </w:r>
    </w:p>
    <w:tbl>
      <w:tblPr>
        <w:tblStyle w:val="TableNormal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125"/>
        <w:gridCol w:w="1636"/>
        <w:gridCol w:w="2119"/>
        <w:gridCol w:w="2412"/>
      </w:tblGrid>
      <w:tr>
        <w:tblPrEx>
          <w:tblW w:w="0" w:type="auto"/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/>
          <w:jc w:val="center"/>
        </w:trPr>
        <w:tc>
          <w:tcPr>
            <w:tcW w:w="2125" w:type="dxa"/>
            <w:tcMar>
              <w:top w:w="16" w:type="dxa"/>
              <w:left w:w="16" w:type="dxa"/>
              <w:right w:w="16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建设项目名称</w:t>
            </w:r>
          </w:p>
        </w:tc>
        <w:tc>
          <w:tcPr>
            <w:tcW w:w="616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电线电缆用高分子材料生产线项目</w:t>
            </w:r>
            <w:bookmarkEnd w:id="0"/>
          </w:p>
        </w:tc>
      </w:tr>
      <w:tr>
        <w:tblPrEx>
          <w:tblW w:w="0" w:type="auto"/>
          <w:jc w:val="cente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/>
          <w:jc w:val="center"/>
        </w:trPr>
        <w:tc>
          <w:tcPr>
            <w:tcW w:w="2125" w:type="dxa"/>
            <w:tcMar>
              <w:top w:w="16" w:type="dxa"/>
              <w:left w:w="16" w:type="dxa"/>
              <w:right w:w="16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项目代码</w:t>
            </w:r>
          </w:p>
        </w:tc>
        <w:tc>
          <w:tcPr>
            <w:tcW w:w="616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W w:w="0" w:type="auto"/>
          <w:jc w:val="cente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/>
          <w:jc w:val="center"/>
        </w:trPr>
        <w:tc>
          <w:tcPr>
            <w:tcW w:w="2125" w:type="dxa"/>
            <w:tcMar>
              <w:top w:w="16" w:type="dxa"/>
              <w:left w:w="16" w:type="dxa"/>
              <w:right w:w="16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建设单位联系人</w:t>
            </w:r>
          </w:p>
        </w:tc>
        <w:tc>
          <w:tcPr>
            <w:tcW w:w="1636" w:type="dxa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9" w:type="dxa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41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W w:w="0" w:type="auto"/>
          <w:jc w:val="cente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/>
          <w:jc w:val="center"/>
        </w:trPr>
        <w:tc>
          <w:tcPr>
            <w:tcW w:w="2125" w:type="dxa"/>
            <w:tcMar>
              <w:top w:w="16" w:type="dxa"/>
              <w:left w:w="16" w:type="dxa"/>
              <w:right w:w="16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建设地点</w:t>
            </w:r>
          </w:p>
        </w:tc>
        <w:tc>
          <w:tcPr>
            <w:tcW w:w="616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>陕西</w:t>
            </w:r>
            <w:r>
              <w:rPr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省</w:t>
            </w:r>
            <w:r>
              <w:rPr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>西安</w:t>
            </w:r>
            <w:r>
              <w:rPr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市</w:t>
            </w:r>
            <w:r>
              <w:rPr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>莲湖</w:t>
            </w:r>
            <w:r>
              <w:rPr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县（区）</w:t>
            </w:r>
            <w:r>
              <w:rPr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乡（街道）</w:t>
            </w:r>
            <w:r>
              <w:rPr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>大庆路1</w:t>
            </w:r>
            <w:r>
              <w:rPr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>号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W w:w="0" w:type="auto"/>
          <w:jc w:val="cente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/>
          <w:jc w:val="center"/>
        </w:trPr>
        <w:tc>
          <w:tcPr>
            <w:tcW w:w="2125" w:type="dxa"/>
            <w:tcMar>
              <w:top w:w="16" w:type="dxa"/>
              <w:left w:w="16" w:type="dxa"/>
              <w:right w:w="16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地理坐标</w:t>
            </w:r>
          </w:p>
        </w:tc>
        <w:tc>
          <w:tcPr>
            <w:tcW w:w="6167" w:type="dxa"/>
            <w:gridSpan w:val="3"/>
            <w:vAlign w:val="center"/>
          </w:tcPr>
          <w:p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108 度 54 分 14.8 秒， 34 度 16 分 11.70 秒）</w:t>
            </w:r>
          </w:p>
        </w:tc>
      </w:tr>
      <w:tr>
        <w:tblPrEx>
          <w:tblW w:w="0" w:type="auto"/>
          <w:jc w:val="cente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/>
          <w:jc w:val="center"/>
        </w:trPr>
        <w:tc>
          <w:tcPr>
            <w:tcW w:w="2125" w:type="dxa"/>
            <w:tcMar>
              <w:top w:w="16" w:type="dxa"/>
              <w:left w:w="16" w:type="dxa"/>
              <w:right w:w="16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国民经济</w:t>
            </w:r>
          </w:p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行业类别</w:t>
            </w:r>
          </w:p>
        </w:tc>
        <w:tc>
          <w:tcPr>
            <w:tcW w:w="1636" w:type="dxa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C2922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塑料板、管、型材制造</w:t>
            </w:r>
          </w:p>
        </w:tc>
        <w:tc>
          <w:tcPr>
            <w:tcW w:w="2119" w:type="dxa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1" w:name="_Hlk49843745"/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建设项目</w:t>
            </w:r>
          </w:p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行业类别</w:t>
            </w:r>
            <w:bookmarkEnd w:id="1"/>
          </w:p>
        </w:tc>
        <w:tc>
          <w:tcPr>
            <w:tcW w:w="2412" w:type="dxa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二十六、橡胶和塑料制品业</w:t>
            </w: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53</w:t>
            </w:r>
            <w:bookmarkStart w:id="2" w:name="OLE_LINK7"/>
            <w:bookmarkStart w:id="3" w:name="OLE_LINK8"/>
            <w:r>
              <w:rPr>
                <w:rFonts w:ascii="Times New Roman" w:hAnsi="Times New Roman"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塑料制品业</w:t>
            </w:r>
            <w:bookmarkEnd w:id="2"/>
            <w:bookmarkEnd w:id="3"/>
          </w:p>
        </w:tc>
      </w:tr>
      <w:tr>
        <w:tblPrEx>
          <w:tblW w:w="0" w:type="auto"/>
          <w:jc w:val="cente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/>
          <w:jc w:val="center"/>
        </w:trPr>
        <w:tc>
          <w:tcPr>
            <w:tcW w:w="2125" w:type="dxa"/>
            <w:tcMar>
              <w:top w:w="16" w:type="dxa"/>
              <w:left w:w="16" w:type="dxa"/>
              <w:right w:w="16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建设性质</w:t>
            </w:r>
          </w:p>
        </w:tc>
        <w:tc>
          <w:tcPr>
            <w:tcW w:w="1636" w:type="dxa"/>
            <w:vAlign w:val="center"/>
          </w:tcPr>
          <w:p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□新建（迁建）</w:t>
            </w:r>
          </w:p>
          <w:p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□改建</w:t>
            </w:r>
          </w:p>
          <w:p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F052"/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扩建</w:t>
            </w:r>
          </w:p>
          <w:p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□技术改造</w:t>
            </w:r>
          </w:p>
        </w:tc>
        <w:tc>
          <w:tcPr>
            <w:tcW w:w="2119" w:type="dxa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建设项目</w:t>
            </w:r>
          </w:p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申报情形</w:t>
            </w:r>
          </w:p>
        </w:tc>
        <w:tc>
          <w:tcPr>
            <w:tcW w:w="2412" w:type="dxa"/>
            <w:vAlign w:val="center"/>
          </w:tcPr>
          <w:p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F052"/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首次申报项目             </w:t>
            </w:r>
          </w:p>
          <w:p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□不予批准后再次申报项目</w:t>
            </w:r>
          </w:p>
          <w:p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□超五年重新审核项目     </w:t>
            </w:r>
          </w:p>
          <w:p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□重大变动重新报批项目</w:t>
            </w:r>
          </w:p>
        </w:tc>
      </w:tr>
      <w:tr>
        <w:tblPrEx>
          <w:tblW w:w="0" w:type="auto"/>
          <w:jc w:val="cente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/>
          <w:jc w:val="center"/>
        </w:trPr>
        <w:tc>
          <w:tcPr>
            <w:tcW w:w="2125" w:type="dxa"/>
            <w:tcMar>
              <w:top w:w="16" w:type="dxa"/>
              <w:left w:w="16" w:type="dxa"/>
              <w:right w:w="16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项目审批（核准/</w:t>
            </w:r>
          </w:p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备案）部门（选填）</w:t>
            </w:r>
          </w:p>
        </w:tc>
        <w:tc>
          <w:tcPr>
            <w:tcW w:w="1636" w:type="dxa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2119" w:type="dxa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项目审批（核准/</w:t>
            </w:r>
          </w:p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备案）文号（选填）</w:t>
            </w:r>
          </w:p>
        </w:tc>
        <w:tc>
          <w:tcPr>
            <w:tcW w:w="2412" w:type="dxa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W w:w="0" w:type="auto"/>
          <w:jc w:val="cente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/>
          <w:jc w:val="center"/>
        </w:trPr>
        <w:tc>
          <w:tcPr>
            <w:tcW w:w="2125" w:type="dxa"/>
            <w:tcMar>
              <w:top w:w="16" w:type="dxa"/>
              <w:left w:w="16" w:type="dxa"/>
              <w:right w:w="16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总投资（万元）</w:t>
            </w:r>
          </w:p>
        </w:tc>
        <w:tc>
          <w:tcPr>
            <w:tcW w:w="1636" w:type="dxa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470.25</w:t>
            </w:r>
          </w:p>
        </w:tc>
        <w:tc>
          <w:tcPr>
            <w:tcW w:w="2119" w:type="dxa"/>
            <w:tcMar>
              <w:top w:w="16" w:type="dxa"/>
              <w:left w:w="16" w:type="dxa"/>
              <w:right w:w="16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环保投资（万元）</w:t>
            </w:r>
          </w:p>
        </w:tc>
        <w:tc>
          <w:tcPr>
            <w:tcW w:w="2412" w:type="dxa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W w:w="0" w:type="auto"/>
          <w:jc w:val="cente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/>
          <w:jc w:val="center"/>
        </w:trPr>
        <w:tc>
          <w:tcPr>
            <w:tcW w:w="2125" w:type="dxa"/>
            <w:tcMar>
              <w:top w:w="16" w:type="dxa"/>
              <w:left w:w="16" w:type="dxa"/>
              <w:right w:w="16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环保投资占比（%）</w:t>
            </w:r>
          </w:p>
        </w:tc>
        <w:tc>
          <w:tcPr>
            <w:tcW w:w="1636" w:type="dxa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0.6%</w:t>
            </w:r>
          </w:p>
        </w:tc>
        <w:tc>
          <w:tcPr>
            <w:tcW w:w="2119" w:type="dxa"/>
            <w:tcMar>
              <w:top w:w="16" w:type="dxa"/>
              <w:left w:w="16" w:type="dxa"/>
              <w:right w:w="16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施工工期</w:t>
            </w:r>
          </w:p>
        </w:tc>
        <w:tc>
          <w:tcPr>
            <w:tcW w:w="2412" w:type="dxa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2个月</w:t>
            </w:r>
          </w:p>
        </w:tc>
      </w:tr>
      <w:tr>
        <w:tblPrEx>
          <w:tblW w:w="0" w:type="auto"/>
          <w:jc w:val="cente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/>
          <w:jc w:val="center"/>
        </w:trPr>
        <w:tc>
          <w:tcPr>
            <w:tcW w:w="2125" w:type="dxa"/>
            <w:tcMar>
              <w:top w:w="16" w:type="dxa"/>
              <w:left w:w="16" w:type="dxa"/>
              <w:right w:w="16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是否开工建设</w:t>
            </w:r>
          </w:p>
        </w:tc>
        <w:tc>
          <w:tcPr>
            <w:tcW w:w="1636" w:type="dxa"/>
            <w:vAlign w:val="center"/>
          </w:tcPr>
          <w:p>
            <w:pPr>
              <w:adjustRightInd w:val="0"/>
              <w:snapToGrid w:val="0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F052"/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>
            <w:pPr>
              <w:adjustRightInd w:val="0"/>
              <w:snapToGrid w:val="0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F0A3"/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是：</w:t>
            </w:r>
            <w:r>
              <w:rPr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</w:p>
        </w:tc>
        <w:tc>
          <w:tcPr>
            <w:tcW w:w="2119" w:type="dxa"/>
            <w:tcMar>
              <w:top w:w="16" w:type="dxa"/>
              <w:left w:w="16" w:type="dxa"/>
              <w:right w:w="16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pacing w:val="-6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Cs w:val="21"/>
                <w14:textFill>
                  <w14:solidFill>
                    <w14:schemeClr w14:val="tx1"/>
                  </w14:solidFill>
                </w14:textFill>
              </w:rPr>
              <w:t>用地（用海）</w:t>
            </w:r>
          </w:p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Cs w:val="21"/>
                <w14:textFill>
                  <w14:solidFill>
                    <w14:schemeClr w14:val="tx1"/>
                  </w14:solidFill>
                </w14:textFill>
              </w:rPr>
              <w:t>面积（</w:t>
            </w: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color w:val="000000" w:themeColor="text1"/>
                <w:spacing w:val="-6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412" w:type="dxa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无新增</w:t>
            </w:r>
          </w:p>
        </w:tc>
      </w:tr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/>
          <w:jc w:val="center"/>
        </w:trPr>
        <w:tc>
          <w:tcPr>
            <w:tcW w:w="212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专项评价设置情况</w:t>
            </w:r>
          </w:p>
        </w:tc>
        <w:tc>
          <w:tcPr>
            <w:tcW w:w="6167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</w:tr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/>
          <w:jc w:val="center"/>
        </w:trPr>
        <w:tc>
          <w:tcPr>
            <w:tcW w:w="212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规划情况</w:t>
            </w:r>
          </w:p>
        </w:tc>
        <w:tc>
          <w:tcPr>
            <w:tcW w:w="6167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after="0"/>
              <w:jc w:val="both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根据《莲湖区土地利用规划图》，项目厂区所在地为工业用地，符合莲湖区目前总体规划要求。根据《莲湖区国土空间规划（2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020-2035</w:t>
            </w:r>
          </w:p>
        </w:tc>
      </w:tr>
    </w:tbl>
    <w:p>
      <w:pPr>
        <w:sectPr>
          <w:headerReference w:type="default" r:id="rId6"/>
          <w:footerReference w:type="default" r:id="rId7"/>
          <w:pgSz w:w="11906" w:h="16838"/>
          <w:pgMar w:top="1701" w:right="1531" w:bottom="1701" w:left="1531" w:header="851" w:footer="851" w:gutter="0"/>
          <w:pgNumType w:start="1"/>
          <w:cols w:num="1" w:space="720"/>
          <w:docGrid w:linePitch="312" w:charSpace="0"/>
        </w:sectPr>
      </w:pPr>
    </w:p>
    <w:tbl>
      <w:tblPr>
        <w:tblStyle w:val="TableNormal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5"/>
        <w:gridCol w:w="6167"/>
      </w:tblGrid>
      <w:tr>
        <w:tblPrEx>
          <w:tblW w:w="0" w:type="auto"/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/>
          <w:jc w:val="center"/>
        </w:trPr>
        <w:tc>
          <w:tcPr>
            <w:tcW w:w="2125" w:type="dxa"/>
            <w:vAlign w:val="center"/>
          </w:tcPr>
          <w:p/>
        </w:tc>
        <w:tc>
          <w:tcPr>
            <w:tcW w:w="616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before="0"/>
              <w:jc w:val="both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）编制工作方案》的通知（莲政办发【2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020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】1号），按照高质量发展和高品质生活要求，整体谋划新时代国土空间开发保护格局，科学布局生态空间、城镇空间和农业空间，注重历史文脉和人居环境改善，加快形成绿色生产方式和生活方式，提升莲湖区国土空间治理现代化水平，保障莲湖区高质量发展、高品质生活、高水平治理等相关要求，以莲湖路、大庆路为轴线，强三优二，加快工业企业搬迁，转型发展现代服务业。西安西电光电缆有限责任公司，根据有关要求，积极筹划企业整体搬迁；本项目在不新增厂区面积的前提下，只新增2条原材料生产线，因此本项目建设基本符合规划情况。在企业整体搬迁后，将随西安西电光电缆有限责任公司整个厂区搬迁至规划用地。</w:t>
            </w:r>
          </w:p>
        </w:tc>
      </w:tr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/>
          <w:jc w:val="center"/>
        </w:trPr>
        <w:tc>
          <w:tcPr>
            <w:tcW w:w="2125" w:type="dxa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规划环境影响</w:t>
            </w:r>
          </w:p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评价情况</w:t>
            </w:r>
          </w:p>
        </w:tc>
        <w:tc>
          <w:tcPr>
            <w:tcW w:w="616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</w:tr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/>
          <w:jc w:val="center"/>
        </w:trPr>
        <w:tc>
          <w:tcPr>
            <w:tcW w:w="212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规划及规划环境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影响评价符合性分析</w:t>
            </w:r>
          </w:p>
        </w:tc>
        <w:tc>
          <w:tcPr>
            <w:tcW w:w="616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</w:tr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/>
          <w:jc w:val="center"/>
        </w:trPr>
        <w:tc>
          <w:tcPr>
            <w:tcW w:w="212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其他符合性分析</w:t>
            </w:r>
          </w:p>
        </w:tc>
        <w:tc>
          <w:tcPr>
            <w:tcW w:w="6167" w:type="dxa"/>
            <w:vAlign w:val="center"/>
          </w:tcPr>
          <w:p>
            <w:pPr>
              <w:spacing w:line="36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相关规划相符性分析</w:t>
            </w:r>
          </w:p>
          <w:p>
            <w:pPr>
              <w:autoSpaceDE w:val="0"/>
              <w:autoSpaceDN w:val="0"/>
              <w:spacing w:line="360" w:lineRule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本项目与政策、规划的合理性分析见表1。</w:t>
            </w:r>
          </w:p>
          <w:p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表 </w:t>
            </w:r>
            <w:r>
              <w:rPr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rFonts w:hint="eastAsia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instrText>SEQ 表 \* ARABIC</w:instrText>
            </w:r>
            <w:r>
              <w:rPr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</w:t>
            </w:r>
            <w:r>
              <w:rPr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项目相关规划相符性分析</w:t>
            </w:r>
          </w:p>
          <w:tbl>
            <w:tblPr>
              <w:tblStyle w:val="TableNormal"/>
              <w:tblW w:w="4998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35"/>
              <w:gridCol w:w="1236"/>
              <w:gridCol w:w="1775"/>
              <w:gridCol w:w="1982"/>
              <w:gridCol w:w="511"/>
            </w:tblGrid>
            <w:tr>
              <w:tblPrEx>
                <w:tblW w:w="4998" w:type="pct"/>
                <w:jc w:val="center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/>
                <w:jc w:val="center"/>
              </w:trPr>
              <w:tc>
                <w:tcPr>
                  <w:tcW w:w="366" w:type="pct"/>
                  <w:vAlign w:val="center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序号</w:t>
                  </w:r>
                </w:p>
              </w:tc>
              <w:tc>
                <w:tcPr>
                  <w:tcW w:w="1005" w:type="pct"/>
                  <w:vAlign w:val="center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名称</w:t>
                  </w:r>
                </w:p>
              </w:tc>
              <w:tc>
                <w:tcPr>
                  <w:tcW w:w="1506" w:type="pct"/>
                  <w:vAlign w:val="center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内容</w:t>
                  </w:r>
                </w:p>
              </w:tc>
              <w:tc>
                <w:tcPr>
                  <w:tcW w:w="1680" w:type="pct"/>
                  <w:vAlign w:val="center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本项目情况</w:t>
                  </w:r>
                </w:p>
              </w:tc>
              <w:tc>
                <w:tcPr>
                  <w:tcW w:w="442" w:type="pct"/>
                  <w:vAlign w:val="center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相符性</w:t>
                  </w:r>
                </w:p>
              </w:tc>
            </w:tr>
            <w:tr>
              <w:tblPrEx>
                <w:tblW w:w="4998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29"/>
                <w:jc w:val="center"/>
              </w:trPr>
              <w:tc>
                <w:tcPr>
                  <w:tcW w:w="366" w:type="pct"/>
                  <w:vAlign w:val="center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05" w:type="pct"/>
                  <w:vAlign w:val="center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“三线一单符合性分析”</w:t>
                  </w:r>
                </w:p>
              </w:tc>
              <w:tc>
                <w:tcPr>
                  <w:tcW w:w="1506" w:type="pct"/>
                  <w:vAlign w:val="center"/>
                </w:tcPr>
                <w:p>
                  <w:pPr>
                    <w:pStyle w:val="Date"/>
                    <w:rPr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b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生态保护红线：</w:t>
                  </w:r>
                  <w:r>
                    <w:rPr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在生态空间范围内具有特殊重要生态功能、必须强制性严格保护的区域，是保障和维护国家生态安全的底线和生命线</w:t>
                  </w:r>
                  <w:r>
                    <w:rPr>
                      <w:rFonts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。</w:t>
                  </w:r>
                </w:p>
                <w:p>
                  <w:pPr>
                    <w:spacing w:after="0"/>
                    <w:jc w:val="both"/>
                    <w:rPr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环境质量底线：</w:t>
                  </w:r>
                </w:p>
              </w:tc>
              <w:tc>
                <w:tcPr>
                  <w:tcW w:w="1680" w:type="pct"/>
                  <w:vAlign w:val="center"/>
                </w:tcPr>
                <w:p>
                  <w:pPr>
                    <w:jc w:val="both"/>
                    <w:rPr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b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生态保护红线：</w:t>
                  </w:r>
                  <w:r>
                    <w:rPr>
                      <w:rFonts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项目位于西安市莲湖区，大庆路1</w:t>
                  </w:r>
                  <w:r>
                    <w:rPr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  <w:r>
                    <w:rPr>
                      <w:rFonts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号，周围为城市建成区，周边无自然保护区、饮用水源保护区等生态目标，符合生态保护红线要求。</w:t>
                  </w:r>
                </w:p>
                <w:p>
                  <w:pPr>
                    <w:spacing w:after="0"/>
                    <w:jc w:val="both"/>
                    <w:rPr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环境质量底线：</w:t>
                  </w:r>
                </w:p>
              </w:tc>
              <w:tc>
                <w:tcPr>
                  <w:tcW w:w="442" w:type="pct"/>
                  <w:vAlign w:val="center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符合</w:t>
                  </w:r>
                </w:p>
              </w:tc>
            </w:tr>
          </w:tbl>
          <w:p/>
        </w:tc>
      </w:tr>
    </w:tbl>
    <w:p>
      <w:pPr>
        <w:sectPr>
          <w:headerReference w:type="default" r:id="rId8"/>
          <w:footerReference w:type="default" r:id="rId9"/>
          <w:type w:val="nextPage"/>
          <w:pgSz w:w="11906" w:h="16838"/>
          <w:pgMar w:top="1701" w:right="1531" w:bottom="1701" w:left="1531" w:header="851" w:footer="851" w:gutter="0"/>
          <w:pgNumType w:start="2"/>
          <w:cols w:num="1" w:space="720"/>
          <w:titlePg w:val="0"/>
          <w:docGrid w:linePitch="312" w:charSpace="0"/>
        </w:sectPr>
      </w:pPr>
    </w:p>
    <w:tbl>
      <w:tblPr>
        <w:tblStyle w:val="TableNormal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5"/>
        <w:gridCol w:w="6167"/>
      </w:tblGrid>
      <w:tr>
        <w:tblPrEx>
          <w:tblW w:w="0" w:type="auto"/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/>
          <w:jc w:val="center"/>
        </w:trPr>
        <w:tc>
          <w:tcPr>
            <w:tcW w:w="2125" w:type="dxa"/>
            <w:vAlign w:val="center"/>
          </w:tcPr>
          <w:p/>
        </w:tc>
        <w:tc>
          <w:tcPr>
            <w:tcW w:w="6167" w:type="dxa"/>
            <w:vAlign w:val="center"/>
          </w:tcPr>
          <w:tbl>
            <w:tblPr>
              <w:tblStyle w:val="TableNormal"/>
              <w:tblW w:w="4998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35"/>
              <w:gridCol w:w="1236"/>
              <w:gridCol w:w="1775"/>
              <w:gridCol w:w="1982"/>
              <w:gridCol w:w="511"/>
            </w:tblGrid>
            <w:tr>
              <w:tblPrEx>
                <w:tblW w:w="4998" w:type="pct"/>
                <w:jc w:val="center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29"/>
                <w:jc w:val="center"/>
              </w:trPr>
              <w:tc>
                <w:tcPr>
                  <w:tcW w:w="366" w:type="pct"/>
                  <w:vAlign w:val="center"/>
                </w:tcPr>
                <w:p/>
              </w:tc>
              <w:tc>
                <w:tcPr>
                  <w:tcW w:w="1005" w:type="pct"/>
                  <w:vAlign w:val="center"/>
                </w:tcPr>
                <w:p/>
              </w:tc>
              <w:tc>
                <w:tcPr>
                  <w:tcW w:w="1506" w:type="pct"/>
                  <w:vAlign w:val="center"/>
                </w:tcPr>
                <w:p>
                  <w:pPr>
                    <w:spacing w:before="0"/>
                    <w:jc w:val="both"/>
                    <w:rPr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按照水、大气、土壤环境质量不断优化的原则，结合环境质量现状和相关规划、功能区划要求，考虑环境质量改善潜力，确定的分区域分阶段环境质量目标及相应的环境管控、污染物排放控制等要求。</w:t>
                  </w:r>
                </w:p>
                <w:p>
                  <w:pPr>
                    <w:jc w:val="both"/>
                    <w:rPr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资源利用上线：</w:t>
                  </w:r>
                  <w:r>
                    <w:rPr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指按照自然资源资产“只能增值、不能贬值”的原则，以保障生态安全和改善环境质量为目的，利用自然资源资产负债表，结合自然资源开发管控，提出的分区域分阶段的资源开发利用总量、强度、效率等上线管控要求。</w:t>
                  </w:r>
                </w:p>
                <w:p>
                  <w:pPr>
                    <w:jc w:val="both"/>
                    <w:rPr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生态环境准入清单：</w:t>
                  </w:r>
                  <w:r>
                    <w:rPr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指基于环境管控单元，统筹考虑生态保护红线、环境质量底线、资源利用上线的管控要求，提出的空间布局、污染物排放、环境风险、资源开发利用等方面禁止和限制的环境准入要求。</w:t>
                  </w:r>
                </w:p>
              </w:tc>
              <w:tc>
                <w:tcPr>
                  <w:tcW w:w="1680" w:type="pct"/>
                  <w:vAlign w:val="center"/>
                </w:tcPr>
                <w:p>
                  <w:pPr>
                    <w:spacing w:before="0"/>
                    <w:jc w:val="both"/>
                    <w:rPr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本项目所在区域空气质量为《环境空气质量标准》（G</w:t>
                  </w:r>
                  <w:r>
                    <w:rPr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B3095-2012</w:t>
                  </w:r>
                  <w:r>
                    <w:rPr>
                      <w:rFonts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）二级，声环境质量为《声环境质量标准》（</w:t>
                  </w:r>
                  <w:r>
                    <w:rPr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GB3096-2008</w:t>
                  </w:r>
                  <w:r>
                    <w:rPr>
                      <w:rFonts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）3类。本项目对运行过程中产生的废气、噪声、固废等污染物均采取了严格的治理、处理及处置措施，在一定程度上减少了污染物排放，污染物均能达标排放。本项目未突破环境质量底线。</w:t>
                  </w:r>
                </w:p>
                <w:p>
                  <w:pPr>
                    <w:jc w:val="both"/>
                    <w:rPr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资源利用上线：</w:t>
                  </w:r>
                  <w:r>
                    <w:rPr>
                      <w:rFonts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本项目运行期能源消耗较少，未突破资源利用上线。</w:t>
                  </w:r>
                </w:p>
                <w:p>
                  <w:pPr>
                    <w:jc w:val="both"/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生态环境准入负面清单：对照《市场准入负面清单（2</w:t>
                  </w:r>
                  <w:r>
                    <w:rPr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020</w:t>
                  </w:r>
                  <w:r>
                    <w:rPr>
                      <w:rFonts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年版）》以及《陕西省国家重点生态功能区产业准入负面清单》，本项目不属于“清单”中限制类、禁止类、淘汰类项目，不涉及清单中落后生产工艺设备、落后产品。</w:t>
                  </w:r>
                </w:p>
              </w:tc>
              <w:tc>
                <w:tcPr>
                  <w:tcW w:w="442" w:type="pct"/>
                  <w:vAlign w:val="center"/>
                </w:tcPr>
                <w:p/>
              </w:tc>
            </w:tr>
          </w:tbl>
          <w:p/>
        </w:tc>
      </w:tr>
    </w:tbl>
    <w:p>
      <w:pPr>
        <w:sectPr>
          <w:headerReference w:type="default" r:id="rId10"/>
          <w:footerReference w:type="default" r:id="rId11"/>
          <w:type w:val="nextPage"/>
          <w:pgSz w:w="11906" w:h="16838"/>
          <w:pgMar w:top="1701" w:right="1531" w:bottom="1701" w:left="1531" w:header="851" w:footer="851" w:gutter="0"/>
          <w:pgNumType w:start="3"/>
          <w:cols w:num="1" w:space="720"/>
          <w:titlePg w:val="0"/>
          <w:docGrid w:linePitch="312" w:charSpace="0"/>
        </w:sectPr>
      </w:pPr>
    </w:p>
    <w:tbl>
      <w:tblPr>
        <w:tblStyle w:val="TableNormal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5"/>
        <w:gridCol w:w="6167"/>
      </w:tblGrid>
      <w:tr>
        <w:tblPrEx>
          <w:tblW w:w="0" w:type="auto"/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/>
          <w:jc w:val="center"/>
        </w:trPr>
        <w:tc>
          <w:tcPr>
            <w:tcW w:w="2125" w:type="dxa"/>
            <w:vAlign w:val="center"/>
          </w:tcPr>
          <w:p/>
        </w:tc>
        <w:tc>
          <w:tcPr>
            <w:tcW w:w="6167" w:type="dxa"/>
            <w:vAlign w:val="center"/>
          </w:tcPr>
          <w:tbl>
            <w:tblPr>
              <w:tblStyle w:val="TableNormal"/>
              <w:tblW w:w="4998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35"/>
              <w:gridCol w:w="1236"/>
              <w:gridCol w:w="1775"/>
              <w:gridCol w:w="1982"/>
              <w:gridCol w:w="511"/>
            </w:tblGrid>
            <w:tr>
              <w:tblPrEx>
                <w:tblW w:w="4998" w:type="pct"/>
                <w:jc w:val="center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29"/>
                <w:jc w:val="center"/>
              </w:trPr>
              <w:tc>
                <w:tcPr>
                  <w:tcW w:w="366" w:type="pct"/>
                  <w:vAlign w:val="center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1005" w:type="pct"/>
                  <w:vAlign w:val="center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《陕西省人民政府关于加快实施“三线一单”生态环境分区管控的意见》</w:t>
                  </w:r>
                </w:p>
              </w:tc>
              <w:tc>
                <w:tcPr>
                  <w:tcW w:w="1506" w:type="pct"/>
                  <w:vAlign w:val="center"/>
                </w:tcPr>
                <w:p>
                  <w:pPr>
                    <w:pStyle w:val="Date"/>
                    <w:rPr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优先保护单元以生态优先为原则，突出空间布局约束，依法禁止或限制大规模、高强度工业开发和城镇建设活动，开展生态功能受损区域生态保护修复活动，确保重要生态环境功能不降低。重点管控单元以提升资源利用效率、加强污染物减排治理和环境风险防控为重点，解决突出生态环境问题。</w:t>
                  </w:r>
                </w:p>
              </w:tc>
              <w:tc>
                <w:tcPr>
                  <w:tcW w:w="1680" w:type="pct"/>
                  <w:vAlign w:val="center"/>
                </w:tcPr>
                <w:p>
                  <w:pP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本项目位于陕西省西安市莲湖区，根据陕西省生态环境管控单元分布图知，项目所在地为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重点管控单元。本项目为电线电缆料生产不属于大规模、高强度工业开发，本项目加强污染物减排治理，符合生态环境分区管控要求。</w:t>
                  </w:r>
                </w:p>
                <w:p>
                  <w:pPr>
                    <w:adjustRightInd w:val="0"/>
                    <w:snapToGrid w:val="0"/>
                    <w:jc w:val="center"/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442" w:type="pct"/>
                  <w:vAlign w:val="center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符合</w:t>
                  </w:r>
                </w:p>
              </w:tc>
            </w:tr>
            <w:tr>
              <w:tblPrEx>
                <w:tblW w:w="4998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29"/>
                <w:jc w:val="center"/>
              </w:trPr>
              <w:tc>
                <w:tcPr>
                  <w:tcW w:w="366" w:type="pct"/>
                  <w:vAlign w:val="center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</w:p>
              </w:tc>
              <w:tc>
                <w:tcPr>
                  <w:tcW w:w="1005" w:type="pct"/>
                  <w:vAlign w:val="center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关于印发《2020年挥发性有机物治理攻坚方案》的通知</w:t>
                  </w:r>
                </w:p>
                <w:p>
                  <w:pPr>
                    <w:adjustRightInd w:val="0"/>
                    <w:snapToGrid w:val="0"/>
                    <w:jc w:val="center"/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环大气【2</w:t>
                  </w:r>
                  <w:r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020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】3</w:t>
                  </w:r>
                  <w:r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号</w:t>
                  </w:r>
                </w:p>
              </w:tc>
              <w:tc>
                <w:tcPr>
                  <w:tcW w:w="1506" w:type="pct"/>
                  <w:vAlign w:val="center"/>
                </w:tcPr>
                <w:p>
                  <w:pPr>
                    <w:pStyle w:val="Date"/>
                    <w:rPr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二、全面落实标准要求，强化无组织排放控制。在保证安全的前提下，加强含VOCs物料全方位、全链条、全环节密闭管理。储存环节应采用密闭容器、包装袋，高效密封储罐，封闭式储库、料仓等。</w:t>
                  </w:r>
                </w:p>
              </w:tc>
              <w:tc>
                <w:tcPr>
                  <w:tcW w:w="1680" w:type="pct"/>
                  <w:vAlign w:val="center"/>
                </w:tcPr>
                <w:p>
                  <w:pPr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本项目2条生产线除投料口、环保设施集气罩收集口外，整条生产线为密闭生产线，原料储存及成品存放均为密闭保存。</w:t>
                  </w:r>
                </w:p>
              </w:tc>
              <w:tc>
                <w:tcPr>
                  <w:tcW w:w="442" w:type="pct"/>
                  <w:vAlign w:val="center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符合</w:t>
                  </w:r>
                </w:p>
              </w:tc>
            </w:tr>
            <w:tr>
              <w:tblPrEx>
                <w:tblW w:w="4998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  <w:jc w:val="center"/>
              </w:trPr>
              <w:tc>
                <w:tcPr>
                  <w:tcW w:w="366" w:type="pct"/>
                  <w:vAlign w:val="center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4</w:t>
                  </w:r>
                </w:p>
              </w:tc>
              <w:tc>
                <w:tcPr>
                  <w:tcW w:w="1005" w:type="pct"/>
                  <w:vAlign w:val="center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挥发性有机物（VOCs）污染防治技术政策</w:t>
                  </w:r>
                </w:p>
                <w:p>
                  <w:pPr>
                    <w:adjustRightInd w:val="0"/>
                    <w:snapToGrid w:val="0"/>
                    <w:jc w:val="center"/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(公告 2013 年 第 31 号 2013-05-24 实施)</w:t>
                  </w:r>
                </w:p>
              </w:tc>
              <w:tc>
                <w:tcPr>
                  <w:tcW w:w="1506" w:type="pct"/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（十五）对于含低浓度VOCs的废气，不宜回收时，可采用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吸附</w:t>
                  </w:r>
                  <w:r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浓缩燃烧技术、生物技术、吸收技术、等离子技术或紫外光高级氧化技术等精华后达标排放。</w:t>
                  </w:r>
                </w:p>
              </w:tc>
              <w:tc>
                <w:tcPr>
                  <w:tcW w:w="1680" w:type="pct"/>
                  <w:vAlign w:val="center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本项目</w:t>
                  </w:r>
                  <w:r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VOCs废气浓度较低，采用活性炭吸附装置处理后，可达标排放。</w:t>
                  </w:r>
                </w:p>
              </w:tc>
              <w:tc>
                <w:tcPr>
                  <w:tcW w:w="442" w:type="pct"/>
                  <w:vAlign w:val="center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符合</w:t>
                  </w:r>
                </w:p>
              </w:tc>
            </w:tr>
          </w:tbl>
          <w:p/>
        </w:tc>
      </w:tr>
    </w:tbl>
    <w:p>
      <w:pPr>
        <w:sectPr>
          <w:headerReference w:type="default" r:id="rId12"/>
          <w:footerReference w:type="default" r:id="rId13"/>
          <w:type w:val="nextPage"/>
          <w:pgSz w:w="11906" w:h="16838"/>
          <w:pgMar w:top="1701" w:right="1531" w:bottom="1701" w:left="1531" w:header="851" w:footer="851" w:gutter="0"/>
          <w:pgNumType w:start="4"/>
          <w:cols w:num="1" w:space="720"/>
          <w:titlePg w:val="0"/>
          <w:docGrid w:linePitch="312" w:charSpace="0"/>
        </w:sectPr>
      </w:pPr>
    </w:p>
    <w:tbl>
      <w:tblPr>
        <w:tblStyle w:val="TableNormal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5"/>
        <w:gridCol w:w="6167"/>
      </w:tblGrid>
      <w:tr>
        <w:tblPrEx>
          <w:tblW w:w="0" w:type="auto"/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/>
          <w:jc w:val="center"/>
        </w:trPr>
        <w:tc>
          <w:tcPr>
            <w:tcW w:w="2125" w:type="dxa"/>
            <w:vAlign w:val="center"/>
          </w:tcPr>
          <w:p/>
        </w:tc>
        <w:tc>
          <w:tcPr>
            <w:tcW w:w="6167" w:type="dxa"/>
            <w:vAlign w:val="center"/>
          </w:tcPr>
          <w:p>
            <w:pPr>
              <w:adjustRightInd w:val="0"/>
              <w:snapToGrid w:val="0"/>
              <w:spacing w:before="240" w:beforeLines="100" w:line="360" w:lineRule="auto"/>
              <w:ind w:firstLine="480" w:firstLineChars="200"/>
              <w:rPr>
                <w:b/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>2、选址合理性分析</w:t>
            </w:r>
          </w:p>
          <w:p>
            <w:pPr>
              <w:spacing w:line="360" w:lineRule="auto"/>
              <w:ind w:firstLine="480" w:firstLineChars="200"/>
              <w:jc w:val="both"/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该项目位于西安莲湖区大庆路</w:t>
            </w:r>
            <w:r>
              <w:rPr>
                <w:rFonts w:ascii="Times New Roman" w:hAnsi="Times New Roman"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号西安西电光电缆有限责任公司现有厂区，用地性质为规划的工业用地。选址</w:t>
            </w:r>
            <w:r>
              <w:rPr>
                <w:rFonts w:hint="eastAsia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现有厂区符合总体规划，项目通过严格落实评价提出的污染防治措施，对周围环境影响较小。因此，本项目在现有厂区内进行建设是可行的。</w:t>
            </w:r>
          </w:p>
          <w:p>
            <w:pPr>
              <w:adjustRightInd w:val="0"/>
              <w:snapToGrid w:val="0"/>
              <w:spacing w:before="120" w:beforeLines="50" w:line="360" w:lineRule="auto"/>
              <w:jc w:val="center"/>
              <w:rPr>
                <w:b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spacing w:before="120" w:beforeLines="50" w:line="360" w:lineRule="auto"/>
              <w:jc w:val="center"/>
              <w:rPr>
                <w:b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spacing w:before="120" w:beforeLines="50" w:line="360" w:lineRule="auto"/>
              <w:jc w:val="center"/>
              <w:rPr>
                <w:b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spacing w:before="120" w:beforeLines="50" w:line="360" w:lineRule="auto"/>
              <w:jc w:val="center"/>
              <w:rPr>
                <w:b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spacing w:before="120" w:beforeLines="50" w:line="360" w:lineRule="auto"/>
              <w:jc w:val="center"/>
              <w:rPr>
                <w:b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spacing w:before="120" w:beforeLines="50" w:line="360" w:lineRule="auto"/>
              <w:jc w:val="center"/>
              <w:rPr>
                <w:b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spacing w:before="120" w:beforeLines="50" w:line="360" w:lineRule="auto"/>
              <w:jc w:val="center"/>
              <w:rPr>
                <w:b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spacing w:before="120" w:beforeLines="50" w:line="360" w:lineRule="auto"/>
              <w:jc w:val="center"/>
              <w:rPr>
                <w:b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spacing w:before="120" w:beforeLines="50" w:line="360" w:lineRule="auto"/>
              <w:jc w:val="center"/>
              <w:rPr>
                <w:b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spacing w:before="120" w:beforeLines="50" w:line="360" w:lineRule="auto"/>
              <w:jc w:val="center"/>
              <w:rPr>
                <w:b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ectPr>
          <w:headerReference w:type="default" r:id="rId14"/>
          <w:footerReference w:type="default" r:id="rId15"/>
          <w:type w:val="nextPage"/>
          <w:pgSz w:w="11906" w:h="16838"/>
          <w:pgMar w:top="1701" w:right="1531" w:bottom="1701" w:left="1531" w:header="851" w:footer="851" w:gutter="0"/>
          <w:pgNumType w:start="5"/>
          <w:cols w:num="1" w:space="720"/>
          <w:titlePg w:val="0"/>
          <w:docGrid w:linePitch="312" w:charSpace="0"/>
        </w:sectPr>
      </w:pPr>
    </w:p>
    <w:p>
      <w:pPr>
        <w:rPr>
          <w:rFonts w:ascii="黑体" w:eastAsia="黑体" w:hAnsi="黑体"/>
          <w:snapToGrid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黑体" w:eastAsia="黑体" w:hAnsi="黑体"/>
          <w:snapToGrid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二、建设项目工程分析</w:t>
      </w:r>
    </w:p>
    <w:tbl>
      <w:tblPr>
        <w:tblStyle w:val="TableNormal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8411"/>
      </w:tblGrid>
      <w:tr>
        <w:tblPrEx>
          <w:tblW w:w="0" w:type="auto"/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/>
          <w:jc w:val="center"/>
        </w:trPr>
        <w:tc>
          <w:tcPr>
            <w:tcW w:w="413" w:type="dxa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建设内容</w:t>
            </w:r>
          </w:p>
        </w:tc>
        <w:tc>
          <w:tcPr>
            <w:tcW w:w="8411" w:type="dxa"/>
          </w:tcPr>
          <w:p>
            <w:pPr>
              <w:autoSpaceDE w:val="0"/>
              <w:autoSpaceDN w:val="0"/>
              <w:spacing w:line="36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一、项目</w:t>
            </w: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背景</w:t>
            </w:r>
          </w:p>
          <w:p>
            <w:pPr>
              <w:spacing w:line="360" w:lineRule="auto"/>
              <w:ind w:firstLine="480" w:firstLineChars="200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西安西电光电缆有限责任公司（原西安电缆厂）始建于 </w:t>
            </w:r>
            <w:r>
              <w:rPr>
                <w:rFonts w:ascii="Times New Roman" w:hAnsi="Times New Roman"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1958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年，是国务院国资委监管的中央企业—中国西电集团下属一级子公司，是中国人民解放军总参通信兵部常驻机构，是国家重要综合类别电线、电缆生产企业。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公司占地面积</w:t>
            </w:r>
            <w:r>
              <w:rPr>
                <w:rFonts w:ascii="Times New Roman" w:hAnsi="Times New Roman"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500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亩，注册资本 </w:t>
            </w:r>
            <w:r>
              <w:rPr>
                <w:rFonts w:ascii="Times New Roman" w:hAnsi="Times New Roman"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3.44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亿元，年生产能力 </w:t>
            </w:r>
            <w:r>
              <w:rPr>
                <w:rFonts w:ascii="Times New Roman" w:hAnsi="Times New Roman"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20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亿元，主要生产设备 </w:t>
            </w:r>
            <w:r>
              <w:rPr>
                <w:rFonts w:ascii="Times New Roman" w:hAnsi="Times New Roman"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570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台（套），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主要是通过对购进原材料进行引杆、拉线、挤塑、装铠、绞制等工序加工成为成品。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由于现有生产线所需的原材料市场价格波动，为稳定原材料供应，西安西电光电缆有限责任公司决定新增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聚氯乙烯电缆料生产线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和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无卤低烟阻燃聚烯烃电缆料生产线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各</w:t>
            </w:r>
            <w:r>
              <w:rPr>
                <w:rFonts w:ascii="Times New Roman" w:hAnsi="Times New Roman"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条，年产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聚氯乙烯电缆料</w:t>
            </w: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2400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吨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和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无卤低烟阻燃聚烯烃电缆料</w:t>
            </w: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3600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吨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autoSpaceDE w:val="0"/>
              <w:autoSpaceDN w:val="0"/>
              <w:spacing w:line="360" w:lineRule="auto"/>
              <w:ind w:firstLine="480" w:firstLineChars="200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根据《中华人民共和国环境影响评价法》、《建设项目环境保护管理条例》（国令第</w:t>
            </w: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682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号修改）、《建设项目环境影响评价分类管理名录》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Times New Roman" w:hAnsi="Times New Roman"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2021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年版）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，本项目属于“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二十六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橡胶和塑料制品业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53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塑料制品业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”类，因此本项目编制环境影响报告表。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为此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西安西电光电缆有限责任公司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委托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陕</w:t>
            </w:r>
            <w:r>
              <w:rPr>
                <w:rFonts w:hint="eastAsia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西省现代建筑设计研究院</w:t>
            </w:r>
            <w:r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承担该项目环境影响评价工作。接受委托后，评价单位组织有关技术人员进行现场踏勘、收集资料，依据国家有关法规文件和环境影响评价技术导则，编制了该项目环境影响报告表</w:t>
            </w:r>
            <w:r>
              <w:rPr>
                <w:rFonts w:hint="eastAsia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，委托书见附件</w:t>
            </w:r>
            <w:r>
              <w:rPr>
                <w:rFonts w:ascii="Times New Roman" w:hAnsi="Times New Roman"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spacing w:line="360" w:lineRule="auto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二、项目概况</w:t>
            </w:r>
          </w:p>
          <w:p>
            <w:pPr>
              <w:autoSpaceDE w:val="0"/>
              <w:autoSpaceDN w:val="0"/>
              <w:spacing w:line="360" w:lineRule="auto"/>
              <w:ind w:firstLine="480" w:firstLineChars="200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1、项目基本情况</w:t>
            </w:r>
          </w:p>
          <w:p>
            <w:pPr>
              <w:autoSpaceDE w:val="0"/>
              <w:autoSpaceDN w:val="0"/>
              <w:spacing w:line="360" w:lineRule="auto"/>
              <w:ind w:firstLine="480" w:firstLineChars="20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（1）项目名称：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电线电缆用高分子材料生产线项目</w:t>
            </w:r>
          </w:p>
          <w:p>
            <w:pPr>
              <w:autoSpaceDE w:val="0"/>
              <w:autoSpaceDN w:val="0"/>
              <w:spacing w:line="360" w:lineRule="auto"/>
              <w:ind w:firstLine="480" w:firstLineChars="20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（2）建设单位：</w:t>
            </w:r>
            <w:r>
              <w:rPr>
                <w:rFonts w:hint="eastAsia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西安西电光电缆有限责任公司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6350</wp:posOffset>
                      </wp:positionV>
                      <wp:extent cx="983615" cy="332105"/>
                      <wp:effectExtent l="0" t="0" r="0" b="0"/>
                      <wp:wrapNone/>
                      <wp:docPr id="20" name="文本框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983615" cy="33210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Ansi="等线" w:asciiTheme="minorHAnsi" w:eastAsiaTheme="minorEastAsia" w:cstheme="minorBidi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Ansi="等线" w:asciiTheme="minorHAnsi" w:eastAsiaTheme="minorEastAsia" w:cstheme="minorBidi" w:hint="eastAsia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260m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19" o:spid="_x0000_s1025" type="#_x0000_t202" style="width:77.45pt;height:26.15pt;margin-top:0.5pt;margin-left:-0.1pt;mso-wrap-distance-bottom:0;mso-wrap-distance-left:9pt;mso-wrap-distance-right:9pt;mso-wrap-distance-top:0;position:absolute;v-text-anchor:top;z-index:251658240" filled="f" fillcolor="this">
                      <v:textbox style="mso-fit-shape-to-text:t">
                        <w:txbxContent>
                          <w:p>
                            <w:pPr>
                              <w:rPr>
                                <w:rFonts w:hAnsi="等线" w:asciiTheme="minorHAnsi" w:eastAsiaTheme="minorEastAsia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等线" w:asciiTheme="minorHAnsi" w:eastAsiaTheme="minorEastAsia" w:cstheme="minorBidi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260m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autoSpaceDE w:val="0"/>
              <w:autoSpaceDN w:val="0"/>
              <w:spacing w:line="360" w:lineRule="auto"/>
              <w:ind w:firstLine="480" w:firstLineChars="20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（3）项目性质：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扩建</w:t>
            </w:r>
          </w:p>
        </w:tc>
      </w:tr>
    </w:tbl>
    <w:p>
      <w:pPr>
        <w:sectPr>
          <w:headerReference w:type="default" r:id="rId16"/>
          <w:footerReference w:type="default" r:id="rId17"/>
          <w:type w:val="nextPage"/>
          <w:pgSz w:w="11906" w:h="16838"/>
          <w:pgMar w:top="1701" w:right="1531" w:bottom="1701" w:left="1531" w:header="851" w:footer="851" w:gutter="0"/>
          <w:pgNumType w:start="6"/>
          <w:cols w:num="1" w:space="720"/>
          <w:titlePg w:val="0"/>
          <w:docGrid w:linePitch="312" w:charSpace="0"/>
        </w:sectPr>
      </w:pPr>
    </w:p>
    <w:tbl>
      <w:tblPr>
        <w:tblStyle w:val="TableNormal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8411"/>
      </w:tblGrid>
      <w:tr>
        <w:tblPrEx>
          <w:tblW w:w="0" w:type="auto"/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/>
          <w:jc w:val="center"/>
        </w:trPr>
        <w:tc>
          <w:tcPr>
            <w:tcW w:w="413" w:type="dxa"/>
            <w:vAlign w:val="center"/>
          </w:tcPr>
          <w:p/>
        </w:tc>
        <w:tc>
          <w:tcPr>
            <w:tcW w:w="8411" w:type="dxa"/>
          </w:tcPr>
          <w:p>
            <w:pPr>
              <w:autoSpaceDE w:val="0"/>
              <w:autoSpaceDN w:val="0"/>
              <w:spacing w:line="360" w:lineRule="auto"/>
              <w:ind w:firstLine="480" w:firstLineChars="20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（4）项目地址：</w:t>
            </w:r>
            <w:r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陕西省西安市</w:t>
            </w:r>
            <w:r>
              <w:rPr>
                <w:rFonts w:hint="eastAsia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莲湖区大庆路</w:t>
            </w: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ascii="Times New Roman" w:hAnsi="Times New Roman"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  <w:p>
            <w:pPr>
              <w:autoSpaceDE w:val="0"/>
              <w:autoSpaceDN w:val="0"/>
              <w:spacing w:line="360" w:lineRule="auto"/>
              <w:ind w:firstLine="480" w:firstLineChars="20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（5）项目投资：项目总投资</w:t>
            </w: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470.25万元，其中环保投资50万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元。</w:t>
            </w:r>
          </w:p>
          <w:p>
            <w:pPr>
              <w:autoSpaceDE w:val="0"/>
              <w:autoSpaceDN w:val="0"/>
              <w:spacing w:line="360" w:lineRule="auto"/>
              <w:ind w:firstLine="480" w:firstLineChars="200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60" w:lineRule="auto"/>
              <w:ind w:firstLine="480" w:firstLineChars="200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60" w:lineRule="auto"/>
              <w:ind w:firstLine="480" w:firstLineChars="200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60" w:lineRule="auto"/>
              <w:ind w:firstLine="480" w:firstLineChars="200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2、地理位置与交通</w:t>
            </w:r>
          </w:p>
          <w:p>
            <w:pPr>
              <w:autoSpaceDE w:val="0"/>
              <w:autoSpaceDN w:val="0"/>
              <w:spacing w:line="360" w:lineRule="auto"/>
              <w:ind w:firstLine="480" w:firstLineChars="200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西安西电光电缆有限责任公司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位于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西安市莲湖区大庆路12号，公司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东临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陕鼓仪表厂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南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临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大庆路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西临桃园北路、北临西斜三路。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所在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地交通便利。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项目位于厂区东</w:t>
            </w:r>
            <w:r>
              <w:rPr>
                <w:rFonts w:ascii="Times New Roman" w:hAnsi="Times New Roman"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部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，距离南厂界210m，距离东厂界20m，距北厂界160m，距西厂界515m。厂区环境良好。</w:t>
            </w:r>
          </w:p>
          <w:p>
            <w:pPr>
              <w:autoSpaceDE w:val="0"/>
              <w:autoSpaceDN w:val="0"/>
              <w:spacing w:line="360" w:lineRule="auto"/>
              <w:ind w:firstLine="480" w:firstLineChars="20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项目具体地理位置图见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附图1，四邻关系见附图2。</w:t>
            </w:r>
          </w:p>
          <w:p>
            <w:pPr>
              <w:autoSpaceDE w:val="0"/>
              <w:autoSpaceDN w:val="0"/>
              <w:spacing w:line="360" w:lineRule="auto"/>
              <w:ind w:firstLine="480" w:firstLineChars="200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3、</w:t>
            </w: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扩建项目组成及与现有工程的依托关系</w:t>
            </w:r>
          </w:p>
          <w:p>
            <w:pPr>
              <w:adjustRightInd w:val="0"/>
              <w:snapToGrid w:val="0"/>
              <w:spacing w:line="360" w:lineRule="auto"/>
              <w:ind w:firstLine="496"/>
              <w:jc w:val="both"/>
              <w:rPr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>本扩建项目总投资</w:t>
            </w: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470.25</w:t>
            </w:r>
            <w:r>
              <w:rPr>
                <w:rFonts w:hint="eastAsia"/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>万，在厂区现有车间（机加车间）里建设</w:t>
            </w: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>条生产线（现有机加车间现为空置厂房），分别为</w:t>
            </w:r>
            <w:r>
              <w:rPr>
                <w:bCs/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>聚氯乙烯电缆料生产线</w:t>
            </w:r>
            <w:r>
              <w:rPr>
                <w:rFonts w:hint="eastAsia"/>
                <w:bCs/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>和</w:t>
            </w:r>
            <w:r>
              <w:rPr>
                <w:bCs/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>无卤低烟阻燃聚烯烃电缆料生产线</w:t>
            </w:r>
            <w:r>
              <w:rPr>
                <w:rFonts w:hint="eastAsia"/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>。本项目的组成及主要建设内容见</w:t>
            </w:r>
            <w:r>
              <w:rPr>
                <w:rFonts w:ascii="Times New Roman" w:hAnsi="Times New Roman"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表2</w:t>
            </w:r>
            <w:r>
              <w:rPr>
                <w:rFonts w:hint="eastAsia"/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spacing w:line="360" w:lineRule="auto"/>
              <w:jc w:val="center"/>
              <w:rPr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表 </w:t>
            </w:r>
            <w:r>
              <w:rPr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rFonts w:hint="eastAsia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instrText>SEQ 表 \* ARABIC</w:instrText>
            </w:r>
            <w:r>
              <w:rPr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项目主要建设内容</w:t>
            </w:r>
          </w:p>
          <w:tbl>
            <w:tblPr>
              <w:tblStyle w:val="TableNormal"/>
              <w:tblW w:w="5000" w:type="pct"/>
              <w:tblInd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33"/>
              <w:gridCol w:w="1522"/>
              <w:gridCol w:w="4038"/>
              <w:gridCol w:w="1892"/>
            </w:tblGrid>
            <w:tr>
              <w:tblPrEx>
                <w:tblW w:w="5000" w:type="pct"/>
                <w:tblInd w:w="0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1378" w:type="pct"/>
                  <w:gridSpan w:val="2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项目名称</w:t>
                  </w:r>
                </w:p>
              </w:tc>
              <w:tc>
                <w:tcPr>
                  <w:tcW w:w="2467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建设内容</w:t>
                  </w:r>
                </w:p>
              </w:tc>
              <w:tc>
                <w:tcPr>
                  <w:tcW w:w="1155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与现有工程的关系</w:t>
                  </w:r>
                </w:p>
              </w:tc>
            </w:tr>
            <w:tr>
              <w:tblPrEx>
                <w:tblW w:w="5000" w:type="pct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448" w:type="pct"/>
                  <w:vMerge w:val="restar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主体工程</w:t>
                  </w:r>
                </w:p>
              </w:tc>
              <w:tc>
                <w:tcPr>
                  <w:tcW w:w="930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聚氯乙烯电缆料生产线</w:t>
                  </w:r>
                </w:p>
              </w:tc>
              <w:tc>
                <w:tcPr>
                  <w:tcW w:w="2467" w:type="pct"/>
                  <w:shd w:val="clear" w:color="auto" w:fill="auto"/>
                  <w:vAlign w:val="center"/>
                </w:tcPr>
                <w:p>
                  <w:pPr>
                    <w:jc w:val="both"/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本项目不新建厂房，用地为</w:t>
                  </w: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现有机加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车间</w:t>
                  </w: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，厂房长约7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8m</w:t>
                  </w: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，宽3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0 m</w:t>
                  </w: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，占地面积2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340m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:vertAlign w:val="superscript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。在车间内</w:t>
                  </w:r>
                  <w:r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购置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高混机、双螺杆挤出机、单螺杆造粒机</w:t>
                  </w:r>
                  <w:r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等设备，新建1条产量为2400吨/年的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聚氯乙烯电缆料</w:t>
                  </w:r>
                  <w:r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生产线</w:t>
                  </w:r>
                </w:p>
              </w:tc>
              <w:tc>
                <w:tcPr>
                  <w:tcW w:w="1155" w:type="pct"/>
                  <w:vMerge w:val="restar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厂房依托现有机加车间</w:t>
                  </w:r>
                </w:p>
                <w:p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生产线为新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建</w:t>
                  </w:r>
                </w:p>
              </w:tc>
            </w:tr>
            <w:tr>
              <w:tblPrEx>
                <w:tblW w:w="5000" w:type="pct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448" w:type="pct"/>
                  <w:vMerge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930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无卤低烟阻燃聚烯烃电缆料生产线</w:t>
                  </w:r>
                </w:p>
              </w:tc>
              <w:tc>
                <w:tcPr>
                  <w:tcW w:w="2467" w:type="pct"/>
                  <w:shd w:val="clear" w:color="auto" w:fill="auto"/>
                  <w:vAlign w:val="center"/>
                </w:tcPr>
                <w:p>
                  <w:pPr>
                    <w:jc w:val="both"/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在车间内</w:t>
                  </w:r>
                  <w:r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购置密炼机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、双螺杆挤出机、单螺杆造粒机</w:t>
                  </w:r>
                  <w:r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等设备，新建1条产量为3600吨/年的无卤低烟阻燃聚烯烃料生产线</w:t>
                  </w:r>
                </w:p>
              </w:tc>
              <w:tc>
                <w:tcPr>
                  <w:tcW w:w="1155" w:type="pct"/>
                  <w:vMerge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>
              <w:tblPrEx>
                <w:tblW w:w="5000" w:type="pct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448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辅助工程</w:t>
                  </w:r>
                </w:p>
              </w:tc>
              <w:tc>
                <w:tcPr>
                  <w:tcW w:w="930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外循环冷却系统</w:t>
                  </w:r>
                </w:p>
              </w:tc>
              <w:tc>
                <w:tcPr>
                  <w:tcW w:w="2467" w:type="pct"/>
                  <w:shd w:val="clear" w:color="auto" w:fill="auto"/>
                  <w:vAlign w:val="center"/>
                </w:tcPr>
                <w:p>
                  <w:pPr>
                    <w:spacing w:after="0"/>
                    <w:jc w:val="both"/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新建容积为2</w:t>
                  </w:r>
                  <w:r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0m</w:t>
                  </w:r>
                  <w:r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:vertAlign w:val="superscript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的水池，冷却水的组成为硬水和软水，在水池内进行软水与硬水的交换；冷却机设备自带1</w:t>
                  </w:r>
                  <w:r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00L</w:t>
                  </w:r>
                </w:p>
              </w:tc>
              <w:tc>
                <w:tcPr>
                  <w:tcW w:w="1155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新建</w:t>
                  </w:r>
                </w:p>
              </w:tc>
            </w:tr>
          </w:tbl>
          <w:p/>
        </w:tc>
      </w:tr>
    </w:tbl>
    <w:p>
      <w:pPr>
        <w:sectPr>
          <w:headerReference w:type="default" r:id="rId18"/>
          <w:footerReference w:type="default" r:id="rId19"/>
          <w:type w:val="nextPage"/>
          <w:pgSz w:w="11906" w:h="16838"/>
          <w:pgMar w:top="1701" w:right="1531" w:bottom="1701" w:left="1531" w:header="851" w:footer="851" w:gutter="0"/>
          <w:pgNumType w:start="7"/>
          <w:cols w:num="1" w:space="720"/>
          <w:titlePg w:val="0"/>
          <w:docGrid w:linePitch="312" w:charSpace="0"/>
        </w:sectPr>
      </w:pPr>
    </w:p>
    <w:tbl>
      <w:tblPr>
        <w:tblStyle w:val="TableNormal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8411"/>
      </w:tblGrid>
      <w:tr>
        <w:tblPrEx>
          <w:tblW w:w="0" w:type="auto"/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/>
          <w:jc w:val="center"/>
        </w:trPr>
        <w:tc>
          <w:tcPr>
            <w:tcW w:w="413" w:type="dxa"/>
            <w:vAlign w:val="center"/>
          </w:tcPr>
          <w:p/>
        </w:tc>
        <w:tc>
          <w:tcPr>
            <w:tcW w:w="8411" w:type="dxa"/>
          </w:tcPr>
          <w:tbl>
            <w:tblPr>
              <w:tblStyle w:val="TableNormal"/>
              <w:tblW w:w="5000" w:type="pct"/>
              <w:tblInd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33"/>
              <w:gridCol w:w="1522"/>
              <w:gridCol w:w="4038"/>
              <w:gridCol w:w="1892"/>
            </w:tblGrid>
            <w:tr>
              <w:tblPrEx>
                <w:tblW w:w="5000" w:type="pct"/>
                <w:tblInd w:w="0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448" w:type="pct"/>
                  <w:shd w:val="clear" w:color="auto" w:fill="auto"/>
                  <w:vAlign w:val="center"/>
                </w:tcPr>
                <w:p/>
              </w:tc>
              <w:tc>
                <w:tcPr>
                  <w:tcW w:w="930" w:type="pct"/>
                  <w:shd w:val="clear" w:color="auto" w:fill="auto"/>
                  <w:vAlign w:val="center"/>
                </w:tcPr>
                <w:p/>
              </w:tc>
              <w:tc>
                <w:tcPr>
                  <w:tcW w:w="2467" w:type="pct"/>
                  <w:shd w:val="clear" w:color="auto" w:fill="auto"/>
                  <w:vAlign w:val="center"/>
                </w:tcPr>
                <w:p>
                  <w:pPr>
                    <w:spacing w:before="0"/>
                    <w:jc w:val="both"/>
                    <w:rPr>
                      <w:rFonts w:ascii="Times New Roman" w:hAnsi="Times New Roman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pacing w:val="4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软水储存系统，本项目因软水使用量少，因此软水采用外购的形式</w:t>
                  </w:r>
                </w:p>
              </w:tc>
              <w:tc>
                <w:tcPr>
                  <w:tcW w:w="1155" w:type="pct"/>
                  <w:shd w:val="clear" w:color="auto" w:fill="auto"/>
                  <w:vAlign w:val="center"/>
                </w:tcPr>
                <w:p/>
              </w:tc>
            </w:tr>
            <w:tr>
              <w:tblPrEx>
                <w:tblW w:w="5000" w:type="pct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448" w:type="pct"/>
                  <w:vMerge w:val="restar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储运工程</w:t>
                  </w:r>
                </w:p>
              </w:tc>
              <w:tc>
                <w:tcPr>
                  <w:tcW w:w="930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原辅材料区</w:t>
                  </w:r>
                </w:p>
              </w:tc>
              <w:tc>
                <w:tcPr>
                  <w:tcW w:w="2467" w:type="pct"/>
                  <w:shd w:val="clear" w:color="auto" w:fill="auto"/>
                  <w:vAlign w:val="center"/>
                </w:tcPr>
                <w:p>
                  <w:pPr>
                    <w:jc w:val="both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2条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生产线</w:t>
                  </w: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的原辅材料区域位于厂房西北角，长约6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m</w:t>
                  </w: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，宽约3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m</w:t>
                  </w: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，面积1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8 m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:vertAlign w:val="superscript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。</w:t>
                  </w:r>
                </w:p>
              </w:tc>
              <w:tc>
                <w:tcPr>
                  <w:tcW w:w="1155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新建</w:t>
                  </w:r>
                </w:p>
              </w:tc>
            </w:tr>
            <w:tr>
              <w:tblPrEx>
                <w:tblW w:w="5000" w:type="pct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448" w:type="pct"/>
                  <w:vMerge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930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成品区</w:t>
                  </w:r>
                </w:p>
              </w:tc>
              <w:tc>
                <w:tcPr>
                  <w:tcW w:w="2467" w:type="pct"/>
                  <w:shd w:val="clear" w:color="auto" w:fill="auto"/>
                  <w:vAlign w:val="center"/>
                </w:tcPr>
                <w:p>
                  <w:pPr>
                    <w:jc w:val="both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无卤低烟阻燃聚烯烃电缆料生产线</w:t>
                  </w: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成品区位于原辅材料区域西侧，面积约2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7 m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:vertAlign w:val="superscript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；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聚氯乙烯电缆料生产线</w:t>
                  </w: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共有3个成品区，其中2个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PVC</w:t>
                  </w: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成品区紧靠厂房北侧，并位于厂房中部；1个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PVC</w:t>
                  </w: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成品区位于厂房东北角，面积均约为2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7 m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:vertAlign w:val="superscript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1155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新建</w:t>
                  </w:r>
                </w:p>
              </w:tc>
            </w:tr>
            <w:tr>
              <w:tblPrEx>
                <w:tblW w:w="5000" w:type="pct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448" w:type="pct"/>
                  <w:vMerge w:val="restar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公用工程</w:t>
                  </w:r>
                </w:p>
              </w:tc>
              <w:tc>
                <w:tcPr>
                  <w:tcW w:w="930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供水</w:t>
                  </w:r>
                </w:p>
              </w:tc>
              <w:tc>
                <w:tcPr>
                  <w:tcW w:w="2467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用水接自市政管网</w:t>
                  </w: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，软水外购</w:t>
                  </w:r>
                </w:p>
              </w:tc>
              <w:tc>
                <w:tcPr>
                  <w:tcW w:w="1155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依托</w:t>
                  </w: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+新建</w:t>
                  </w:r>
                </w:p>
              </w:tc>
            </w:tr>
            <w:tr>
              <w:tblPrEx>
                <w:tblW w:w="5000" w:type="pct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448" w:type="pct"/>
                  <w:vMerge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930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排水</w:t>
                  </w:r>
                </w:p>
              </w:tc>
              <w:tc>
                <w:tcPr>
                  <w:tcW w:w="2467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生产线废水全部循环使用，不产生废水</w:t>
                  </w:r>
                </w:p>
              </w:tc>
              <w:tc>
                <w:tcPr>
                  <w:tcW w:w="1155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/</w:t>
                  </w:r>
                </w:p>
              </w:tc>
            </w:tr>
            <w:tr>
              <w:tblPrEx>
                <w:tblW w:w="5000" w:type="pct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448" w:type="pct"/>
                  <w:vMerge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930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供电</w:t>
                  </w:r>
                </w:p>
              </w:tc>
              <w:tc>
                <w:tcPr>
                  <w:tcW w:w="2467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市政电网供电</w:t>
                  </w:r>
                </w:p>
              </w:tc>
              <w:tc>
                <w:tcPr>
                  <w:tcW w:w="1155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bookmarkStart w:id="4" w:name="OLE_LINK1"/>
                  <w:bookmarkStart w:id="5" w:name="OLE_LINK2"/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依托</w:t>
                  </w:r>
                  <w:bookmarkEnd w:id="4"/>
                  <w:bookmarkEnd w:id="5"/>
                </w:p>
              </w:tc>
            </w:tr>
            <w:tr>
              <w:tblPrEx>
                <w:tblW w:w="5000" w:type="pct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448" w:type="pct"/>
                  <w:vMerge w:val="restar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环保工程</w:t>
                  </w:r>
                </w:p>
              </w:tc>
              <w:tc>
                <w:tcPr>
                  <w:tcW w:w="930" w:type="pct"/>
                  <w:vMerge w:val="restar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废气</w:t>
                  </w:r>
                </w:p>
              </w:tc>
              <w:tc>
                <w:tcPr>
                  <w:tcW w:w="2467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生产线粉尘采用集气罩</w:t>
                  </w: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（2个）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+布袋除尘器（2套）+15m高的排气筒</w:t>
                  </w: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D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A007处理</w:t>
                  </w:r>
                </w:p>
              </w:tc>
              <w:tc>
                <w:tcPr>
                  <w:tcW w:w="1155" w:type="pct"/>
                  <w:shd w:val="clear" w:color="auto" w:fill="auto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新建</w:t>
                  </w:r>
                </w:p>
              </w:tc>
            </w:tr>
            <w:tr>
              <w:tblPrEx>
                <w:tblW w:w="5000" w:type="pct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448" w:type="pct"/>
                  <w:vMerge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930" w:type="pct"/>
                  <w:vMerge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2467" w:type="pct"/>
                  <w:shd w:val="clear" w:color="auto" w:fill="auto"/>
                  <w:vAlign w:val="center"/>
                </w:tcPr>
                <w:p>
                  <w:pPr>
                    <w:jc w:val="both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生产线VOCs采用集气罩</w:t>
                  </w: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（3个）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+活性炭吸附装置（2套）+15m高的排气筒</w:t>
                  </w: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D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A008处理</w:t>
                  </w:r>
                </w:p>
              </w:tc>
              <w:tc>
                <w:tcPr>
                  <w:tcW w:w="1155" w:type="pct"/>
                  <w:shd w:val="clear" w:color="auto" w:fill="auto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新建</w:t>
                  </w:r>
                </w:p>
              </w:tc>
            </w:tr>
            <w:tr>
              <w:tblPrEx>
                <w:tblW w:w="5000" w:type="pct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64"/>
              </w:trPr>
              <w:tc>
                <w:tcPr>
                  <w:tcW w:w="448" w:type="pct"/>
                  <w:vMerge/>
                  <w:shd w:val="clear" w:color="auto" w:fill="auto"/>
                  <w:vAlign w:val="center"/>
                </w:tcPr>
                <w:p>
                  <w:pPr>
                    <w:ind w:firstLine="210" w:firstLineChars="100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930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废水</w:t>
                  </w:r>
                </w:p>
              </w:tc>
              <w:tc>
                <w:tcPr>
                  <w:tcW w:w="2467" w:type="pct"/>
                  <w:shd w:val="clear" w:color="auto" w:fill="auto"/>
                  <w:vAlign w:val="center"/>
                </w:tcPr>
                <w:p>
                  <w:pPr>
                    <w:jc w:val="both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生产线废水全部循环使用，不产生废水</w:t>
                  </w:r>
                </w:p>
              </w:tc>
              <w:tc>
                <w:tcPr>
                  <w:tcW w:w="1155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/</w:t>
                  </w:r>
                </w:p>
              </w:tc>
            </w:tr>
            <w:tr>
              <w:tblPrEx>
                <w:tblW w:w="5000" w:type="pct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448" w:type="pct"/>
                  <w:vMerge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930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噪声处理</w:t>
                  </w:r>
                </w:p>
              </w:tc>
              <w:tc>
                <w:tcPr>
                  <w:tcW w:w="2467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设备运行噪声通过选用低噪声设备、安装减震设施等降低噪声</w:t>
                  </w:r>
                </w:p>
              </w:tc>
              <w:tc>
                <w:tcPr>
                  <w:tcW w:w="1155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/</w:t>
                  </w:r>
                </w:p>
              </w:tc>
            </w:tr>
            <w:tr>
              <w:tblPrEx>
                <w:tblW w:w="5000" w:type="pct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28"/>
              </w:trPr>
              <w:tc>
                <w:tcPr>
                  <w:tcW w:w="448" w:type="pct"/>
                  <w:vMerge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930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固体废物</w:t>
                  </w:r>
                </w:p>
              </w:tc>
              <w:tc>
                <w:tcPr>
                  <w:tcW w:w="2467" w:type="pct"/>
                  <w:shd w:val="clear" w:color="auto" w:fill="auto"/>
                  <w:vAlign w:val="center"/>
                </w:tcPr>
                <w:p>
                  <w:pPr>
                    <w:jc w:val="both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本项目废弃包装材料与除尘灰属于一般固废，统一收集后外售；</w:t>
                  </w: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废机油与</w:t>
                  </w: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废活性炭属于危险废物，统一收集暂存至危废暂存间，交由有资质的单位处置。</w:t>
                  </w:r>
                </w:p>
              </w:tc>
              <w:tc>
                <w:tcPr>
                  <w:tcW w:w="1155" w:type="pct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危险废物暂存间依托现有</w:t>
                  </w:r>
                </w:p>
              </w:tc>
            </w:tr>
          </w:tbl>
          <w:p>
            <w:pPr>
              <w:spacing w:before="120" w:beforeLines="50" w:line="360" w:lineRule="auto"/>
              <w:ind w:firstLine="480" w:firstLineChars="200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 扩建工程依托可行性</w:t>
            </w:r>
          </w:p>
          <w:p>
            <w:pPr>
              <w:spacing w:line="360" w:lineRule="auto"/>
              <w:ind w:firstLine="480" w:firstLineChars="200"/>
              <w:jc w:val="both"/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本项目依托现有项目预留车间、供电系统与供水系统。本项目产量较小，用电用水量较小，不会对原有供电供水系统造成压力。因此，本项目依托现有工程附属配套设施可行。</w:t>
            </w:r>
          </w:p>
          <w:p>
            <w:pPr>
              <w:spacing w:line="360" w:lineRule="auto"/>
              <w:ind w:firstLine="480" w:firstLineChars="200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主要产品及产能</w:t>
            </w:r>
          </w:p>
        </w:tc>
      </w:tr>
    </w:tbl>
    <w:p>
      <w:pPr>
        <w:sectPr>
          <w:headerReference w:type="default" r:id="rId20"/>
          <w:footerReference w:type="default" r:id="rId21"/>
          <w:type w:val="nextPage"/>
          <w:pgSz w:w="11906" w:h="16838"/>
          <w:pgMar w:top="1701" w:right="1531" w:bottom="1701" w:left="1531" w:header="851" w:footer="851" w:gutter="0"/>
          <w:pgNumType w:start="8"/>
          <w:cols w:num="1" w:space="720"/>
          <w:titlePg w:val="0"/>
          <w:docGrid w:linePitch="312" w:charSpace="0"/>
        </w:sectPr>
      </w:pPr>
    </w:p>
    <w:tbl>
      <w:tblPr>
        <w:tblStyle w:val="TableNormal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8411"/>
      </w:tblGrid>
      <w:tr>
        <w:tblPrEx>
          <w:tblW w:w="0" w:type="auto"/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/>
          <w:jc w:val="center"/>
        </w:trPr>
        <w:tc>
          <w:tcPr>
            <w:tcW w:w="413" w:type="dxa"/>
            <w:vAlign w:val="center"/>
          </w:tcPr>
          <w:p/>
        </w:tc>
        <w:tc>
          <w:tcPr>
            <w:tcW w:w="8411" w:type="dxa"/>
          </w:tcPr>
          <w:p>
            <w:pPr>
              <w:spacing w:line="360" w:lineRule="auto"/>
              <w:ind w:firstLine="480" w:firstLineChars="200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项目在原厂区新增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聚氯乙烯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电缆料生产线和无卤低烟阻燃聚烯烃电缆料生产线各1条，年产聚氯乙烯电缆料2400吨和无卤低烟阻燃聚烯烃电缆料3600吨，形成新增6000吨/年电线电缆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用材料的生产能力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表 </w:t>
            </w:r>
            <w:r>
              <w:rPr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rFonts w:hint="eastAsia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instrText>SEQ 表 \* ARABIC</w:instrText>
            </w:r>
            <w:r>
              <w:rPr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项目产品方案表</w:t>
            </w:r>
          </w:p>
          <w:tbl>
            <w:tblPr>
              <w:tblStyle w:val="TableNormal"/>
              <w:tblW w:w="5000" w:type="pct"/>
              <w:tblInd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42"/>
              <w:gridCol w:w="3808"/>
              <w:gridCol w:w="3235"/>
            </w:tblGrid>
            <w:tr>
              <w:tblPrEx>
                <w:tblW w:w="5000" w:type="pct"/>
                <w:tblInd w:w="0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52"/>
              </w:trPr>
              <w:tc>
                <w:tcPr>
                  <w:tcW w:w="698" w:type="pct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序号</w:t>
                  </w:r>
                </w:p>
              </w:tc>
              <w:tc>
                <w:tcPr>
                  <w:tcW w:w="2326" w:type="pct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产品方案</w:t>
                  </w:r>
                </w:p>
              </w:tc>
              <w:tc>
                <w:tcPr>
                  <w:tcW w:w="1976" w:type="pct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产量</w:t>
                  </w:r>
                </w:p>
              </w:tc>
            </w:tr>
            <w:tr>
              <w:tblPrEx>
                <w:tblW w:w="5000" w:type="pct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6"/>
              </w:trPr>
              <w:tc>
                <w:tcPr>
                  <w:tcW w:w="698" w:type="pct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2326" w:type="pct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电线电缆用无卤低烟阻燃聚烯烃料</w:t>
                  </w:r>
                </w:p>
              </w:tc>
              <w:tc>
                <w:tcPr>
                  <w:tcW w:w="1976" w:type="pct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3600吨/年</w:t>
                  </w:r>
                </w:p>
              </w:tc>
            </w:tr>
            <w:tr>
              <w:tblPrEx>
                <w:tblW w:w="5000" w:type="pct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6"/>
              </w:trPr>
              <w:tc>
                <w:tcPr>
                  <w:tcW w:w="698" w:type="pct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2326" w:type="pct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电线电缆用软聚氯乙烯塑料</w:t>
                  </w:r>
                </w:p>
              </w:tc>
              <w:tc>
                <w:tcPr>
                  <w:tcW w:w="1976" w:type="pct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2400吨/年</w:t>
                  </w:r>
                </w:p>
              </w:tc>
            </w:tr>
            <w:tr>
              <w:tblPrEx>
                <w:tblW w:w="5000" w:type="pct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6"/>
              </w:trPr>
              <w:tc>
                <w:tcPr>
                  <w:tcW w:w="3024" w:type="pct"/>
                  <w:gridSpan w:val="2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合计</w:t>
                  </w:r>
                </w:p>
              </w:tc>
              <w:tc>
                <w:tcPr>
                  <w:tcW w:w="1976" w:type="pct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6000吨/年</w:t>
                  </w:r>
                </w:p>
              </w:tc>
            </w:tr>
          </w:tbl>
          <w:p>
            <w:pPr>
              <w:spacing w:before="120" w:beforeLines="50" w:line="360" w:lineRule="auto"/>
              <w:ind w:firstLine="480" w:firstLineChars="200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生产设施及设施参数</w:t>
            </w:r>
          </w:p>
          <w:p>
            <w:pPr>
              <w:spacing w:line="360" w:lineRule="auto"/>
              <w:ind w:firstLine="480" w:firstLineChars="20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项目生产过程中主要设备见表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pStyle w:val="Caption"/>
              <w:keepNext/>
              <w:spacing w:line="36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hint="eastAsia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表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eastAsia="宋体" w:hAnsi="Times New Roman" w:cs="宋体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Times New Roman" w:eastAsia="宋体" w:hAnsi="Times New Roman" w:cs="宋体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instrText>SEQ 表 \* ARABIC</w:instrText>
            </w:r>
            <w:r>
              <w:rPr>
                <w:rFonts w:ascii="Times New Roman" w:eastAsia="宋体" w:hAnsi="Times New Roman" w:cs="宋体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rFonts w:ascii="Times New Roman" w:eastAsia="宋体" w:hAnsi="Times New Roman" w:cs="宋体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Times New Roman" w:eastAsia="宋体" w:hAnsi="Times New Roman" w:cs="宋体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eastAsia="宋体" w:hAnsi="Times New Roman" w:cs="宋体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Times New Roman" w:eastAsia="宋体" w:hAnsi="Times New Roman" w:cs="宋体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项目主要设备一览表</w:t>
            </w:r>
          </w:p>
          <w:tbl>
            <w:tblPr>
              <w:tblStyle w:val="TableNormal"/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01"/>
              <w:gridCol w:w="702"/>
              <w:gridCol w:w="1704"/>
              <w:gridCol w:w="1959"/>
              <w:gridCol w:w="971"/>
              <w:gridCol w:w="2248"/>
            </w:tblGrid>
            <w:tr>
              <w:tblPrEx>
                <w:tblW w:w="5000" w:type="pct"/>
                <w:jc w:val="center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67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序号</w:t>
                  </w:r>
                </w:p>
              </w:tc>
              <w:tc>
                <w:tcPr>
                  <w:tcW w:w="1470" w:type="pct"/>
                  <w:gridSpan w:val="2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设备名称</w:t>
                  </w:r>
                </w:p>
              </w:tc>
              <w:tc>
                <w:tcPr>
                  <w:tcW w:w="1197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规格</w:t>
                  </w:r>
                </w:p>
              </w:tc>
              <w:tc>
                <w:tcPr>
                  <w:tcW w:w="59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数量</w:t>
                  </w:r>
                </w:p>
              </w:tc>
              <w:tc>
                <w:tcPr>
                  <w:tcW w:w="137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备注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67" w:type="pct"/>
                  <w:vMerge w:val="restar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470" w:type="pct"/>
                  <w:gridSpan w:val="2"/>
                  <w:vMerge w:val="restar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储油槽、计量油槽</w:t>
                  </w:r>
                </w:p>
              </w:tc>
              <w:tc>
                <w:tcPr>
                  <w:tcW w:w="1197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10m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:vertAlign w:val="superscript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贮油槽</w:t>
                  </w:r>
                </w:p>
              </w:tc>
              <w:tc>
                <w:tcPr>
                  <w:tcW w:w="59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2台</w:t>
                  </w:r>
                </w:p>
              </w:tc>
              <w:tc>
                <w:tcPr>
                  <w:tcW w:w="1373" w:type="pct"/>
                  <w:vMerge w:val="restar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增塑剂的贮存和生产计量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（地上设备）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67" w:type="pct"/>
                  <w:vMerge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70" w:type="pct"/>
                  <w:gridSpan w:val="2"/>
                  <w:vMerge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97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1m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:vertAlign w:val="superscript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×2配料计量油槽</w:t>
                  </w:r>
                </w:p>
              </w:tc>
              <w:tc>
                <w:tcPr>
                  <w:tcW w:w="59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1台</w:t>
                  </w:r>
                </w:p>
              </w:tc>
              <w:tc>
                <w:tcPr>
                  <w:tcW w:w="1373" w:type="pct"/>
                  <w:vMerge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67" w:type="pct"/>
                  <w:vMerge w:val="restar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1470" w:type="pct"/>
                  <w:gridSpan w:val="2"/>
                  <w:vMerge w:val="restar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液体自动配混系统</w:t>
                  </w:r>
                </w:p>
              </w:tc>
              <w:tc>
                <w:tcPr>
                  <w:tcW w:w="1197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液体秤重体</w:t>
                  </w:r>
                </w:p>
              </w:tc>
              <w:tc>
                <w:tcPr>
                  <w:tcW w:w="59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1台</w:t>
                  </w:r>
                </w:p>
              </w:tc>
              <w:tc>
                <w:tcPr>
                  <w:tcW w:w="137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增塑剂自动计量混配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67" w:type="pct"/>
                  <w:vMerge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70" w:type="pct"/>
                  <w:gridSpan w:val="2"/>
                  <w:vMerge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97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PLC控制自动秤重传感系统</w:t>
                  </w:r>
                </w:p>
              </w:tc>
              <w:tc>
                <w:tcPr>
                  <w:tcW w:w="59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1套</w:t>
                  </w:r>
                </w:p>
              </w:tc>
              <w:tc>
                <w:tcPr>
                  <w:tcW w:w="137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（地上设备）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67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</w:p>
              </w:tc>
              <w:tc>
                <w:tcPr>
                  <w:tcW w:w="2666" w:type="pct"/>
                  <w:gridSpan w:val="3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托盘天平、磅称、台称\手提式缝包机等附件</w:t>
                  </w:r>
                </w:p>
              </w:tc>
              <w:tc>
                <w:tcPr>
                  <w:tcW w:w="59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2套</w:t>
                  </w:r>
                </w:p>
              </w:tc>
              <w:tc>
                <w:tcPr>
                  <w:tcW w:w="137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助剂、颜料剂量\成品包装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67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4</w:t>
                  </w:r>
                </w:p>
              </w:tc>
              <w:tc>
                <w:tcPr>
                  <w:tcW w:w="429" w:type="pct"/>
                  <w:vMerge w:val="restar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聚氯乙烯电缆料生产线</w:t>
                  </w:r>
                </w:p>
              </w:tc>
              <w:tc>
                <w:tcPr>
                  <w:tcW w:w="1041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高混机</w:t>
                  </w:r>
                </w:p>
              </w:tc>
              <w:tc>
                <w:tcPr>
                  <w:tcW w:w="1197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GH-300DY</w:t>
                  </w:r>
                </w:p>
              </w:tc>
              <w:tc>
                <w:tcPr>
                  <w:tcW w:w="59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1台</w:t>
                  </w:r>
                </w:p>
              </w:tc>
              <w:tc>
                <w:tcPr>
                  <w:tcW w:w="137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各种物料总混合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（地上设备）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67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6</w:t>
                  </w:r>
                </w:p>
              </w:tc>
              <w:tc>
                <w:tcPr>
                  <w:tcW w:w="429" w:type="pct"/>
                  <w:vMerge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041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双螺杆挤出机</w:t>
                  </w:r>
                </w:p>
              </w:tc>
              <w:tc>
                <w:tcPr>
                  <w:tcW w:w="1197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φ75/180生产线组</w:t>
                  </w:r>
                </w:p>
              </w:tc>
              <w:tc>
                <w:tcPr>
                  <w:tcW w:w="59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1套</w:t>
                  </w:r>
                </w:p>
              </w:tc>
              <w:tc>
                <w:tcPr>
                  <w:tcW w:w="137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挤压（地上设备）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67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7</w:t>
                  </w:r>
                </w:p>
              </w:tc>
              <w:tc>
                <w:tcPr>
                  <w:tcW w:w="429" w:type="pct"/>
                  <w:vMerge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041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单螺杆造粒机</w:t>
                  </w:r>
                </w:p>
              </w:tc>
              <w:tc>
                <w:tcPr>
                  <w:tcW w:w="1197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/</w:t>
                  </w:r>
                </w:p>
              </w:tc>
              <w:tc>
                <w:tcPr>
                  <w:tcW w:w="59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1套</w:t>
                  </w:r>
                </w:p>
              </w:tc>
              <w:tc>
                <w:tcPr>
                  <w:tcW w:w="137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混炼造粒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（地上设备）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67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8</w:t>
                  </w:r>
                </w:p>
              </w:tc>
              <w:tc>
                <w:tcPr>
                  <w:tcW w:w="429" w:type="pct"/>
                  <w:vMerge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041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振动筛</w:t>
                  </w:r>
                </w:p>
              </w:tc>
              <w:tc>
                <w:tcPr>
                  <w:tcW w:w="1197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/</w:t>
                  </w:r>
                </w:p>
              </w:tc>
              <w:tc>
                <w:tcPr>
                  <w:tcW w:w="59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1台</w:t>
                  </w:r>
                </w:p>
              </w:tc>
              <w:tc>
                <w:tcPr>
                  <w:tcW w:w="137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振动过滤（地上设备）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67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9</w:t>
                  </w:r>
                </w:p>
              </w:tc>
              <w:tc>
                <w:tcPr>
                  <w:tcW w:w="429" w:type="pct"/>
                  <w:vAlign w:val="center"/>
                </w:tcPr>
                <w:p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041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密炼机</w:t>
                  </w:r>
                </w:p>
              </w:tc>
              <w:tc>
                <w:tcPr>
                  <w:tcW w:w="1197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M95 密炼机-SDJ75/180</w:t>
                  </w:r>
                </w:p>
              </w:tc>
              <w:tc>
                <w:tcPr>
                  <w:tcW w:w="59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1台</w:t>
                  </w:r>
                </w:p>
              </w:tc>
              <w:tc>
                <w:tcPr>
                  <w:tcW w:w="137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物料混炼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（地上设备）</w:t>
                  </w:r>
                </w:p>
              </w:tc>
            </w:tr>
          </w:tbl>
          <w:p/>
        </w:tc>
      </w:tr>
    </w:tbl>
    <w:p>
      <w:pPr>
        <w:sectPr>
          <w:headerReference w:type="default" r:id="rId22"/>
          <w:footerReference w:type="default" r:id="rId23"/>
          <w:type w:val="nextPage"/>
          <w:pgSz w:w="11906" w:h="16838"/>
          <w:pgMar w:top="1701" w:right="1531" w:bottom="1701" w:left="1531" w:header="851" w:footer="851" w:gutter="0"/>
          <w:pgNumType w:start="9"/>
          <w:cols w:num="1" w:space="720"/>
          <w:titlePg w:val="0"/>
          <w:docGrid w:linePitch="312" w:charSpace="0"/>
        </w:sectPr>
      </w:pPr>
    </w:p>
    <w:tbl>
      <w:tblPr>
        <w:tblStyle w:val="TableNormal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8411"/>
      </w:tblGrid>
      <w:tr>
        <w:tblPrEx>
          <w:tblW w:w="0" w:type="auto"/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/>
          <w:jc w:val="center"/>
        </w:trPr>
        <w:tc>
          <w:tcPr>
            <w:tcW w:w="413" w:type="dxa"/>
            <w:vAlign w:val="center"/>
          </w:tcPr>
          <w:p/>
        </w:tc>
        <w:tc>
          <w:tcPr>
            <w:tcW w:w="8411" w:type="dxa"/>
          </w:tcPr>
          <w:tbl>
            <w:tblPr>
              <w:tblStyle w:val="TableNormal"/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01"/>
              <w:gridCol w:w="702"/>
              <w:gridCol w:w="1704"/>
              <w:gridCol w:w="1959"/>
              <w:gridCol w:w="971"/>
              <w:gridCol w:w="2248"/>
            </w:tblGrid>
            <w:tr>
              <w:tblPrEx>
                <w:tblW w:w="5000" w:type="pct"/>
                <w:jc w:val="center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67" w:type="pct"/>
                  <w:vAlign w:val="center"/>
                </w:tcPr>
                <w:p/>
              </w:tc>
              <w:tc>
                <w:tcPr>
                  <w:tcW w:w="429" w:type="pct"/>
                  <w:vMerge w:val="restart"/>
                  <w:vAlign w:val="center"/>
                </w:tcPr>
                <w:p>
                  <w:pPr>
                    <w:spacing w:before="0"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无卤低烟阻燃聚烯烃电缆料生产线</w:t>
                  </w:r>
                </w:p>
              </w:tc>
              <w:tc>
                <w:tcPr>
                  <w:tcW w:w="1041" w:type="pct"/>
                  <w:vAlign w:val="center"/>
                </w:tcPr>
                <w:p/>
              </w:tc>
              <w:tc>
                <w:tcPr>
                  <w:tcW w:w="1197" w:type="pct"/>
                  <w:vAlign w:val="center"/>
                </w:tcPr>
                <w:p/>
              </w:tc>
              <w:tc>
                <w:tcPr>
                  <w:tcW w:w="593" w:type="pct"/>
                  <w:tcMar>
                    <w:left w:w="28" w:type="dxa"/>
                    <w:right w:w="28" w:type="dxa"/>
                  </w:tcMar>
                  <w:vAlign w:val="center"/>
                </w:tcPr>
                <w:p/>
              </w:tc>
              <w:tc>
                <w:tcPr>
                  <w:tcW w:w="1373" w:type="pct"/>
                  <w:tcMar>
                    <w:left w:w="28" w:type="dxa"/>
                    <w:right w:w="28" w:type="dxa"/>
                  </w:tcMar>
                  <w:vAlign w:val="center"/>
                </w:tcPr>
                <w:p/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67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10</w:t>
                  </w:r>
                </w:p>
              </w:tc>
              <w:tc>
                <w:tcPr>
                  <w:tcW w:w="429" w:type="pct"/>
                  <w:vMerge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041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双锥喂料机</w:t>
                  </w:r>
                </w:p>
              </w:tc>
              <w:tc>
                <w:tcPr>
                  <w:tcW w:w="1197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/</w:t>
                  </w:r>
                </w:p>
              </w:tc>
              <w:tc>
                <w:tcPr>
                  <w:tcW w:w="59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1台</w:t>
                  </w:r>
                </w:p>
              </w:tc>
              <w:tc>
                <w:tcPr>
                  <w:tcW w:w="137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双螺杆机组喂料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（地上设备）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67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429" w:type="pct"/>
                  <w:vMerge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041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双螺杆挤出机</w:t>
                  </w:r>
                </w:p>
              </w:tc>
              <w:tc>
                <w:tcPr>
                  <w:tcW w:w="1197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φ75/180生产线组</w:t>
                  </w:r>
                </w:p>
              </w:tc>
              <w:tc>
                <w:tcPr>
                  <w:tcW w:w="59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1套</w:t>
                  </w:r>
                </w:p>
              </w:tc>
              <w:tc>
                <w:tcPr>
                  <w:tcW w:w="137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挤压（地上设备）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67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429" w:type="pct"/>
                  <w:vMerge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041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单螺杆造粒机</w:t>
                  </w:r>
                </w:p>
              </w:tc>
              <w:tc>
                <w:tcPr>
                  <w:tcW w:w="1197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/</w:t>
                  </w:r>
                </w:p>
              </w:tc>
              <w:tc>
                <w:tcPr>
                  <w:tcW w:w="59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1套</w:t>
                  </w:r>
                </w:p>
              </w:tc>
              <w:tc>
                <w:tcPr>
                  <w:tcW w:w="137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混炼造粒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（地上设备）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67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</w:p>
              </w:tc>
              <w:tc>
                <w:tcPr>
                  <w:tcW w:w="429" w:type="pct"/>
                  <w:vMerge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041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振动筛</w:t>
                  </w:r>
                </w:p>
              </w:tc>
              <w:tc>
                <w:tcPr>
                  <w:tcW w:w="1197" w:type="pct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/</w:t>
                  </w:r>
                </w:p>
              </w:tc>
              <w:tc>
                <w:tcPr>
                  <w:tcW w:w="59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1台</w:t>
                  </w:r>
                </w:p>
              </w:tc>
              <w:tc>
                <w:tcPr>
                  <w:tcW w:w="1373" w:type="pct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振动过滤（地上设备）</w:t>
                  </w:r>
                </w:p>
              </w:tc>
            </w:tr>
          </w:tbl>
          <w:p>
            <w:pPr>
              <w:spacing w:before="120" w:beforeLines="50" w:line="360" w:lineRule="auto"/>
              <w:ind w:firstLine="480" w:firstLineChars="200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原辅材料及燃料情况</w:t>
            </w:r>
          </w:p>
          <w:p>
            <w:pPr>
              <w:pStyle w:val="a24"/>
              <w:spacing w:line="360" w:lineRule="auto"/>
              <w:ind w:firstLine="480"/>
              <w:rPr>
                <w:b/>
                <w:bCs/>
                <w:color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本项目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原辅材料消耗情况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见表5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>
            <w:pPr>
              <w:keepNext/>
              <w:spacing w:before="120" w:beforeLines="50" w:line="360" w:lineRule="auto"/>
              <w:jc w:val="center"/>
              <w:rPr>
                <w:b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 xml:space="preserve">表 </w:t>
            </w:r>
            <w:r>
              <w:rPr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rFonts w:hint="eastAsia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instrText>SEQ 表 \* ARABIC</w:instrText>
            </w:r>
            <w:r>
              <w:rPr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扩建项目</w:t>
            </w:r>
            <w:r>
              <w:rPr>
                <w:b/>
                <w:bCs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主要原辅材料一览表</w:t>
            </w:r>
          </w:p>
          <w:tbl>
            <w:tblPr>
              <w:tblStyle w:val="TableNormal"/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3"/>
              <w:gridCol w:w="779"/>
              <w:gridCol w:w="1799"/>
              <w:gridCol w:w="1120"/>
              <w:gridCol w:w="1612"/>
              <w:gridCol w:w="879"/>
              <w:gridCol w:w="751"/>
              <w:gridCol w:w="752"/>
            </w:tblGrid>
            <w:tr>
              <w:tblPrEx>
                <w:tblW w:w="5000" w:type="pct"/>
                <w:jc w:val="center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01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类型</w:t>
                  </w:r>
                </w:p>
              </w:tc>
              <w:tc>
                <w:tcPr>
                  <w:tcW w:w="476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序号</w:t>
                  </w:r>
                </w:p>
              </w:tc>
              <w:tc>
                <w:tcPr>
                  <w:tcW w:w="109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原辅材料名称</w:t>
                  </w:r>
                </w:p>
              </w:tc>
              <w:tc>
                <w:tcPr>
                  <w:tcW w:w="684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年用量（吨）</w:t>
                  </w:r>
                </w:p>
              </w:tc>
              <w:tc>
                <w:tcPr>
                  <w:tcW w:w="985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包装方式</w:t>
                  </w:r>
                </w:p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/规格</w:t>
                  </w:r>
                </w:p>
              </w:tc>
              <w:tc>
                <w:tcPr>
                  <w:tcW w:w="537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最大</w:t>
                  </w:r>
                </w:p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贮存量</w:t>
                  </w:r>
                </w:p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（吨）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备注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现有厂区项目使用量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01" w:type="pct"/>
                  <w:vMerge w:val="restar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聚氯乙烯电缆料</w:t>
                  </w:r>
                </w:p>
              </w:tc>
              <w:tc>
                <w:tcPr>
                  <w:tcW w:w="476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9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聚氯乙烯树脂</w:t>
                  </w:r>
                </w:p>
              </w:tc>
              <w:tc>
                <w:tcPr>
                  <w:tcW w:w="684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1214</w:t>
                  </w:r>
                </w:p>
              </w:tc>
              <w:tc>
                <w:tcPr>
                  <w:tcW w:w="985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粉状，袋装，25kg/袋</w:t>
                  </w:r>
                </w:p>
              </w:tc>
              <w:tc>
                <w:tcPr>
                  <w:tcW w:w="537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100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主料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0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01" w:type="pct"/>
                  <w:vMerge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476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109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对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苯二甲酸二辛酯(DOTP)</w:t>
                  </w:r>
                </w:p>
              </w:tc>
              <w:tc>
                <w:tcPr>
                  <w:tcW w:w="684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600</w:t>
                  </w:r>
                </w:p>
              </w:tc>
              <w:tc>
                <w:tcPr>
                  <w:tcW w:w="985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液体，200kg桶装</w:t>
                  </w:r>
                </w:p>
              </w:tc>
              <w:tc>
                <w:tcPr>
                  <w:tcW w:w="537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50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主料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0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01" w:type="pct"/>
                  <w:vMerge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476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</w:p>
              </w:tc>
              <w:tc>
                <w:tcPr>
                  <w:tcW w:w="109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微细重质碳酸钙</w:t>
                  </w:r>
                </w:p>
              </w:tc>
              <w:tc>
                <w:tcPr>
                  <w:tcW w:w="684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500</w:t>
                  </w:r>
                </w:p>
              </w:tc>
              <w:tc>
                <w:tcPr>
                  <w:tcW w:w="985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粉状，袋装，25kg/袋</w:t>
                  </w:r>
                </w:p>
              </w:tc>
              <w:tc>
                <w:tcPr>
                  <w:tcW w:w="537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50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辅料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0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01" w:type="pct"/>
                  <w:vMerge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476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4</w:t>
                  </w:r>
                </w:p>
              </w:tc>
              <w:tc>
                <w:tcPr>
                  <w:tcW w:w="109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钙锌稳定剂</w:t>
                  </w:r>
                </w:p>
              </w:tc>
              <w:tc>
                <w:tcPr>
                  <w:tcW w:w="684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80</w:t>
                  </w:r>
                </w:p>
              </w:tc>
              <w:tc>
                <w:tcPr>
                  <w:tcW w:w="985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粉状，袋装，25kg/袋</w:t>
                  </w:r>
                </w:p>
              </w:tc>
              <w:tc>
                <w:tcPr>
                  <w:tcW w:w="537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10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辅料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0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01" w:type="pct"/>
                  <w:vMerge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476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5</w:t>
                  </w:r>
                </w:p>
              </w:tc>
              <w:tc>
                <w:tcPr>
                  <w:tcW w:w="109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聚乙烯蜡</w:t>
                  </w:r>
                </w:p>
              </w:tc>
              <w:tc>
                <w:tcPr>
                  <w:tcW w:w="684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30</w:t>
                  </w:r>
                </w:p>
              </w:tc>
              <w:tc>
                <w:tcPr>
                  <w:tcW w:w="985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粉状，袋装，25kg/袋</w:t>
                  </w:r>
                </w:p>
              </w:tc>
              <w:tc>
                <w:tcPr>
                  <w:tcW w:w="537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5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辅料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0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01" w:type="pct"/>
                  <w:vMerge w:val="restar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无卤低烟阻燃聚烯烃料</w:t>
                  </w:r>
                </w:p>
              </w:tc>
              <w:tc>
                <w:tcPr>
                  <w:tcW w:w="476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9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乙烯-醋酸乙烯共聚物</w:t>
                  </w:r>
                </w:p>
              </w:tc>
              <w:tc>
                <w:tcPr>
                  <w:tcW w:w="684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600</w:t>
                  </w:r>
                </w:p>
              </w:tc>
              <w:tc>
                <w:tcPr>
                  <w:tcW w:w="985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颗粒状，袋装，25kg/袋</w:t>
                  </w:r>
                </w:p>
              </w:tc>
              <w:tc>
                <w:tcPr>
                  <w:tcW w:w="537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100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主料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0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01" w:type="pct"/>
                  <w:vMerge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476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109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POE树脂</w:t>
                  </w:r>
                </w:p>
              </w:tc>
              <w:tc>
                <w:tcPr>
                  <w:tcW w:w="684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300</w:t>
                  </w:r>
                </w:p>
              </w:tc>
              <w:tc>
                <w:tcPr>
                  <w:tcW w:w="985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颗粒状，袋装，25kg/袋</w:t>
                  </w:r>
                </w:p>
              </w:tc>
              <w:tc>
                <w:tcPr>
                  <w:tcW w:w="537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50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主料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0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01" w:type="pct"/>
                  <w:vMerge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476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</w:p>
              </w:tc>
              <w:tc>
                <w:tcPr>
                  <w:tcW w:w="109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聚乙烯（PE）</w:t>
                  </w:r>
                </w:p>
              </w:tc>
              <w:tc>
                <w:tcPr>
                  <w:tcW w:w="684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550</w:t>
                  </w:r>
                </w:p>
              </w:tc>
              <w:tc>
                <w:tcPr>
                  <w:tcW w:w="985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颗粒状，袋装，25kg/袋</w:t>
                  </w:r>
                </w:p>
              </w:tc>
              <w:tc>
                <w:tcPr>
                  <w:tcW w:w="537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100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主料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0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01" w:type="pct"/>
                  <w:vMerge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476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4</w:t>
                  </w:r>
                </w:p>
              </w:tc>
              <w:tc>
                <w:tcPr>
                  <w:tcW w:w="109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色母粒</w:t>
                  </w:r>
                </w:p>
              </w:tc>
              <w:tc>
                <w:tcPr>
                  <w:tcW w:w="684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20</w:t>
                  </w:r>
                </w:p>
              </w:tc>
              <w:tc>
                <w:tcPr>
                  <w:tcW w:w="985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颗粒状，袋装，25kg/袋</w:t>
                  </w:r>
                </w:p>
              </w:tc>
              <w:tc>
                <w:tcPr>
                  <w:tcW w:w="537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辅料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0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01" w:type="pct"/>
                  <w:vMerge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476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5</w:t>
                  </w:r>
                </w:p>
              </w:tc>
              <w:tc>
                <w:tcPr>
                  <w:tcW w:w="109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氢氧化铝</w:t>
                  </w:r>
                </w:p>
              </w:tc>
              <w:tc>
                <w:tcPr>
                  <w:tcW w:w="684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1200</w:t>
                  </w:r>
                </w:p>
              </w:tc>
              <w:tc>
                <w:tcPr>
                  <w:tcW w:w="985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粉状，袋装，25kg/袋</w:t>
                  </w:r>
                </w:p>
              </w:tc>
              <w:tc>
                <w:tcPr>
                  <w:tcW w:w="537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200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主料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0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01" w:type="pct"/>
                  <w:vMerge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476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6</w:t>
                  </w:r>
                </w:p>
              </w:tc>
              <w:tc>
                <w:tcPr>
                  <w:tcW w:w="109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氢氧化镁</w:t>
                  </w:r>
                </w:p>
              </w:tc>
              <w:tc>
                <w:tcPr>
                  <w:tcW w:w="684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900</w:t>
                  </w:r>
                </w:p>
              </w:tc>
              <w:tc>
                <w:tcPr>
                  <w:tcW w:w="985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粉状，袋装，25kg/袋</w:t>
                  </w:r>
                </w:p>
              </w:tc>
              <w:tc>
                <w:tcPr>
                  <w:tcW w:w="537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200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主料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0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01" w:type="pct"/>
                  <w:vMerge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476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7</w:t>
                  </w:r>
                </w:p>
              </w:tc>
              <w:tc>
                <w:tcPr>
                  <w:tcW w:w="109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抗氧化剂</w:t>
                  </w:r>
                </w:p>
              </w:tc>
              <w:tc>
                <w:tcPr>
                  <w:tcW w:w="684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33</w:t>
                  </w:r>
                </w:p>
              </w:tc>
              <w:tc>
                <w:tcPr>
                  <w:tcW w:w="985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粉状，袋装，25kg/袋</w:t>
                  </w:r>
                </w:p>
              </w:tc>
              <w:tc>
                <w:tcPr>
                  <w:tcW w:w="537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辅料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0</w:t>
                  </w:r>
                </w:p>
              </w:tc>
            </w:tr>
            <w:tr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/>
                <w:jc w:val="center"/>
              </w:trPr>
              <w:tc>
                <w:tcPr>
                  <w:tcW w:w="301" w:type="pct"/>
                  <w:vMerge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476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8</w:t>
                  </w:r>
                </w:p>
              </w:tc>
              <w:tc>
                <w:tcPr>
                  <w:tcW w:w="109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聚乙烯蜡</w:t>
                  </w:r>
                </w:p>
              </w:tc>
              <w:tc>
                <w:tcPr>
                  <w:tcW w:w="684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33</w:t>
                  </w:r>
                </w:p>
              </w:tc>
              <w:tc>
                <w:tcPr>
                  <w:tcW w:w="985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粉状，袋装，25kg/袋</w:t>
                  </w:r>
                </w:p>
              </w:tc>
              <w:tc>
                <w:tcPr>
                  <w:tcW w:w="537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辅料</w:t>
                  </w:r>
                </w:p>
              </w:tc>
              <w:tc>
                <w:tcPr>
                  <w:tcW w:w="459" w:type="pct"/>
                  <w:shd w:val="clear" w:color="auto" w:fill="FFFFFF"/>
                  <w:vAlign w:val="center"/>
                </w:tcPr>
                <w:p>
                  <w:pPr>
                    <w:spacing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0</w:t>
                  </w:r>
                </w:p>
              </w:tc>
            </w:tr>
          </w:tbl>
          <w:p/>
        </w:tc>
      </w:tr>
    </w:tbl>
    <w:p>
      <w:pPr>
        <w:sectPr>
          <w:headerReference w:type="default" r:id="rId24"/>
          <w:footerReference w:type="default" r:id="rId25"/>
          <w:type w:val="nextPage"/>
          <w:pgSz w:w="11906" w:h="16838"/>
          <w:pgMar w:top="1701" w:right="1531" w:bottom="1701" w:left="1531" w:header="851" w:footer="851" w:gutter="0"/>
          <w:pgNumType w:start="10"/>
          <w:cols w:num="1" w:space="720"/>
          <w:titlePg w:val="0"/>
          <w:docGrid w:linePitch="312" w:charSpace="0"/>
        </w:sectPr>
      </w:pPr>
    </w:p>
    <w:tbl>
      <w:tblPr>
        <w:tblStyle w:val="TableNormal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8411"/>
      </w:tblGrid>
      <w:tr>
        <w:tblPrEx>
          <w:tblW w:w="0" w:type="auto"/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/>
          <w:jc w:val="center"/>
        </w:trPr>
        <w:tc>
          <w:tcPr>
            <w:tcW w:w="413" w:type="dxa"/>
            <w:vAlign w:val="center"/>
          </w:tcPr>
          <w:p/>
        </w:tc>
        <w:tc>
          <w:tcPr>
            <w:tcW w:w="8411" w:type="dxa"/>
          </w:tcPr>
          <w:p>
            <w:pPr>
              <w:adjustRightInd w:val="0"/>
              <w:snapToGrid w:val="0"/>
              <w:spacing w:before="120" w:beforeLines="50" w:line="360" w:lineRule="auto"/>
              <w:ind w:firstLine="480" w:firstLineChars="200"/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项目原辅材料的理化性质一览表见下表。</w:t>
            </w:r>
          </w:p>
          <w:p>
            <w:pPr>
              <w:pStyle w:val="Caption"/>
              <w:keepNext/>
              <w:spacing w:line="360" w:lineRule="auto"/>
              <w:jc w:val="center"/>
              <w:rPr>
                <w:rFonts w:ascii="宋体" w:eastAsia="宋体" w:hAnsi="宋体" w:cs="宋体"/>
                <w:b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/>
                <w:b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表 </w:t>
            </w:r>
            <w:r>
              <w:rPr>
                <w:rFonts w:ascii="宋体" w:eastAsia="宋体" w:hAnsi="宋体" w:cs="宋体"/>
                <w:b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宋体" w:eastAsia="宋体" w:hAnsi="宋体" w:cs="宋体"/>
                <w:b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instrText xml:space="preserve"> SEQ 表 \* ARABIC </w:instrText>
            </w:r>
            <w:r>
              <w:rPr>
                <w:rFonts w:ascii="宋体" w:eastAsia="宋体" w:hAnsi="宋体" w:cs="宋体"/>
                <w:b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宋体" w:eastAsia="宋体" w:hAnsi="宋体" w:cs="宋体"/>
                <w:b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宋体" w:eastAsia="宋体" w:hAnsi="宋体" w:cs="宋体"/>
                <w:b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宋体" w:eastAsia="宋体" w:hAnsi="宋体" w:cs="宋体"/>
                <w:b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项目原辅材料的理化性质一览表</w:t>
            </w:r>
          </w:p>
          <w:tbl>
            <w:tblPr>
              <w:tblStyle w:val="TableGrid0"/>
              <w:tblW w:w="0" w:type="auto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31"/>
              <w:gridCol w:w="1418"/>
              <w:gridCol w:w="1701"/>
              <w:gridCol w:w="4322"/>
            </w:tblGrid>
            <w:tr>
              <w:tblPrEx>
                <w:tblW w:w="0" w:type="auto"/>
                <w:tblInd w:w="0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731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生产线</w:t>
                  </w:r>
                </w:p>
              </w:tc>
              <w:tc>
                <w:tcPr>
                  <w:tcW w:w="1418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序号</w:t>
                  </w:r>
                </w:p>
              </w:tc>
              <w:tc>
                <w:tcPr>
                  <w:tcW w:w="1701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名称</w:t>
                  </w:r>
                </w:p>
              </w:tc>
              <w:tc>
                <w:tcPr>
                  <w:tcW w:w="4322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理化性质</w:t>
                  </w:r>
                </w:p>
              </w:tc>
            </w:tr>
            <w:tr>
              <w:tblPrEx>
                <w:tblW w:w="0" w:type="auto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731" w:type="dxa"/>
                  <w:vMerge w:val="restart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聚氯乙烯电缆料</w:t>
                  </w:r>
                </w:p>
              </w:tc>
              <w:tc>
                <w:tcPr>
                  <w:tcW w:w="1418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701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聚氯乙烯树脂</w:t>
                  </w:r>
                </w:p>
              </w:tc>
              <w:tc>
                <w:tcPr>
                  <w:tcW w:w="4322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both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聚氯乙烯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为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无定形结构的白色粉末，玻璃化温度77~90℃，无固定熔点，80～85℃开始软化，130℃变为粘弹态，160～180℃开始转变为粘流体</w:t>
                  </w:r>
                </w:p>
              </w:tc>
            </w:tr>
            <w:tr>
              <w:tblPrEx>
                <w:tblW w:w="0" w:type="auto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731" w:type="dxa"/>
                  <w:vMerge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1701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对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苯二甲酸二辛酯(DOTP)</w:t>
                  </w:r>
                </w:p>
              </w:tc>
              <w:tc>
                <w:tcPr>
                  <w:tcW w:w="4322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both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对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苯二甲酸二辛酯无色或略带淡黄色油状液体。密度（20℃）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为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0.982 g.cm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:vertAlign w:val="superscript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、沸点0.8kPa, 370℃。几乎不溶于水，20℃时水中溶解度0.4%。挥发性低，低温柔软性好， 耐水、耐油、介电性能尤其突出，是聚氯乙烯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（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PVC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）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塑料用的一种性能优良的主增塑剂</w:t>
                  </w:r>
                </w:p>
              </w:tc>
            </w:tr>
            <w:tr>
              <w:tblPrEx>
                <w:tblW w:w="0" w:type="auto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731" w:type="dxa"/>
                  <w:vMerge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</w:p>
              </w:tc>
              <w:tc>
                <w:tcPr>
                  <w:tcW w:w="1701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微细重质碳酸钙</w:t>
                  </w:r>
                </w:p>
              </w:tc>
              <w:tc>
                <w:tcPr>
                  <w:tcW w:w="4322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both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微细重质碳酸钙是一种无机化合物，化学式为CaCO₃，白色粉末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，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无味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，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无臭。比重约2.71 g.cm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:vertAlign w:val="superscript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，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在825～896.6℃分解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，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熔点1339℃</w:t>
                  </w:r>
                </w:p>
              </w:tc>
            </w:tr>
            <w:tr>
              <w:tblPrEx>
                <w:tblW w:w="0" w:type="auto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731" w:type="dxa"/>
                  <w:vMerge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4</w:t>
                  </w:r>
                </w:p>
              </w:tc>
              <w:tc>
                <w:tcPr>
                  <w:tcW w:w="1701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钙锌稳定剂</w:t>
                  </w:r>
                </w:p>
              </w:tc>
              <w:tc>
                <w:tcPr>
                  <w:tcW w:w="4322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both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钙锌稳定剂外观主要呈白色粉状、片状、膏状。钙锌稳定剂由钙盐、锌盐、润滑剂、抗氧剂等为主要组分采用特殊复合工艺而合成。它不但可以取代铅镉盐类和有机锡类等有毒稳定剂，而且具有相当好的热稳定性、透明性及着色力。粉状的钙锌稳定剂是作为应用最为广泛的无毒PVC稳定剂使用</w:t>
                  </w:r>
                </w:p>
              </w:tc>
            </w:tr>
            <w:tr>
              <w:tblPrEx>
                <w:tblW w:w="0" w:type="auto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731" w:type="dxa"/>
                  <w:vMerge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5</w:t>
                  </w:r>
                </w:p>
              </w:tc>
              <w:tc>
                <w:tcPr>
                  <w:tcW w:w="1701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聚乙烯蜡</w:t>
                  </w:r>
                </w:p>
              </w:tc>
              <w:tc>
                <w:tcPr>
                  <w:tcW w:w="4322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both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聚乙烯蜡的成色为白色小微珠状/片状，由乙烯聚合橡胶加工剂而形成的，其具有熔点较高、硬度大、光泽度高、颜色雪白等特点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，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其化学性质稳定、电性能良好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，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能改善聚烯烃、聚氯乙烯树脂的流动性。具有很强的内部润滑作用</w:t>
                  </w:r>
                </w:p>
              </w:tc>
            </w:tr>
            <w:tr>
              <w:tblPrEx>
                <w:tblW w:w="0" w:type="auto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731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无卤低烟阻燃聚烯烃料</w:t>
                  </w:r>
                </w:p>
              </w:tc>
              <w:tc>
                <w:tcPr>
                  <w:tcW w:w="1418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6</w:t>
                  </w:r>
                </w:p>
              </w:tc>
              <w:tc>
                <w:tcPr>
                  <w:tcW w:w="1701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乙烯-醋酸乙烯共聚物</w:t>
                  </w:r>
                </w:p>
              </w:tc>
              <w:tc>
                <w:tcPr>
                  <w:tcW w:w="4322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both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具有较好的可挠性、透明性和表面光泽性好，化学稳定性良好，抗老化和耐臭氧强度好，无毒性。可燃，燃烧气味无刺激性。熔点99℃，沸点170.6℃，密度0.92~0.98g/cm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:vertAlign w:val="superscript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。EVA有很好的耐低温性能，其热分解温度较低，约为230℃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左右</w:t>
                  </w:r>
                </w:p>
              </w:tc>
            </w:tr>
          </w:tbl>
          <w:p/>
        </w:tc>
      </w:tr>
    </w:tbl>
    <w:p>
      <w:pPr>
        <w:sectPr>
          <w:headerReference w:type="default" r:id="rId26"/>
          <w:footerReference w:type="default" r:id="rId27"/>
          <w:type w:val="nextPage"/>
          <w:pgSz w:w="11906" w:h="16838"/>
          <w:pgMar w:top="1701" w:right="1531" w:bottom="1701" w:left="1531" w:header="851" w:footer="851" w:gutter="0"/>
          <w:pgNumType w:start="11"/>
          <w:cols w:num="1" w:space="720"/>
          <w:titlePg w:val="0"/>
          <w:docGrid w:linePitch="312" w:charSpace="0"/>
        </w:sectPr>
      </w:pPr>
    </w:p>
    <w:tbl>
      <w:tblPr>
        <w:tblStyle w:val="TableNormal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8411"/>
      </w:tblGrid>
      <w:tr>
        <w:tblPrEx>
          <w:tblW w:w="0" w:type="auto"/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/>
          <w:jc w:val="center"/>
        </w:trPr>
        <w:tc>
          <w:tcPr>
            <w:tcW w:w="413" w:type="dxa"/>
            <w:vAlign w:val="center"/>
          </w:tcPr>
          <w:p/>
        </w:tc>
        <w:tc>
          <w:tcPr>
            <w:tcW w:w="8411" w:type="dxa"/>
          </w:tcPr>
          <w:tbl>
            <w:tblPr>
              <w:tblStyle w:val="TableGrid1"/>
              <w:tblW w:w="0" w:type="auto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31"/>
              <w:gridCol w:w="1418"/>
              <w:gridCol w:w="1701"/>
              <w:gridCol w:w="4322"/>
            </w:tblGrid>
            <w:tr>
              <w:tblPrEx>
                <w:tblW w:w="0" w:type="auto"/>
                <w:tblInd w:w="0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731" w:type="dxa"/>
                  <w:vMerge w:val="restart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7</w:t>
                  </w:r>
                </w:p>
              </w:tc>
              <w:tc>
                <w:tcPr>
                  <w:tcW w:w="1701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POE树脂</w:t>
                  </w:r>
                </w:p>
              </w:tc>
              <w:tc>
                <w:tcPr>
                  <w:tcW w:w="4322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both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是一种乙烯、丁烯或辛烯的热塑性弹性体。使它既有优异的韧性又有良好的加工性，具有优良的耐老化性能。</w:t>
                  </w:r>
                </w:p>
              </w:tc>
            </w:tr>
            <w:tr>
              <w:tblPrEx>
                <w:tblW w:w="0" w:type="auto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731" w:type="dxa"/>
                  <w:vMerge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8</w:t>
                  </w:r>
                </w:p>
              </w:tc>
              <w:tc>
                <w:tcPr>
                  <w:tcW w:w="1701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聚乙烯（PE）</w:t>
                  </w:r>
                </w:p>
              </w:tc>
              <w:tc>
                <w:tcPr>
                  <w:tcW w:w="4322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both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聚乙烯是</w:t>
                  </w:r>
                  <w:hyperlink r:id="rId28" w:tgtFrame="_blank" w:history="1">
                    <w:r>
                      <w:rPr>
                        <w:rStyle w:val="Hyperlink"/>
                        <w:rFonts w:ascii="Times New Roman" w:hAnsi="Times New Roman"/>
                        <w:color w:val="000000" w:themeColor="text1"/>
                        <w:sz w:val="21"/>
                        <w:szCs w:val="21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乙烯</w:t>
                    </w:r>
                  </w:hyperlink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经聚合制得的一种</w:t>
                  </w:r>
                  <w:hyperlink r:id="rId29" w:tgtFrame="_blank" w:history="1">
                    <w:r>
                      <w:rPr>
                        <w:rStyle w:val="Hyperlink"/>
                        <w:rFonts w:ascii="Times New Roman" w:hAnsi="Times New Roman"/>
                        <w:color w:val="000000" w:themeColor="text1"/>
                        <w:sz w:val="21"/>
                        <w:szCs w:val="21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热塑性树脂</w:t>
                    </w:r>
                  </w:hyperlink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。无毒、无味的颗粒，外观呈</w:t>
                  </w:r>
                  <w:hyperlink r:id="rId30" w:tgtFrame="_blank" w:history="1">
                    <w:r>
                      <w:rPr>
                        <w:rStyle w:val="Hyperlink"/>
                        <w:rFonts w:ascii="Times New Roman" w:hAnsi="Times New Roman"/>
                        <w:color w:val="000000" w:themeColor="text1"/>
                        <w:sz w:val="21"/>
                        <w:szCs w:val="21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乳白</w:t>
                    </w:r>
                  </w:hyperlink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色，密度0.86~0.96g/cm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:vertAlign w:val="superscript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、熔点92℃、沸点270℃，热分解温度270℃，水溶性差。具有优良的耐低温性能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（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最低使用温度可达-70～-100℃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）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，化学稳定性好，能耐大多数酸碱的侵蚀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（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不耐具有氧化性质的酸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）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，常温下不溶于一般溶剂，吸水性小，电绝缘性能优良。</w:t>
                  </w:r>
                </w:p>
              </w:tc>
            </w:tr>
            <w:tr>
              <w:tblPrEx>
                <w:tblW w:w="0" w:type="auto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731" w:type="dxa"/>
                  <w:vMerge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9</w:t>
                  </w:r>
                </w:p>
              </w:tc>
              <w:tc>
                <w:tcPr>
                  <w:tcW w:w="1701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色母粒</w:t>
                  </w:r>
                </w:p>
              </w:tc>
              <w:tc>
                <w:tcPr>
                  <w:tcW w:w="4322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both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是一种新型高分子</w:t>
                  </w:r>
                  <w:hyperlink r:id="rId31" w:tgtFrame="_blank" w:history="1">
                    <w:r>
                      <w:rPr>
                        <w:rStyle w:val="Hyperlink"/>
                        <w:rFonts w:ascii="Times New Roman" w:hAnsi="Times New Roman"/>
                        <w:color w:val="000000" w:themeColor="text1"/>
                        <w:sz w:val="21"/>
                        <w:szCs w:val="21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材料</w:t>
                    </w:r>
                  </w:hyperlink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专用</w:t>
                  </w:r>
                  <w:hyperlink r:id="rId32" w:tgtFrame="_blank" w:history="1">
                    <w:r>
                      <w:rPr>
                        <w:rStyle w:val="Hyperlink"/>
                        <w:rFonts w:ascii="Times New Roman" w:hAnsi="Times New Roman"/>
                        <w:color w:val="000000" w:themeColor="text1"/>
                        <w:sz w:val="21"/>
                        <w:szCs w:val="21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着色剂</w:t>
                    </w:r>
                  </w:hyperlink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，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把超常量的</w:t>
                  </w:r>
                  <w:hyperlink r:id="rId33" w:tgtFrame="_blank" w:history="1">
                    <w:r>
                      <w:rPr>
                        <w:rStyle w:val="Hyperlink"/>
                        <w:rFonts w:ascii="Times New Roman" w:hAnsi="Times New Roman"/>
                        <w:color w:val="000000" w:themeColor="text1"/>
                        <w:sz w:val="21"/>
                        <w:szCs w:val="21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颜料</w:t>
                    </w:r>
                  </w:hyperlink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均匀载附于</w:t>
                  </w:r>
                  <w:hyperlink r:id="rId34" w:tgtFrame="_blank" w:history="1">
                    <w:r>
                      <w:rPr>
                        <w:rStyle w:val="Hyperlink"/>
                        <w:rFonts w:ascii="Times New Roman" w:hAnsi="Times New Roman"/>
                        <w:color w:val="000000" w:themeColor="text1"/>
                        <w:sz w:val="21"/>
                        <w:szCs w:val="21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树脂</w:t>
                    </w:r>
                  </w:hyperlink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之中而制得的聚集体，可称颜料浓缩物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，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它的着色力高于</w:t>
                  </w:r>
                  <w:hyperlink r:id="rId33" w:tgtFrame="_blank" w:history="1">
                    <w:r>
                      <w:rPr>
                        <w:rStyle w:val="Hyperlink"/>
                        <w:rFonts w:ascii="Times New Roman" w:hAnsi="Times New Roman"/>
                        <w:color w:val="000000" w:themeColor="text1"/>
                        <w:sz w:val="21"/>
                        <w:szCs w:val="21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颜料</w:t>
                    </w:r>
                  </w:hyperlink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本身。加工时用少量色母料和未着色树脂掺混，就可达到设计颜料浓度的着色树脂或制品。</w:t>
                  </w:r>
                </w:p>
              </w:tc>
            </w:tr>
            <w:tr>
              <w:tblPrEx>
                <w:tblW w:w="0" w:type="auto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731" w:type="dxa"/>
                  <w:vMerge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10</w:t>
                  </w:r>
                </w:p>
              </w:tc>
              <w:tc>
                <w:tcPr>
                  <w:tcW w:w="1701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氢氧化铝</w:t>
                  </w:r>
                </w:p>
              </w:tc>
              <w:tc>
                <w:tcPr>
                  <w:tcW w:w="4322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both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是一种无机物，氢氧化铝作为阻燃剂不仅能阻燃，而且可以防止发烟、不产生滴下物、不产生有毒气体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，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是用量最大和应用最广的无机阻燃添加剂</w:t>
                  </w:r>
                </w:p>
              </w:tc>
            </w:tr>
            <w:tr>
              <w:tblPrEx>
                <w:tblW w:w="0" w:type="auto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731" w:type="dxa"/>
                  <w:vMerge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11</w:t>
                  </w:r>
                </w:p>
              </w:tc>
              <w:tc>
                <w:tcPr>
                  <w:tcW w:w="1701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氢氧化镁</w:t>
                  </w:r>
                </w:p>
              </w:tc>
              <w:tc>
                <w:tcPr>
                  <w:tcW w:w="4322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both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是一种无机物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，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白色无定形粉末或无色六方柱</w:t>
                  </w:r>
                  <w:hyperlink r:id="rId35" w:tgtFrame="_blank" w:history="1">
                    <w:r>
                      <w:rPr>
                        <w:rStyle w:val="Hyperlink"/>
                        <w:rFonts w:ascii="Times New Roman" w:hAnsi="Times New Roman"/>
                        <w:color w:val="000000" w:themeColor="text1"/>
                        <w:sz w:val="21"/>
                        <w:szCs w:val="21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晶体</w:t>
                    </w:r>
                  </w:hyperlink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。加热到350℃失去水生成</w:t>
                  </w:r>
                  <w:hyperlink r:id="rId36" w:tgtFrame="_blank" w:history="1">
                    <w:r>
                      <w:rPr>
                        <w:rStyle w:val="Hyperlink"/>
                        <w:rFonts w:ascii="Times New Roman" w:hAnsi="Times New Roman"/>
                        <w:color w:val="000000" w:themeColor="text1"/>
                        <w:sz w:val="21"/>
                        <w:szCs w:val="21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氧化镁</w:t>
                    </w:r>
                  </w:hyperlink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。氢氧化镁是一种新型填充型阻燃剂，通过受热分解时释放出结合水，吸收大量的潜热，来降低它所填充的合成材料在火焰中的表面温度，具有抑制聚合物分解和对所产生的可燃气体进行冷却的作用。分解生成的氧化镁又是良好的耐火材料，也能帮助提高合成材料的抗火性能，同时它放出的水蒸气也可作为一种抑烟剂。氢氧化镁是公认的橡塑行业中具有阻燃、抑烟、填充三重功能的优秀阻燃剂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。</w:t>
                  </w:r>
                </w:p>
              </w:tc>
            </w:tr>
            <w:tr>
              <w:tblPrEx>
                <w:tblW w:w="0" w:type="auto"/>
                <w:tblInd w:w="0" w:type="dxa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731" w:type="dxa"/>
                  <w:vMerge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12</w:t>
                  </w:r>
                </w:p>
              </w:tc>
              <w:tc>
                <w:tcPr>
                  <w:tcW w:w="1701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抗氧化剂</w:t>
                  </w:r>
                </w:p>
              </w:tc>
              <w:tc>
                <w:tcPr>
                  <w:tcW w:w="4322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both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抗氧剂1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68白色结晶粉末，熔点183-186℃，无毒，与树脂相溶性好，且具有低挥发性、耐抽出性及不污染不变色等特点。是目前国内最优秀的加工稳定剂，它能有效地防止聚合物（聚乙烯、聚丙烯等）在挤出注塑过程中的热降解，使聚合物保持原有的机械性和耐老化性能。</w:t>
                  </w:r>
                </w:p>
              </w:tc>
            </w:tr>
          </w:tbl>
          <w:p/>
        </w:tc>
      </w:tr>
    </w:tbl>
    <w:p>
      <w:pPr>
        <w:sectPr>
          <w:headerReference w:type="default" r:id="rId37"/>
          <w:footerReference w:type="default" r:id="rId38"/>
          <w:type w:val="nextPage"/>
          <w:pgSz w:w="11906" w:h="16838"/>
          <w:pgMar w:top="1701" w:right="1531" w:bottom="1701" w:left="1531" w:header="851" w:footer="851" w:gutter="0"/>
          <w:pgNumType w:start="12"/>
          <w:cols w:num="1" w:space="720"/>
          <w:titlePg w:val="0"/>
          <w:docGrid w:linePitch="312" w:charSpace="0"/>
        </w:sectPr>
      </w:pPr>
    </w:p>
    <w:tbl>
      <w:tblPr>
        <w:tblStyle w:val="TableNormal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8411"/>
      </w:tblGrid>
      <w:tr>
        <w:tblPrEx>
          <w:tblW w:w="0" w:type="auto"/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/>
          <w:jc w:val="center"/>
        </w:trPr>
        <w:tc>
          <w:tcPr>
            <w:tcW w:w="413" w:type="dxa"/>
            <w:vAlign w:val="center"/>
          </w:tcPr>
          <w:p/>
        </w:tc>
        <w:tc>
          <w:tcPr>
            <w:tcW w:w="8411" w:type="dxa"/>
          </w:tcPr>
          <w:tbl>
            <w:tblPr>
              <w:tblStyle w:val="TableGrid2"/>
              <w:tblW w:w="0" w:type="auto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31"/>
              <w:gridCol w:w="1418"/>
              <w:gridCol w:w="1701"/>
              <w:gridCol w:w="4322"/>
            </w:tblGrid>
            <w:tr>
              <w:tblPrEx>
                <w:tblW w:w="0" w:type="auto"/>
                <w:tblInd w:w="0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/>
              </w:trPr>
              <w:tc>
                <w:tcPr>
                  <w:tcW w:w="731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13</w:t>
                  </w:r>
                </w:p>
              </w:tc>
              <w:tc>
                <w:tcPr>
                  <w:tcW w:w="1701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center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聚乙烯蜡</w:t>
                  </w:r>
                </w:p>
              </w:tc>
              <w:tc>
                <w:tcPr>
                  <w:tcW w:w="4322" w:type="dxa"/>
                  <w:vAlign w:val="center"/>
                </w:tcPr>
                <w:p>
                  <w:pPr>
                    <w:adjustRightInd w:val="0"/>
                    <w:snapToGrid w:val="0"/>
                    <w:spacing w:before="120" w:beforeLines="50"/>
                    <w:jc w:val="both"/>
                    <w:rPr>
                      <w:bCs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聚乙烯蜡的成色为白色小微珠状/片状，由乙烯聚合橡胶加工剂而形成的，其具有熔点较高、硬度大、光泽度高、颜色雪白等特点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，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其化学性质稳定、电性能良好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，</w:t>
                  </w:r>
                  <w:r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能改善聚烯烃、聚氯乙烯树脂的流动性。具有很强的内部润滑作用</w:t>
                  </w:r>
                </w:p>
              </w:tc>
            </w:tr>
          </w:tbl>
          <w:p>
            <w:pPr>
              <w:adjustRightInd w:val="0"/>
              <w:snapToGrid w:val="0"/>
              <w:spacing w:before="120" w:beforeLines="50" w:line="360" w:lineRule="auto"/>
              <w:ind w:firstLine="560" w:firstLineChars="200"/>
              <w:rPr>
                <w:rFonts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eastAsia="黑体" w:hint="eastAsia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公用工程 </w:t>
            </w:r>
          </w:p>
          <w:p>
            <w:pPr>
              <w:adjustRightInd w:val="0"/>
              <w:snapToGrid w:val="0"/>
              <w:spacing w:line="360" w:lineRule="auto"/>
              <w:ind w:firstLine="482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8.1</w:t>
            </w: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给水</w:t>
            </w:r>
          </w:p>
          <w:p>
            <w:pPr>
              <w:adjustRightInd w:val="0"/>
              <w:snapToGrid w:val="0"/>
              <w:spacing w:line="360" w:lineRule="auto"/>
              <w:ind w:firstLine="482"/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本扩建项目不增加新员工，因</w:t>
            </w:r>
            <w:r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此项目用水仅为部分生产用水。</w:t>
            </w:r>
          </w:p>
          <w:p>
            <w:pPr>
              <w:adjustRightInd w:val="0"/>
              <w:snapToGrid w:val="0"/>
              <w:spacing w:line="360" w:lineRule="auto"/>
              <w:ind w:firstLine="482"/>
              <w:jc w:val="both"/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根据建设单位提供资料，本项目2条生产线挤出工序需使用冷却水</w:t>
            </w:r>
            <w:r>
              <w:rPr>
                <w:rFonts w:ascii="Times New Roman" w:hAnsi="Times New Roman" w:hint="eastAsia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进行间接冷却</w:t>
            </w:r>
            <w:r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，冷却水由循环系统提供，循环用水不外排，由于蒸发损失（损失量按3%），需定期添加。</w:t>
            </w:r>
            <w:r>
              <w:rPr>
                <w:rFonts w:ascii="Times New Roman" w:hAnsi="Times New Roman" w:hint="eastAsia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项目外循环冷却系统新建容积为2</w:t>
            </w:r>
            <w:r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0m</w:t>
            </w:r>
            <w:r>
              <w:rPr>
                <w:rFonts w:ascii="Times New Roman" w:hAnsi="Times New Roman"/>
                <w:bCs/>
                <w:color w:val="000000" w:themeColor="text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hint="eastAsia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的水池。</w:t>
            </w:r>
            <w:r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项目冷却水循环系统循环水量为160m</w:t>
            </w:r>
            <w:r>
              <w:rPr>
                <w:rFonts w:ascii="Times New Roman" w:hAnsi="Times New Roman"/>
                <w:bCs/>
                <w:color w:val="000000" w:themeColor="text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/d，循环水补充量为4.8 m</w:t>
            </w:r>
            <w:r>
              <w:rPr>
                <w:rFonts w:ascii="Times New Roman" w:hAnsi="Times New Roman"/>
                <w:bCs/>
                <w:color w:val="000000" w:themeColor="text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/d，（全年按251天计）即1205m</w:t>
            </w:r>
            <w:r>
              <w:rPr>
                <w:rFonts w:ascii="Times New Roman" w:hAnsi="Times New Roman"/>
                <w:bCs/>
                <w:color w:val="000000" w:themeColor="text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/a。</w:t>
            </w:r>
          </w:p>
          <w:p>
            <w:pPr>
              <w:adjustRightInd w:val="0"/>
              <w:snapToGrid w:val="0"/>
              <w:spacing w:line="360" w:lineRule="auto"/>
              <w:ind w:firstLine="482"/>
              <w:rPr>
                <w:rFonts w:ascii="Times New Roman" w:hAnsi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8.2 排水</w:t>
            </w:r>
          </w:p>
          <w:p>
            <w:pPr>
              <w:adjustRightInd w:val="0"/>
              <w:snapToGrid w:val="0"/>
              <w:spacing w:line="360" w:lineRule="auto"/>
              <w:ind w:firstLine="482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综上，本扩建项目需要新鲜水约0.6 m</w:t>
            </w:r>
            <w:r>
              <w:rPr>
                <w:rFonts w:ascii="Times New Roman" w:hAnsi="Times New Roman"/>
                <w:color w:val="000000" w:themeColor="text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/d（150m</w:t>
            </w:r>
            <w:r>
              <w:rPr>
                <w:rFonts w:ascii="Times New Roman" w:hAnsi="Times New Roman"/>
                <w:color w:val="000000" w:themeColor="text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/a）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，循环系统水不外排，因此不排放生产废水。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rPr>
                <w:rFonts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9 </w:t>
            </w:r>
            <w:r>
              <w:rPr>
                <w:rFonts w:eastAsia="黑体" w:hint="eastAsia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工作制度与劳动定员</w:t>
            </w:r>
          </w:p>
          <w:p>
            <w:pPr>
              <w:adjustRightInd w:val="0"/>
              <w:snapToGrid w:val="0"/>
              <w:spacing w:line="360" w:lineRule="auto"/>
              <w:ind w:firstLine="482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公司现有员工</w:t>
            </w:r>
            <w:r>
              <w:rPr>
                <w:rFonts w:ascii="Times New Roman" w:hAnsi="Times New Roman"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ascii="Times New Roman" w:hAnsi="Times New Roman"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人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，本次扩建项目不新增员工，本项目使用员工数量为1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人，员工为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班制，每日工作时长 </w:t>
            </w:r>
            <w:r>
              <w:rPr>
                <w:rFonts w:ascii="Times New Roman" w:hAnsi="Times New Roman"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8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小时，年生产</w:t>
            </w:r>
            <w:r>
              <w:rPr>
                <w:rFonts w:ascii="Times New Roman" w:hAnsi="Times New Roman"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51</w:t>
            </w:r>
            <w:r>
              <w:rPr>
                <w:rFonts w:ascii="Times New Roman" w:hAnsi="Times New Roman"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天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autoSpaceDE w:val="0"/>
              <w:autoSpaceDN w:val="0"/>
              <w:spacing w:line="360" w:lineRule="auto"/>
              <w:ind w:firstLine="560" w:firstLineChars="200"/>
              <w:rPr>
                <w:rFonts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 w:hint="eastAsia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0 </w:t>
            </w:r>
            <w:r>
              <w:rPr>
                <w:rFonts w:eastAsia="黑体" w:hint="eastAsia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厂区平面布置</w:t>
            </w:r>
          </w:p>
          <w:p>
            <w:pPr>
              <w:autoSpaceDE w:val="0"/>
              <w:autoSpaceDN w:val="0"/>
              <w:spacing w:after="0" w:line="360" w:lineRule="auto"/>
              <w:ind w:firstLine="480" w:firstLineChars="200"/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西安西电光电缆有限责任公司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位于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西安市莲湖区大庆</w:t>
            </w:r>
            <w:r>
              <w:rPr>
                <w:rFonts w:ascii="Times New Roman" w:hAnsi="Times New Roman"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路12号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，公司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东临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陕鼓仪表厂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南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临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大庆路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西临桃园北路、北临西斜三路。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所在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地交通便利。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项目位于厂区东北角，距离南厂界210m，距离东厂界20m，距北厂界160m，距西厂界515m。</w:t>
            </w:r>
            <w:r>
              <w:rPr>
                <w:rFonts w:ascii="Times New Roman" w:hAnsi="Times New Roman"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本项目车间东侧2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0m</w:t>
            </w:r>
            <w:r>
              <w:rPr>
                <w:rFonts w:ascii="Times New Roman" w:hAnsi="Times New Roman"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处为西安西电光电缆有限责任公司东厂界绿化带；厂房南侧紧挨厂区绿化带，距离4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0m</w:t>
            </w:r>
          </w:p>
        </w:tc>
      </w:tr>
    </w:tbl>
    <w:p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https://d.book118.com/218000053137006046</w:t>
        </w:r>
      </w:hyperlink>
    </w:p>
    <w:p/>
    <w:sectPr>
      <w:headerReference w:type="default" r:id="rId40"/>
      <w:footerReference w:type="default" r:id="rId41"/>
      <w:type w:val="nextPage"/>
      <w:pgSz w:w="11906" w:h="16838"/>
      <w:pgMar w:top="1701" w:right="1531" w:bottom="1701" w:left="1531" w:header="851" w:footer="851" w:gutter="0"/>
      <w:pgNumType w:start="13"/>
      <w:cols w:num="1" w:space="720"/>
      <w:titlePg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1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Himalaya">
    <w:panose1 w:val="01010100010101010101"/>
    <w:charset w:val="86"/>
    <w:family w:val="auto"/>
    <w:pitch w:val="default"/>
    <w:sig w:usb0="80000003" w:usb1="00010000" w:usb2="00000040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汉鼎简书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Style w:val="PageNumber"/>
      </w:rPr>
      <w:id w:val="1574779198"/>
      <w:docPartObj>
        <w:docPartGallery w:val="autotext"/>
      </w:docPartObj>
    </w:sdtPr>
    <w:sdtEndPr>
      <w:rPr>
        <w:rStyle w:val="PageNumber"/>
      </w:rPr>
    </w:sdtEndPr>
    <w:sdtContent>
      <w:p>
        <w:pPr>
          <w:pStyle w:val="Footer"/>
          <w:framePr w:wrap="around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Style w:val="PageNumber"/>
      </w:rPr>
      <w:id w:val="2133464724"/>
      <w:docPartObj>
        <w:docPartGallery w:val="autotext"/>
      </w:docPartObj>
    </w:sdtPr>
    <w:sdtEndPr>
      <w:rPr>
        <w:rStyle w:val="PageNumber"/>
      </w:rPr>
    </w:sdtEndPr>
    <w:sdtContent>
      <w:p>
        <w:pPr>
          <w:pStyle w:val="Footer"/>
          <w:framePr w:wrap="around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Style w:val="PageNumber"/>
      </w:rPr>
      <w:id w:val="420748837"/>
      <w:docPartObj>
        <w:docPartGallery w:val="autotext"/>
      </w:docPartObj>
    </w:sdtPr>
    <w:sdtEndPr>
      <w:rPr>
        <w:rStyle w:val="PageNumber"/>
      </w:rPr>
    </w:sdtEndPr>
    <w:sdtContent>
      <w:p>
        <w:pPr>
          <w:pStyle w:val="Footer"/>
          <w:framePr w:wrap="around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3</w:t>
        </w:r>
        <w:r>
          <w:rPr>
            <w:rStyle w:val="PageNumber"/>
          </w:rPr>
          <w:fldChar w:fldCharType="end"/>
        </w:r>
      </w:p>
    </w:sdtContent>
  </w:sdt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Style w:val="PageNumber"/>
      </w:rPr>
      <w:id w:val="1239066183"/>
      <w:docPartObj>
        <w:docPartGallery w:val="autotext"/>
      </w:docPartObj>
    </w:sdtPr>
    <w:sdtEndPr>
      <w:rPr>
        <w:rStyle w:val="PageNumber"/>
      </w:rPr>
    </w:sdtEndPr>
    <w:sdtContent>
      <w:p>
        <w:pPr>
          <w:pStyle w:val="Footer"/>
          <w:framePr w:wrap="around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4</w:t>
        </w:r>
        <w:r>
          <w:rPr>
            <w:rStyle w:val="PageNumber"/>
          </w:rPr>
          <w:fldChar w:fldCharType="end"/>
        </w:r>
      </w:p>
    </w:sdtContent>
  </w:sdt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Style w:val="PageNumber"/>
      </w:rPr>
      <w:id w:val="562566881"/>
      <w:docPartObj>
        <w:docPartGallery w:val="autotext"/>
      </w:docPartObj>
    </w:sdtPr>
    <w:sdtEndPr>
      <w:rPr>
        <w:rStyle w:val="PageNumber"/>
      </w:rPr>
    </w:sdtEndPr>
    <w:sdtContent>
      <w:p>
        <w:pPr>
          <w:pStyle w:val="Footer"/>
          <w:framePr w:wrap="around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5</w:t>
        </w:r>
        <w:r>
          <w:rPr>
            <w:rStyle w:val="PageNumber"/>
          </w:rPr>
          <w:fldChar w:fldCharType="end"/>
        </w:r>
      </w:p>
    </w:sdtContent>
  </w:sdt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Style w:val="PageNumber"/>
      </w:rPr>
      <w:id w:val="2118823375"/>
      <w:docPartObj>
        <w:docPartGallery w:val="autotext"/>
      </w:docPartObj>
    </w:sdtPr>
    <w:sdtEndPr>
      <w:rPr>
        <w:rStyle w:val="PageNumber"/>
      </w:rPr>
    </w:sdtEndPr>
    <w:sdtContent>
      <w:p>
        <w:pPr>
          <w:pStyle w:val="Footer"/>
          <w:framePr w:wrap="around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6</w:t>
        </w:r>
        <w:r>
          <w:rPr>
            <w:rStyle w:val="PageNumber"/>
          </w:rPr>
          <w:fldChar w:fldCharType="end"/>
        </w:r>
      </w:p>
    </w:sdtContent>
  </w:sdt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Style w:val="PageNumber"/>
      </w:rPr>
      <w:id w:val="1618436999"/>
      <w:docPartObj>
        <w:docPartGallery w:val="autotext"/>
      </w:docPartObj>
    </w:sdtPr>
    <w:sdtEndPr>
      <w:rPr>
        <w:rStyle w:val="PageNumber"/>
      </w:rPr>
    </w:sdtEndPr>
    <w:sdtContent>
      <w:p>
        <w:pPr>
          <w:pStyle w:val="Footer"/>
          <w:framePr w:wrap="around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7</w:t>
        </w:r>
        <w:r>
          <w:rPr>
            <w:rStyle w:val="PageNumber"/>
          </w:rPr>
          <w:fldChar w:fldCharType="end"/>
        </w:r>
      </w:p>
    </w:sdtContent>
  </w:sdt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Style w:val="PageNumber"/>
      </w:rPr>
      <w:id w:val="1518206625"/>
      <w:docPartObj>
        <w:docPartGallery w:val="autotext"/>
      </w:docPartObj>
    </w:sdtPr>
    <w:sdtEndPr>
      <w:rPr>
        <w:rStyle w:val="PageNumber"/>
      </w:rPr>
    </w:sdtEndPr>
    <w:sdtContent>
      <w:p>
        <w:pPr>
          <w:pStyle w:val="Footer"/>
          <w:framePr w:wrap="around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8</w:t>
        </w:r>
        <w:r>
          <w:rPr>
            <w:rStyle w:val="PageNumber"/>
          </w:rPr>
          <w:fldChar w:fldCharType="end"/>
        </w:r>
      </w:p>
    </w:sdtContent>
  </w:sdt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Style w:val="PageNumber"/>
      </w:rPr>
      <w:id w:val="885416226"/>
      <w:docPartObj>
        <w:docPartGallery w:val="autotext"/>
      </w:docPartObj>
    </w:sdtPr>
    <w:sdtEndPr>
      <w:rPr>
        <w:rStyle w:val="PageNumber"/>
      </w:rPr>
    </w:sdtEndPr>
    <w:sdtContent>
      <w:p>
        <w:pPr>
          <w:pStyle w:val="Footer"/>
          <w:framePr w:wrap="around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9</w:t>
        </w:r>
        <w:r>
          <w:rPr>
            <w:rStyle w:val="PageNumber"/>
          </w:rPr>
          <w:fldChar w:fldCharType="end"/>
        </w:r>
      </w:p>
    </w:sdtContent>
  </w:sdt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Style w:val="PageNumber"/>
      </w:rPr>
      <w:id w:val="294828832"/>
      <w:docPartObj>
        <w:docPartGallery w:val="autotext"/>
      </w:docPartObj>
    </w:sdtPr>
    <w:sdtEndPr>
      <w:rPr>
        <w:rStyle w:val="PageNumber"/>
      </w:rPr>
    </w:sdtEndPr>
    <w:sdtContent>
      <w:p>
        <w:pPr>
          <w:pStyle w:val="Footer"/>
          <w:framePr w:wrap="around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11</w:t>
        </w:r>
        <w:r>
          <w:rPr>
            <w:rStyle w:val="PageNumber"/>
          </w:rPr>
          <w:fldChar w:fldCharType="end"/>
        </w:r>
      </w:p>
    </w:sdtContent>
  </w:sdt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Style w:val="PageNumber"/>
      </w:rPr>
      <w:id w:val="1687251865"/>
      <w:docPartObj>
        <w:docPartGallery w:val="autotext"/>
      </w:docPartObj>
    </w:sdtPr>
    <w:sdtEndPr>
      <w:rPr>
        <w:rStyle w:val="PageNumber"/>
      </w:rPr>
    </w:sdtEndPr>
    <w:sdtContent>
      <w:p>
        <w:pPr>
          <w:pStyle w:val="Footer"/>
          <w:framePr w:wrap="around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11</w:t>
        </w:r>
        <w:r>
          <w:rPr>
            <w:rStyle w:val="PageNumber"/>
          </w:rPr>
          <w:fldChar w:fldCharType="end"/>
        </w:r>
      </w:p>
    </w:sdtContent>
  </w:sdt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Style w:val="PageNumber"/>
      </w:rPr>
      <w:id w:val="620986847"/>
      <w:docPartObj>
        <w:docPartGallery w:val="autotext"/>
      </w:docPartObj>
    </w:sdtPr>
    <w:sdtEndPr>
      <w:rPr>
        <w:rStyle w:val="PageNumber"/>
      </w:rPr>
    </w:sdtEndPr>
    <w:sdtContent>
      <w:p>
        <w:pPr>
          <w:pStyle w:val="Footer"/>
          <w:framePr w:wrap="around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12</w:t>
        </w:r>
        <w:r>
          <w:rPr>
            <w:rStyle w:val="PageNumber"/>
          </w:rPr>
          <w:fldChar w:fldCharType="end"/>
        </w:r>
      </w:p>
    </w:sdtContent>
  </w:sdt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Style w:val="PageNumber"/>
      </w:rPr>
      <w:id w:val="1339771300"/>
      <w:docPartObj>
        <w:docPartGallery w:val="autotext"/>
      </w:docPartObj>
    </w:sdtPr>
    <w:sdtEndPr>
      <w:rPr>
        <w:rStyle w:val="PageNumber"/>
      </w:rPr>
    </w:sdtEndPr>
    <w:sdtContent>
      <w:p>
        <w:pPr>
          <w:pStyle w:val="Footer"/>
          <w:framePr w:wrap="around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13</w:t>
        </w:r>
        <w:r>
          <w:rPr>
            <w:rStyle w:val="PageNumber"/>
          </w:rPr>
          <w:fldChar w:fldCharType="end"/>
        </w:r>
      </w:p>
    </w:sdtContent>
  </w:sdt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sz w:val="21"/>
        <w:szCs w:val="21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sz w:val="21"/>
        <w:szCs w:val="21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sz w:val="21"/>
        <w:szCs w:val="21"/>
        <w:u w:val="single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sz w:val="21"/>
        <w:szCs w:val="21"/>
        <w:u w:val="single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sz w:val="21"/>
        <w:szCs w:val="21"/>
        <w:u w:val="single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sz w:val="21"/>
        <w:szCs w:val="21"/>
        <w:u w:val="single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sz w:val="21"/>
        <w:szCs w:val="21"/>
        <w:u w:val="single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sz w:val="21"/>
        <w:szCs w:val="21"/>
        <w:u w:val="single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sz w:val="21"/>
        <w:szCs w:val="21"/>
        <w:u w:val="single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sz w:val="21"/>
        <w:szCs w:val="21"/>
        <w:u w:val="single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sz w:val="21"/>
        <w:szCs w:val="21"/>
        <w:u w:val="single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sz w:val="21"/>
        <w:szCs w:val="21"/>
        <w:u w:val="single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sz w:val="21"/>
        <w:szCs w:val="21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zoom w:percent="125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4B8"/>
    <w:rsid w:val="00000011"/>
    <w:rsid w:val="00000725"/>
    <w:rsid w:val="000007BE"/>
    <w:rsid w:val="00000E56"/>
    <w:rsid w:val="00000F79"/>
    <w:rsid w:val="00000FED"/>
    <w:rsid w:val="000013A7"/>
    <w:rsid w:val="0000143E"/>
    <w:rsid w:val="0000199D"/>
    <w:rsid w:val="00001E3B"/>
    <w:rsid w:val="00001F5E"/>
    <w:rsid w:val="00002626"/>
    <w:rsid w:val="00002AE6"/>
    <w:rsid w:val="00002DF8"/>
    <w:rsid w:val="00005831"/>
    <w:rsid w:val="00005A66"/>
    <w:rsid w:val="000062B6"/>
    <w:rsid w:val="00006B5A"/>
    <w:rsid w:val="00006B98"/>
    <w:rsid w:val="00006BA7"/>
    <w:rsid w:val="00007D87"/>
    <w:rsid w:val="00007E25"/>
    <w:rsid w:val="0001012F"/>
    <w:rsid w:val="0001037B"/>
    <w:rsid w:val="0001064A"/>
    <w:rsid w:val="00010BC0"/>
    <w:rsid w:val="00010D80"/>
    <w:rsid w:val="00011134"/>
    <w:rsid w:val="000111E4"/>
    <w:rsid w:val="0001182C"/>
    <w:rsid w:val="00011F00"/>
    <w:rsid w:val="0001265C"/>
    <w:rsid w:val="00012B0F"/>
    <w:rsid w:val="00012DA2"/>
    <w:rsid w:val="00012ECD"/>
    <w:rsid w:val="00013485"/>
    <w:rsid w:val="00013A0B"/>
    <w:rsid w:val="00013F16"/>
    <w:rsid w:val="000147C0"/>
    <w:rsid w:val="00015098"/>
    <w:rsid w:val="000154D4"/>
    <w:rsid w:val="0001591A"/>
    <w:rsid w:val="00016849"/>
    <w:rsid w:val="00016964"/>
    <w:rsid w:val="00017058"/>
    <w:rsid w:val="00017905"/>
    <w:rsid w:val="00017AA6"/>
    <w:rsid w:val="00017BBE"/>
    <w:rsid w:val="0002029B"/>
    <w:rsid w:val="0002074E"/>
    <w:rsid w:val="00020AEC"/>
    <w:rsid w:val="00020E6B"/>
    <w:rsid w:val="00020ECE"/>
    <w:rsid w:val="000210F9"/>
    <w:rsid w:val="00021528"/>
    <w:rsid w:val="00021594"/>
    <w:rsid w:val="00021699"/>
    <w:rsid w:val="0002174A"/>
    <w:rsid w:val="00021767"/>
    <w:rsid w:val="00021D92"/>
    <w:rsid w:val="00021FCE"/>
    <w:rsid w:val="00022323"/>
    <w:rsid w:val="00022507"/>
    <w:rsid w:val="00024F02"/>
    <w:rsid w:val="00025176"/>
    <w:rsid w:val="0002524C"/>
    <w:rsid w:val="00025DC7"/>
    <w:rsid w:val="00025DED"/>
    <w:rsid w:val="00026031"/>
    <w:rsid w:val="00026108"/>
    <w:rsid w:val="000264B3"/>
    <w:rsid w:val="000265A5"/>
    <w:rsid w:val="00026678"/>
    <w:rsid w:val="00026729"/>
    <w:rsid w:val="00026D14"/>
    <w:rsid w:val="000270E8"/>
    <w:rsid w:val="000273B5"/>
    <w:rsid w:val="0003051B"/>
    <w:rsid w:val="00030F75"/>
    <w:rsid w:val="00031A77"/>
    <w:rsid w:val="00031AC7"/>
    <w:rsid w:val="00031C1F"/>
    <w:rsid w:val="000321A9"/>
    <w:rsid w:val="000323A8"/>
    <w:rsid w:val="00032451"/>
    <w:rsid w:val="0003268A"/>
    <w:rsid w:val="000329C2"/>
    <w:rsid w:val="000331E8"/>
    <w:rsid w:val="000337AB"/>
    <w:rsid w:val="000337FF"/>
    <w:rsid w:val="000340C4"/>
    <w:rsid w:val="000342EE"/>
    <w:rsid w:val="000343FF"/>
    <w:rsid w:val="000345AC"/>
    <w:rsid w:val="00034E61"/>
    <w:rsid w:val="00035334"/>
    <w:rsid w:val="00035721"/>
    <w:rsid w:val="00035A2C"/>
    <w:rsid w:val="00035EB0"/>
    <w:rsid w:val="00035F8D"/>
    <w:rsid w:val="000366EE"/>
    <w:rsid w:val="00036DF9"/>
    <w:rsid w:val="00037911"/>
    <w:rsid w:val="00037B3B"/>
    <w:rsid w:val="00037C4D"/>
    <w:rsid w:val="00040A8D"/>
    <w:rsid w:val="00041205"/>
    <w:rsid w:val="0004144C"/>
    <w:rsid w:val="000414E2"/>
    <w:rsid w:val="00041511"/>
    <w:rsid w:val="00041737"/>
    <w:rsid w:val="00041924"/>
    <w:rsid w:val="00042548"/>
    <w:rsid w:val="00042710"/>
    <w:rsid w:val="000427D7"/>
    <w:rsid w:val="00042EA1"/>
    <w:rsid w:val="00042F04"/>
    <w:rsid w:val="00042F48"/>
    <w:rsid w:val="0004368D"/>
    <w:rsid w:val="00044031"/>
    <w:rsid w:val="0004411D"/>
    <w:rsid w:val="000444E4"/>
    <w:rsid w:val="000474C7"/>
    <w:rsid w:val="000479D9"/>
    <w:rsid w:val="000508E7"/>
    <w:rsid w:val="00050F3D"/>
    <w:rsid w:val="00051000"/>
    <w:rsid w:val="00051458"/>
    <w:rsid w:val="000517D9"/>
    <w:rsid w:val="00051C7F"/>
    <w:rsid w:val="00051E5C"/>
    <w:rsid w:val="00052535"/>
    <w:rsid w:val="0005260D"/>
    <w:rsid w:val="00052763"/>
    <w:rsid w:val="0005292C"/>
    <w:rsid w:val="00052A6B"/>
    <w:rsid w:val="00052B94"/>
    <w:rsid w:val="0005333F"/>
    <w:rsid w:val="000534B8"/>
    <w:rsid w:val="00053A1B"/>
    <w:rsid w:val="00053EF7"/>
    <w:rsid w:val="000549DA"/>
    <w:rsid w:val="00054B40"/>
    <w:rsid w:val="00054F67"/>
    <w:rsid w:val="00055F9F"/>
    <w:rsid w:val="00055FCE"/>
    <w:rsid w:val="00056685"/>
    <w:rsid w:val="00057697"/>
    <w:rsid w:val="00057699"/>
    <w:rsid w:val="00057840"/>
    <w:rsid w:val="00057990"/>
    <w:rsid w:val="0006046A"/>
    <w:rsid w:val="000605B6"/>
    <w:rsid w:val="000607D7"/>
    <w:rsid w:val="0006082A"/>
    <w:rsid w:val="00060F87"/>
    <w:rsid w:val="00061009"/>
    <w:rsid w:val="0006138E"/>
    <w:rsid w:val="000613FF"/>
    <w:rsid w:val="000616F9"/>
    <w:rsid w:val="00061ED9"/>
    <w:rsid w:val="000620FF"/>
    <w:rsid w:val="000624AD"/>
    <w:rsid w:val="0006278A"/>
    <w:rsid w:val="00062B9E"/>
    <w:rsid w:val="00063042"/>
    <w:rsid w:val="000631C8"/>
    <w:rsid w:val="00064116"/>
    <w:rsid w:val="00064E28"/>
    <w:rsid w:val="000650B8"/>
    <w:rsid w:val="0006512E"/>
    <w:rsid w:val="000653EE"/>
    <w:rsid w:val="0006595E"/>
    <w:rsid w:val="00065D91"/>
    <w:rsid w:val="0006610F"/>
    <w:rsid w:val="000666FD"/>
    <w:rsid w:val="00066B4F"/>
    <w:rsid w:val="00066C26"/>
    <w:rsid w:val="00066C60"/>
    <w:rsid w:val="00066F27"/>
    <w:rsid w:val="00067434"/>
    <w:rsid w:val="0007069E"/>
    <w:rsid w:val="000708E3"/>
    <w:rsid w:val="00071294"/>
    <w:rsid w:val="000716D1"/>
    <w:rsid w:val="000723DC"/>
    <w:rsid w:val="00072592"/>
    <w:rsid w:val="00072950"/>
    <w:rsid w:val="000730E2"/>
    <w:rsid w:val="000737D0"/>
    <w:rsid w:val="00073850"/>
    <w:rsid w:val="00073E1B"/>
    <w:rsid w:val="000742BA"/>
    <w:rsid w:val="00074E15"/>
    <w:rsid w:val="000750CE"/>
    <w:rsid w:val="00075B90"/>
    <w:rsid w:val="00075DAB"/>
    <w:rsid w:val="00075EEE"/>
    <w:rsid w:val="0007634D"/>
    <w:rsid w:val="000766E4"/>
    <w:rsid w:val="00077AC0"/>
    <w:rsid w:val="00077BEB"/>
    <w:rsid w:val="00080069"/>
    <w:rsid w:val="00080E31"/>
    <w:rsid w:val="000813B2"/>
    <w:rsid w:val="000813CD"/>
    <w:rsid w:val="00081FFA"/>
    <w:rsid w:val="00082062"/>
    <w:rsid w:val="0008274A"/>
    <w:rsid w:val="00082C46"/>
    <w:rsid w:val="00082C62"/>
    <w:rsid w:val="0008367F"/>
    <w:rsid w:val="00083E66"/>
    <w:rsid w:val="00084C21"/>
    <w:rsid w:val="00084CB7"/>
    <w:rsid w:val="000855C3"/>
    <w:rsid w:val="0008588A"/>
    <w:rsid w:val="00085AF7"/>
    <w:rsid w:val="000875AD"/>
    <w:rsid w:val="00087D10"/>
    <w:rsid w:val="00090285"/>
    <w:rsid w:val="00090397"/>
    <w:rsid w:val="000906B2"/>
    <w:rsid w:val="00090869"/>
    <w:rsid w:val="00091501"/>
    <w:rsid w:val="00092EF3"/>
    <w:rsid w:val="000937D1"/>
    <w:rsid w:val="00093A4F"/>
    <w:rsid w:val="00093D66"/>
    <w:rsid w:val="000945B1"/>
    <w:rsid w:val="00095846"/>
    <w:rsid w:val="00095B23"/>
    <w:rsid w:val="00096070"/>
    <w:rsid w:val="00096559"/>
    <w:rsid w:val="00096E9C"/>
    <w:rsid w:val="00096FB7"/>
    <w:rsid w:val="00097543"/>
    <w:rsid w:val="0009762B"/>
    <w:rsid w:val="00097B04"/>
    <w:rsid w:val="000A0250"/>
    <w:rsid w:val="000A0291"/>
    <w:rsid w:val="000A03F1"/>
    <w:rsid w:val="000A04C7"/>
    <w:rsid w:val="000A0605"/>
    <w:rsid w:val="000A0D02"/>
    <w:rsid w:val="000A14ED"/>
    <w:rsid w:val="000A19C4"/>
    <w:rsid w:val="000A2079"/>
    <w:rsid w:val="000A2669"/>
    <w:rsid w:val="000A343E"/>
    <w:rsid w:val="000A3661"/>
    <w:rsid w:val="000A36BE"/>
    <w:rsid w:val="000A38D0"/>
    <w:rsid w:val="000A42B7"/>
    <w:rsid w:val="000A4466"/>
    <w:rsid w:val="000A455B"/>
    <w:rsid w:val="000A49FD"/>
    <w:rsid w:val="000A4F95"/>
    <w:rsid w:val="000A56E0"/>
    <w:rsid w:val="000A5B26"/>
    <w:rsid w:val="000A6D10"/>
    <w:rsid w:val="000A71E2"/>
    <w:rsid w:val="000A751F"/>
    <w:rsid w:val="000A7B20"/>
    <w:rsid w:val="000B0B3F"/>
    <w:rsid w:val="000B0FD5"/>
    <w:rsid w:val="000B1141"/>
    <w:rsid w:val="000B1756"/>
    <w:rsid w:val="000B175A"/>
    <w:rsid w:val="000B1AE4"/>
    <w:rsid w:val="000B2D5B"/>
    <w:rsid w:val="000B2D9D"/>
    <w:rsid w:val="000B2E2B"/>
    <w:rsid w:val="000B2EEE"/>
    <w:rsid w:val="000B30C7"/>
    <w:rsid w:val="000B35EF"/>
    <w:rsid w:val="000B3951"/>
    <w:rsid w:val="000B45F1"/>
    <w:rsid w:val="000B46F2"/>
    <w:rsid w:val="000B5254"/>
    <w:rsid w:val="000B5345"/>
    <w:rsid w:val="000B5577"/>
    <w:rsid w:val="000B56E4"/>
    <w:rsid w:val="000B5F79"/>
    <w:rsid w:val="000B631D"/>
    <w:rsid w:val="000B68DE"/>
    <w:rsid w:val="000B710A"/>
    <w:rsid w:val="000B76F8"/>
    <w:rsid w:val="000B7DE6"/>
    <w:rsid w:val="000B7EB2"/>
    <w:rsid w:val="000C01AA"/>
    <w:rsid w:val="000C05DF"/>
    <w:rsid w:val="000C0AFB"/>
    <w:rsid w:val="000C0E6E"/>
    <w:rsid w:val="000C2000"/>
    <w:rsid w:val="000C2652"/>
    <w:rsid w:val="000C2848"/>
    <w:rsid w:val="000C28C9"/>
    <w:rsid w:val="000C29C2"/>
    <w:rsid w:val="000C2B36"/>
    <w:rsid w:val="000C33B2"/>
    <w:rsid w:val="000C3921"/>
    <w:rsid w:val="000C3CA7"/>
    <w:rsid w:val="000C3CFA"/>
    <w:rsid w:val="000C3E8D"/>
    <w:rsid w:val="000C3EC2"/>
    <w:rsid w:val="000C4167"/>
    <w:rsid w:val="000C4600"/>
    <w:rsid w:val="000C484C"/>
    <w:rsid w:val="000C4A21"/>
    <w:rsid w:val="000C4C23"/>
    <w:rsid w:val="000C4DBF"/>
    <w:rsid w:val="000C4E17"/>
    <w:rsid w:val="000C55A6"/>
    <w:rsid w:val="000C5721"/>
    <w:rsid w:val="000C59A6"/>
    <w:rsid w:val="000C6079"/>
    <w:rsid w:val="000C6C40"/>
    <w:rsid w:val="000C6F5B"/>
    <w:rsid w:val="000C7289"/>
    <w:rsid w:val="000C73DF"/>
    <w:rsid w:val="000C776C"/>
    <w:rsid w:val="000C786B"/>
    <w:rsid w:val="000D00FF"/>
    <w:rsid w:val="000D059F"/>
    <w:rsid w:val="000D05B8"/>
    <w:rsid w:val="000D169D"/>
    <w:rsid w:val="000D19DF"/>
    <w:rsid w:val="000D1EC0"/>
    <w:rsid w:val="000D2A2A"/>
    <w:rsid w:val="000D2DA5"/>
    <w:rsid w:val="000D2E60"/>
    <w:rsid w:val="000D327A"/>
    <w:rsid w:val="000D357B"/>
    <w:rsid w:val="000D478D"/>
    <w:rsid w:val="000D4ACA"/>
    <w:rsid w:val="000D4E15"/>
    <w:rsid w:val="000D4EA4"/>
    <w:rsid w:val="000D4F04"/>
    <w:rsid w:val="000D4FB8"/>
    <w:rsid w:val="000D507E"/>
    <w:rsid w:val="000D53B1"/>
    <w:rsid w:val="000D5DA3"/>
    <w:rsid w:val="000D680C"/>
    <w:rsid w:val="000D6919"/>
    <w:rsid w:val="000D6AA4"/>
    <w:rsid w:val="000D6B67"/>
    <w:rsid w:val="000D6DA3"/>
    <w:rsid w:val="000D791F"/>
    <w:rsid w:val="000E0103"/>
    <w:rsid w:val="000E0938"/>
    <w:rsid w:val="000E1250"/>
    <w:rsid w:val="000E1570"/>
    <w:rsid w:val="000E1A98"/>
    <w:rsid w:val="000E1C71"/>
    <w:rsid w:val="000E2C6A"/>
    <w:rsid w:val="000E2C8B"/>
    <w:rsid w:val="000E3D38"/>
    <w:rsid w:val="000E455A"/>
    <w:rsid w:val="000E4702"/>
    <w:rsid w:val="000E4A76"/>
    <w:rsid w:val="000E56A5"/>
    <w:rsid w:val="000E56AE"/>
    <w:rsid w:val="000E5BBD"/>
    <w:rsid w:val="000E5CC5"/>
    <w:rsid w:val="000E646D"/>
    <w:rsid w:val="000E6631"/>
    <w:rsid w:val="000E6BE6"/>
    <w:rsid w:val="000E6DB1"/>
    <w:rsid w:val="000E7497"/>
    <w:rsid w:val="000E798F"/>
    <w:rsid w:val="000E7A7E"/>
    <w:rsid w:val="000E7FBC"/>
    <w:rsid w:val="000F0842"/>
    <w:rsid w:val="000F08A6"/>
    <w:rsid w:val="000F209A"/>
    <w:rsid w:val="000F2117"/>
    <w:rsid w:val="000F25BB"/>
    <w:rsid w:val="000F26D6"/>
    <w:rsid w:val="000F2A36"/>
    <w:rsid w:val="000F2CC2"/>
    <w:rsid w:val="000F3822"/>
    <w:rsid w:val="000F39CC"/>
    <w:rsid w:val="000F39F2"/>
    <w:rsid w:val="000F3E45"/>
    <w:rsid w:val="000F49C5"/>
    <w:rsid w:val="000F4A38"/>
    <w:rsid w:val="000F4ED9"/>
    <w:rsid w:val="000F52D0"/>
    <w:rsid w:val="000F5416"/>
    <w:rsid w:val="000F6279"/>
    <w:rsid w:val="000F6EAD"/>
    <w:rsid w:val="000F7AED"/>
    <w:rsid w:val="000F7E90"/>
    <w:rsid w:val="0010010B"/>
    <w:rsid w:val="00100498"/>
    <w:rsid w:val="001004E9"/>
    <w:rsid w:val="00100B9D"/>
    <w:rsid w:val="00100EB3"/>
    <w:rsid w:val="0010140A"/>
    <w:rsid w:val="001017EA"/>
    <w:rsid w:val="001017EF"/>
    <w:rsid w:val="00101827"/>
    <w:rsid w:val="00101A9C"/>
    <w:rsid w:val="00101FFB"/>
    <w:rsid w:val="00102054"/>
    <w:rsid w:val="001021DB"/>
    <w:rsid w:val="0010227D"/>
    <w:rsid w:val="00102487"/>
    <w:rsid w:val="00102727"/>
    <w:rsid w:val="001029AC"/>
    <w:rsid w:val="00102B29"/>
    <w:rsid w:val="00102F2F"/>
    <w:rsid w:val="001031D0"/>
    <w:rsid w:val="00103A5B"/>
    <w:rsid w:val="00103CF6"/>
    <w:rsid w:val="0010464C"/>
    <w:rsid w:val="00104AC7"/>
    <w:rsid w:val="00104CFA"/>
    <w:rsid w:val="00104FA9"/>
    <w:rsid w:val="00105A24"/>
    <w:rsid w:val="001061D9"/>
    <w:rsid w:val="00106A32"/>
    <w:rsid w:val="00106D37"/>
    <w:rsid w:val="001074C2"/>
    <w:rsid w:val="001076C1"/>
    <w:rsid w:val="0010790B"/>
    <w:rsid w:val="00107A6F"/>
    <w:rsid w:val="00107DCD"/>
    <w:rsid w:val="00110697"/>
    <w:rsid w:val="001116C9"/>
    <w:rsid w:val="00111AEB"/>
    <w:rsid w:val="00111DE0"/>
    <w:rsid w:val="00112A0B"/>
    <w:rsid w:val="00112B4F"/>
    <w:rsid w:val="00112BB8"/>
    <w:rsid w:val="00112D02"/>
    <w:rsid w:val="001131FC"/>
    <w:rsid w:val="00113523"/>
    <w:rsid w:val="00113DA8"/>
    <w:rsid w:val="00113F46"/>
    <w:rsid w:val="001148CB"/>
    <w:rsid w:val="00114941"/>
    <w:rsid w:val="0011497B"/>
    <w:rsid w:val="00115E53"/>
    <w:rsid w:val="0011696E"/>
    <w:rsid w:val="00116E99"/>
    <w:rsid w:val="00116F8C"/>
    <w:rsid w:val="00116FDD"/>
    <w:rsid w:val="00117458"/>
    <w:rsid w:val="00117C23"/>
    <w:rsid w:val="00117CF9"/>
    <w:rsid w:val="00117D93"/>
    <w:rsid w:val="00117DB8"/>
    <w:rsid w:val="001200E8"/>
    <w:rsid w:val="00121004"/>
    <w:rsid w:val="001213F4"/>
    <w:rsid w:val="00121453"/>
    <w:rsid w:val="00121762"/>
    <w:rsid w:val="00122697"/>
    <w:rsid w:val="00122CD4"/>
    <w:rsid w:val="00123526"/>
    <w:rsid w:val="001236B8"/>
    <w:rsid w:val="0012398A"/>
    <w:rsid w:val="00123BF2"/>
    <w:rsid w:val="00123DE3"/>
    <w:rsid w:val="001247CF"/>
    <w:rsid w:val="00124B4B"/>
    <w:rsid w:val="00124FB7"/>
    <w:rsid w:val="0012536B"/>
    <w:rsid w:val="001256A7"/>
    <w:rsid w:val="001258DA"/>
    <w:rsid w:val="001261CA"/>
    <w:rsid w:val="001263A2"/>
    <w:rsid w:val="0012673C"/>
    <w:rsid w:val="00126A4C"/>
    <w:rsid w:val="00126BBB"/>
    <w:rsid w:val="00126C2C"/>
    <w:rsid w:val="00126DC4"/>
    <w:rsid w:val="00126FEE"/>
    <w:rsid w:val="00127133"/>
    <w:rsid w:val="00127981"/>
    <w:rsid w:val="001306D5"/>
    <w:rsid w:val="0013072A"/>
    <w:rsid w:val="00130BCC"/>
    <w:rsid w:val="001316BE"/>
    <w:rsid w:val="00131729"/>
    <w:rsid w:val="00132296"/>
    <w:rsid w:val="001322CE"/>
    <w:rsid w:val="001323CC"/>
    <w:rsid w:val="00132459"/>
    <w:rsid w:val="00132ADE"/>
    <w:rsid w:val="00133D5B"/>
    <w:rsid w:val="00133F37"/>
    <w:rsid w:val="001347FB"/>
    <w:rsid w:val="001349C6"/>
    <w:rsid w:val="0013574D"/>
    <w:rsid w:val="00135811"/>
    <w:rsid w:val="0013633E"/>
    <w:rsid w:val="001367C0"/>
    <w:rsid w:val="00136B1B"/>
    <w:rsid w:val="00136FC5"/>
    <w:rsid w:val="00137488"/>
    <w:rsid w:val="00140BBE"/>
    <w:rsid w:val="001416B1"/>
    <w:rsid w:val="0014196B"/>
    <w:rsid w:val="00142199"/>
    <w:rsid w:val="00142280"/>
    <w:rsid w:val="001428BF"/>
    <w:rsid w:val="00142AEF"/>
    <w:rsid w:val="00142DDA"/>
    <w:rsid w:val="00142F30"/>
    <w:rsid w:val="00142F9B"/>
    <w:rsid w:val="001433E7"/>
    <w:rsid w:val="001439FF"/>
    <w:rsid w:val="00143A96"/>
    <w:rsid w:val="00143AEF"/>
    <w:rsid w:val="00143F6A"/>
    <w:rsid w:val="0014400A"/>
    <w:rsid w:val="00144241"/>
    <w:rsid w:val="00144E21"/>
    <w:rsid w:val="00144E43"/>
    <w:rsid w:val="00145207"/>
    <w:rsid w:val="00145549"/>
    <w:rsid w:val="00145A6F"/>
    <w:rsid w:val="00145D5B"/>
    <w:rsid w:val="00145FB7"/>
    <w:rsid w:val="00145FBE"/>
    <w:rsid w:val="00145FF9"/>
    <w:rsid w:val="001465A4"/>
    <w:rsid w:val="001465BC"/>
    <w:rsid w:val="00146B67"/>
    <w:rsid w:val="00146BD8"/>
    <w:rsid w:val="00146C61"/>
    <w:rsid w:val="001479C2"/>
    <w:rsid w:val="0015031C"/>
    <w:rsid w:val="00150350"/>
    <w:rsid w:val="00150699"/>
    <w:rsid w:val="00150AB6"/>
    <w:rsid w:val="00150CBD"/>
    <w:rsid w:val="00150EAA"/>
    <w:rsid w:val="0015170F"/>
    <w:rsid w:val="00152427"/>
    <w:rsid w:val="00152523"/>
    <w:rsid w:val="00152987"/>
    <w:rsid w:val="00153250"/>
    <w:rsid w:val="001536DF"/>
    <w:rsid w:val="00153ECC"/>
    <w:rsid w:val="00154357"/>
    <w:rsid w:val="0015480A"/>
    <w:rsid w:val="00154CE7"/>
    <w:rsid w:val="001554AD"/>
    <w:rsid w:val="001557CA"/>
    <w:rsid w:val="00155B34"/>
    <w:rsid w:val="00155BA5"/>
    <w:rsid w:val="00155BAB"/>
    <w:rsid w:val="00156525"/>
    <w:rsid w:val="001566C9"/>
    <w:rsid w:val="00156B71"/>
    <w:rsid w:val="00156DE6"/>
    <w:rsid w:val="00157285"/>
    <w:rsid w:val="0015729C"/>
    <w:rsid w:val="001572B5"/>
    <w:rsid w:val="0015733F"/>
    <w:rsid w:val="00157EDE"/>
    <w:rsid w:val="00160567"/>
    <w:rsid w:val="00160B89"/>
    <w:rsid w:val="00161490"/>
    <w:rsid w:val="00161FB6"/>
    <w:rsid w:val="00162C81"/>
    <w:rsid w:val="00163024"/>
    <w:rsid w:val="0016410A"/>
    <w:rsid w:val="00164610"/>
    <w:rsid w:val="001646FE"/>
    <w:rsid w:val="001648E1"/>
    <w:rsid w:val="00165050"/>
    <w:rsid w:val="001656BC"/>
    <w:rsid w:val="00165D4F"/>
    <w:rsid w:val="0016652A"/>
    <w:rsid w:val="001674E5"/>
    <w:rsid w:val="001677A2"/>
    <w:rsid w:val="00167E04"/>
    <w:rsid w:val="00170488"/>
    <w:rsid w:val="00170F6E"/>
    <w:rsid w:val="00171367"/>
    <w:rsid w:val="0017155A"/>
    <w:rsid w:val="001717A0"/>
    <w:rsid w:val="00171A8B"/>
    <w:rsid w:val="00171C53"/>
    <w:rsid w:val="00171C99"/>
    <w:rsid w:val="0017202A"/>
    <w:rsid w:val="00172B02"/>
    <w:rsid w:val="00172D29"/>
    <w:rsid w:val="0017344F"/>
    <w:rsid w:val="00173705"/>
    <w:rsid w:val="00173E16"/>
    <w:rsid w:val="00174F2B"/>
    <w:rsid w:val="001753AE"/>
    <w:rsid w:val="00175D5C"/>
    <w:rsid w:val="001761C5"/>
    <w:rsid w:val="001761DF"/>
    <w:rsid w:val="00176E11"/>
    <w:rsid w:val="00177401"/>
    <w:rsid w:val="00180168"/>
    <w:rsid w:val="00180384"/>
    <w:rsid w:val="00182008"/>
    <w:rsid w:val="00182055"/>
    <w:rsid w:val="0018205D"/>
    <w:rsid w:val="001820EF"/>
    <w:rsid w:val="001828F6"/>
    <w:rsid w:val="00182BE2"/>
    <w:rsid w:val="001838C5"/>
    <w:rsid w:val="00184161"/>
    <w:rsid w:val="001841C5"/>
    <w:rsid w:val="0018475F"/>
    <w:rsid w:val="00184920"/>
    <w:rsid w:val="0018497D"/>
    <w:rsid w:val="00184BD0"/>
    <w:rsid w:val="00184E93"/>
    <w:rsid w:val="00184ED6"/>
    <w:rsid w:val="00185076"/>
    <w:rsid w:val="0018546D"/>
    <w:rsid w:val="0018557E"/>
    <w:rsid w:val="001855F9"/>
    <w:rsid w:val="001856E9"/>
    <w:rsid w:val="00185827"/>
    <w:rsid w:val="0018592F"/>
    <w:rsid w:val="00185E9F"/>
    <w:rsid w:val="0018615B"/>
    <w:rsid w:val="001861AA"/>
    <w:rsid w:val="0018664D"/>
    <w:rsid w:val="00186D38"/>
    <w:rsid w:val="00186D69"/>
    <w:rsid w:val="0018768C"/>
    <w:rsid w:val="001877F6"/>
    <w:rsid w:val="00187F43"/>
    <w:rsid w:val="001908A1"/>
    <w:rsid w:val="00190DF0"/>
    <w:rsid w:val="00190FDD"/>
    <w:rsid w:val="001914D8"/>
    <w:rsid w:val="0019159E"/>
    <w:rsid w:val="00191663"/>
    <w:rsid w:val="0019188D"/>
    <w:rsid w:val="0019208A"/>
    <w:rsid w:val="0019251C"/>
    <w:rsid w:val="00192641"/>
    <w:rsid w:val="00192FD6"/>
    <w:rsid w:val="0019355E"/>
    <w:rsid w:val="0019462A"/>
    <w:rsid w:val="00194EE9"/>
    <w:rsid w:val="0019551F"/>
    <w:rsid w:val="001961D0"/>
    <w:rsid w:val="00196C45"/>
    <w:rsid w:val="00197A62"/>
    <w:rsid w:val="00197A7B"/>
    <w:rsid w:val="00197F12"/>
    <w:rsid w:val="001A0ACA"/>
    <w:rsid w:val="001A0D53"/>
    <w:rsid w:val="001A14F3"/>
    <w:rsid w:val="001A164C"/>
    <w:rsid w:val="001A20BC"/>
    <w:rsid w:val="001A30FB"/>
    <w:rsid w:val="001A3236"/>
    <w:rsid w:val="001A331E"/>
    <w:rsid w:val="001A345A"/>
    <w:rsid w:val="001A34EE"/>
    <w:rsid w:val="001A3755"/>
    <w:rsid w:val="001A37B4"/>
    <w:rsid w:val="001A3BB2"/>
    <w:rsid w:val="001A3D86"/>
    <w:rsid w:val="001A3D98"/>
    <w:rsid w:val="001A3F96"/>
    <w:rsid w:val="001A4F87"/>
    <w:rsid w:val="001A5564"/>
    <w:rsid w:val="001A57B4"/>
    <w:rsid w:val="001A687C"/>
    <w:rsid w:val="001A6E25"/>
    <w:rsid w:val="001A710B"/>
    <w:rsid w:val="001A71DB"/>
    <w:rsid w:val="001A7A4F"/>
    <w:rsid w:val="001A7B89"/>
    <w:rsid w:val="001A7D16"/>
    <w:rsid w:val="001B0219"/>
    <w:rsid w:val="001B13CA"/>
    <w:rsid w:val="001B1BE9"/>
    <w:rsid w:val="001B1F66"/>
    <w:rsid w:val="001B1FE7"/>
    <w:rsid w:val="001B250A"/>
    <w:rsid w:val="001B31E3"/>
    <w:rsid w:val="001B36AB"/>
    <w:rsid w:val="001B3A62"/>
    <w:rsid w:val="001B456B"/>
    <w:rsid w:val="001B4578"/>
    <w:rsid w:val="001B4609"/>
    <w:rsid w:val="001B497C"/>
    <w:rsid w:val="001B4E6B"/>
    <w:rsid w:val="001B585D"/>
    <w:rsid w:val="001B6039"/>
    <w:rsid w:val="001B6E42"/>
    <w:rsid w:val="001C0377"/>
    <w:rsid w:val="001C0389"/>
    <w:rsid w:val="001C0B8F"/>
    <w:rsid w:val="001C0DB5"/>
    <w:rsid w:val="001C21BF"/>
    <w:rsid w:val="001C22BD"/>
    <w:rsid w:val="001C22F6"/>
    <w:rsid w:val="001C2376"/>
    <w:rsid w:val="001C23DE"/>
    <w:rsid w:val="001C2A5F"/>
    <w:rsid w:val="001C342D"/>
    <w:rsid w:val="001C365E"/>
    <w:rsid w:val="001C3687"/>
    <w:rsid w:val="001C3EB9"/>
    <w:rsid w:val="001C430E"/>
    <w:rsid w:val="001C441F"/>
    <w:rsid w:val="001C460F"/>
    <w:rsid w:val="001C4B66"/>
    <w:rsid w:val="001C515D"/>
    <w:rsid w:val="001C5938"/>
    <w:rsid w:val="001C601C"/>
    <w:rsid w:val="001C6C23"/>
    <w:rsid w:val="001C6C30"/>
    <w:rsid w:val="001C74DF"/>
    <w:rsid w:val="001C7600"/>
    <w:rsid w:val="001C778A"/>
    <w:rsid w:val="001C7810"/>
    <w:rsid w:val="001D0131"/>
    <w:rsid w:val="001D05B7"/>
    <w:rsid w:val="001D0615"/>
    <w:rsid w:val="001D0F9B"/>
    <w:rsid w:val="001D10A6"/>
    <w:rsid w:val="001D1772"/>
    <w:rsid w:val="001D1AD6"/>
    <w:rsid w:val="001D1CB9"/>
    <w:rsid w:val="001D1CF6"/>
    <w:rsid w:val="001D20DD"/>
    <w:rsid w:val="001D21D1"/>
    <w:rsid w:val="001D2503"/>
    <w:rsid w:val="001D2533"/>
    <w:rsid w:val="001D26AB"/>
    <w:rsid w:val="001D273B"/>
    <w:rsid w:val="001D29A3"/>
    <w:rsid w:val="001D29C5"/>
    <w:rsid w:val="001D29C7"/>
    <w:rsid w:val="001D36DB"/>
    <w:rsid w:val="001D3710"/>
    <w:rsid w:val="001D3A4F"/>
    <w:rsid w:val="001D42A6"/>
    <w:rsid w:val="001D446E"/>
    <w:rsid w:val="001D479F"/>
    <w:rsid w:val="001D4950"/>
    <w:rsid w:val="001D4A4C"/>
    <w:rsid w:val="001D4FA9"/>
    <w:rsid w:val="001D4FFD"/>
    <w:rsid w:val="001D5762"/>
    <w:rsid w:val="001D5A05"/>
    <w:rsid w:val="001D5E2C"/>
    <w:rsid w:val="001D68F0"/>
    <w:rsid w:val="001D6EE1"/>
    <w:rsid w:val="001D7C6E"/>
    <w:rsid w:val="001E056F"/>
    <w:rsid w:val="001E0A58"/>
    <w:rsid w:val="001E1416"/>
    <w:rsid w:val="001E248C"/>
    <w:rsid w:val="001E24F8"/>
    <w:rsid w:val="001E24FE"/>
    <w:rsid w:val="001E28F7"/>
    <w:rsid w:val="001E2A8D"/>
    <w:rsid w:val="001E2E7C"/>
    <w:rsid w:val="001E3752"/>
    <w:rsid w:val="001E3BD6"/>
    <w:rsid w:val="001E3E6A"/>
    <w:rsid w:val="001E442A"/>
    <w:rsid w:val="001E44AD"/>
    <w:rsid w:val="001E4579"/>
    <w:rsid w:val="001E4B3B"/>
    <w:rsid w:val="001E4E24"/>
    <w:rsid w:val="001E4FB4"/>
    <w:rsid w:val="001E52CE"/>
    <w:rsid w:val="001E546F"/>
    <w:rsid w:val="001E57EF"/>
    <w:rsid w:val="001E5B82"/>
    <w:rsid w:val="001E670B"/>
    <w:rsid w:val="001E6767"/>
    <w:rsid w:val="001E6BD3"/>
    <w:rsid w:val="001E747C"/>
    <w:rsid w:val="001E7BC4"/>
    <w:rsid w:val="001E7BE6"/>
    <w:rsid w:val="001E7F01"/>
    <w:rsid w:val="001E7F65"/>
    <w:rsid w:val="001F06D2"/>
    <w:rsid w:val="001F0D0E"/>
    <w:rsid w:val="001F0E2A"/>
    <w:rsid w:val="001F0F0B"/>
    <w:rsid w:val="001F18F9"/>
    <w:rsid w:val="001F1990"/>
    <w:rsid w:val="001F1B3A"/>
    <w:rsid w:val="001F2DA1"/>
    <w:rsid w:val="001F30F3"/>
    <w:rsid w:val="001F4A14"/>
    <w:rsid w:val="001F4EAC"/>
    <w:rsid w:val="001F4EC6"/>
    <w:rsid w:val="001F4EE8"/>
    <w:rsid w:val="001F56E5"/>
    <w:rsid w:val="001F5E26"/>
    <w:rsid w:val="001F5EE1"/>
    <w:rsid w:val="001F6810"/>
    <w:rsid w:val="001F6A38"/>
    <w:rsid w:val="001F6E4B"/>
    <w:rsid w:val="001F6F08"/>
    <w:rsid w:val="001F6F83"/>
    <w:rsid w:val="001F7055"/>
    <w:rsid w:val="001F752A"/>
    <w:rsid w:val="001F7B54"/>
    <w:rsid w:val="001F7B81"/>
    <w:rsid w:val="001F7B8D"/>
    <w:rsid w:val="002001C5"/>
    <w:rsid w:val="00201362"/>
    <w:rsid w:val="00201440"/>
    <w:rsid w:val="0020157A"/>
    <w:rsid w:val="00202FEE"/>
    <w:rsid w:val="0020305D"/>
    <w:rsid w:val="0020324D"/>
    <w:rsid w:val="00203543"/>
    <w:rsid w:val="00203656"/>
    <w:rsid w:val="002038A2"/>
    <w:rsid w:val="00203CAB"/>
    <w:rsid w:val="00203FEF"/>
    <w:rsid w:val="00204DDD"/>
    <w:rsid w:val="002050D8"/>
    <w:rsid w:val="002068E3"/>
    <w:rsid w:val="00207547"/>
    <w:rsid w:val="002101BB"/>
    <w:rsid w:val="00210212"/>
    <w:rsid w:val="002104A3"/>
    <w:rsid w:val="00210D46"/>
    <w:rsid w:val="00210E84"/>
    <w:rsid w:val="00210F3A"/>
    <w:rsid w:val="002117EB"/>
    <w:rsid w:val="00211A90"/>
    <w:rsid w:val="00212054"/>
    <w:rsid w:val="002121EC"/>
    <w:rsid w:val="002128E8"/>
    <w:rsid w:val="00212B36"/>
    <w:rsid w:val="00212DBD"/>
    <w:rsid w:val="00212E57"/>
    <w:rsid w:val="00213348"/>
    <w:rsid w:val="00213A01"/>
    <w:rsid w:val="002145FD"/>
    <w:rsid w:val="00214A01"/>
    <w:rsid w:val="002154BB"/>
    <w:rsid w:val="00215C2F"/>
    <w:rsid w:val="00216ED8"/>
    <w:rsid w:val="00217040"/>
    <w:rsid w:val="0021738A"/>
    <w:rsid w:val="00217804"/>
    <w:rsid w:val="0021791F"/>
    <w:rsid w:val="002209CA"/>
    <w:rsid w:val="00220F9B"/>
    <w:rsid w:val="0022115C"/>
    <w:rsid w:val="0022122B"/>
    <w:rsid w:val="00221942"/>
    <w:rsid w:val="00222115"/>
    <w:rsid w:val="00222E83"/>
    <w:rsid w:val="00223AC7"/>
    <w:rsid w:val="00223D09"/>
    <w:rsid w:val="002244CB"/>
    <w:rsid w:val="00224DC1"/>
    <w:rsid w:val="00224DD1"/>
    <w:rsid w:val="00225239"/>
    <w:rsid w:val="00225447"/>
    <w:rsid w:val="002257C9"/>
    <w:rsid w:val="0022593D"/>
    <w:rsid w:val="00225953"/>
    <w:rsid w:val="00225EE0"/>
    <w:rsid w:val="00225EE9"/>
    <w:rsid w:val="002266AF"/>
    <w:rsid w:val="00226941"/>
    <w:rsid w:val="00226964"/>
    <w:rsid w:val="00226CBD"/>
    <w:rsid w:val="0022734B"/>
    <w:rsid w:val="00227351"/>
    <w:rsid w:val="0022755D"/>
    <w:rsid w:val="00230045"/>
    <w:rsid w:val="00230D2E"/>
    <w:rsid w:val="0023169D"/>
    <w:rsid w:val="00231A68"/>
    <w:rsid w:val="00231E24"/>
    <w:rsid w:val="00232740"/>
    <w:rsid w:val="002327FD"/>
    <w:rsid w:val="00232977"/>
    <w:rsid w:val="00232C0B"/>
    <w:rsid w:val="00232CBA"/>
    <w:rsid w:val="00233BE2"/>
    <w:rsid w:val="00234179"/>
    <w:rsid w:val="00235884"/>
    <w:rsid w:val="002359B8"/>
    <w:rsid w:val="00235CDB"/>
    <w:rsid w:val="00235D82"/>
    <w:rsid w:val="00236AFB"/>
    <w:rsid w:val="00236C96"/>
    <w:rsid w:val="00236D04"/>
    <w:rsid w:val="002372CF"/>
    <w:rsid w:val="0024046C"/>
    <w:rsid w:val="002405BA"/>
    <w:rsid w:val="00241502"/>
    <w:rsid w:val="002417DE"/>
    <w:rsid w:val="00241A13"/>
    <w:rsid w:val="00241D12"/>
    <w:rsid w:val="0024275D"/>
    <w:rsid w:val="0024295C"/>
    <w:rsid w:val="00242FB7"/>
    <w:rsid w:val="002434DE"/>
    <w:rsid w:val="00243B25"/>
    <w:rsid w:val="0024432F"/>
    <w:rsid w:val="00244629"/>
    <w:rsid w:val="00244B77"/>
    <w:rsid w:val="00244F38"/>
    <w:rsid w:val="002464EC"/>
    <w:rsid w:val="0024651C"/>
    <w:rsid w:val="002465CB"/>
    <w:rsid w:val="0024667A"/>
    <w:rsid w:val="002467E8"/>
    <w:rsid w:val="00246C72"/>
    <w:rsid w:val="002471EC"/>
    <w:rsid w:val="002472B8"/>
    <w:rsid w:val="00247391"/>
    <w:rsid w:val="002475E7"/>
    <w:rsid w:val="002476BC"/>
    <w:rsid w:val="00247F07"/>
    <w:rsid w:val="00250B4E"/>
    <w:rsid w:val="00251DBC"/>
    <w:rsid w:val="00251E22"/>
    <w:rsid w:val="00252168"/>
    <w:rsid w:val="0025222F"/>
    <w:rsid w:val="0025228E"/>
    <w:rsid w:val="002524CE"/>
    <w:rsid w:val="00252906"/>
    <w:rsid w:val="00252A9C"/>
    <w:rsid w:val="00252AC5"/>
    <w:rsid w:val="00252E78"/>
    <w:rsid w:val="0025310D"/>
    <w:rsid w:val="00253D78"/>
    <w:rsid w:val="002543F3"/>
    <w:rsid w:val="00254667"/>
    <w:rsid w:val="00254952"/>
    <w:rsid w:val="00255790"/>
    <w:rsid w:val="00255BED"/>
    <w:rsid w:val="0025630B"/>
    <w:rsid w:val="002563C8"/>
    <w:rsid w:val="00257E9F"/>
    <w:rsid w:val="00257FDF"/>
    <w:rsid w:val="002605F8"/>
    <w:rsid w:val="00260850"/>
    <w:rsid w:val="00261158"/>
    <w:rsid w:val="0026156E"/>
    <w:rsid w:val="00261A8A"/>
    <w:rsid w:val="00261D52"/>
    <w:rsid w:val="00261EC3"/>
    <w:rsid w:val="0026392F"/>
    <w:rsid w:val="00263D23"/>
    <w:rsid w:val="00264428"/>
    <w:rsid w:val="0026468F"/>
    <w:rsid w:val="00264C4E"/>
    <w:rsid w:val="00264F18"/>
    <w:rsid w:val="00264F57"/>
    <w:rsid w:val="00265183"/>
    <w:rsid w:val="002651C5"/>
    <w:rsid w:val="0026562D"/>
    <w:rsid w:val="002659AB"/>
    <w:rsid w:val="002659FC"/>
    <w:rsid w:val="00265A48"/>
    <w:rsid w:val="00266349"/>
    <w:rsid w:val="00266A5A"/>
    <w:rsid w:val="00267172"/>
    <w:rsid w:val="00267416"/>
    <w:rsid w:val="00267A04"/>
    <w:rsid w:val="00267B34"/>
    <w:rsid w:val="00267EDB"/>
    <w:rsid w:val="00267EE7"/>
    <w:rsid w:val="0027016D"/>
    <w:rsid w:val="00270392"/>
    <w:rsid w:val="002707DB"/>
    <w:rsid w:val="00270CCF"/>
    <w:rsid w:val="00270FD3"/>
    <w:rsid w:val="0027137C"/>
    <w:rsid w:val="00271BA8"/>
    <w:rsid w:val="00271DD1"/>
    <w:rsid w:val="0027204F"/>
    <w:rsid w:val="00272435"/>
    <w:rsid w:val="002724D1"/>
    <w:rsid w:val="00272946"/>
    <w:rsid w:val="00272ED1"/>
    <w:rsid w:val="0027303C"/>
    <w:rsid w:val="0027338B"/>
    <w:rsid w:val="002737EE"/>
    <w:rsid w:val="00274218"/>
    <w:rsid w:val="00274AD4"/>
    <w:rsid w:val="0027525B"/>
    <w:rsid w:val="00275275"/>
    <w:rsid w:val="002752BF"/>
    <w:rsid w:val="00275E41"/>
    <w:rsid w:val="00275F7B"/>
    <w:rsid w:val="0027670D"/>
    <w:rsid w:val="00276E44"/>
    <w:rsid w:val="002771D9"/>
    <w:rsid w:val="002779AE"/>
    <w:rsid w:val="00277C6F"/>
    <w:rsid w:val="00280CC7"/>
    <w:rsid w:val="002810DB"/>
    <w:rsid w:val="00281F7C"/>
    <w:rsid w:val="00282E34"/>
    <w:rsid w:val="002831F1"/>
    <w:rsid w:val="002834E7"/>
    <w:rsid w:val="00283DC2"/>
    <w:rsid w:val="002845D0"/>
    <w:rsid w:val="002845F6"/>
    <w:rsid w:val="002849EB"/>
    <w:rsid w:val="00284B6B"/>
    <w:rsid w:val="00284C10"/>
    <w:rsid w:val="00284D17"/>
    <w:rsid w:val="00284DB9"/>
    <w:rsid w:val="00285144"/>
    <w:rsid w:val="00285292"/>
    <w:rsid w:val="00285614"/>
    <w:rsid w:val="002857AF"/>
    <w:rsid w:val="00285901"/>
    <w:rsid w:val="00285A71"/>
    <w:rsid w:val="0028653A"/>
    <w:rsid w:val="0028662F"/>
    <w:rsid w:val="0028754A"/>
    <w:rsid w:val="00287757"/>
    <w:rsid w:val="00287DA3"/>
    <w:rsid w:val="00290220"/>
    <w:rsid w:val="00290861"/>
    <w:rsid w:val="00290D5B"/>
    <w:rsid w:val="00291048"/>
    <w:rsid w:val="002915C3"/>
    <w:rsid w:val="00291A50"/>
    <w:rsid w:val="00291C30"/>
    <w:rsid w:val="00292A4C"/>
    <w:rsid w:val="00292B20"/>
    <w:rsid w:val="00293EED"/>
    <w:rsid w:val="002940AB"/>
    <w:rsid w:val="002944F8"/>
    <w:rsid w:val="00294618"/>
    <w:rsid w:val="0029498E"/>
    <w:rsid w:val="00294BB6"/>
    <w:rsid w:val="00295298"/>
    <w:rsid w:val="002960D6"/>
    <w:rsid w:val="00296985"/>
    <w:rsid w:val="00296F29"/>
    <w:rsid w:val="00296F7C"/>
    <w:rsid w:val="002974D3"/>
    <w:rsid w:val="002974F7"/>
    <w:rsid w:val="002976C8"/>
    <w:rsid w:val="00297AB2"/>
    <w:rsid w:val="00297CB6"/>
    <w:rsid w:val="002A0027"/>
    <w:rsid w:val="002A005F"/>
    <w:rsid w:val="002A0316"/>
    <w:rsid w:val="002A0A7E"/>
    <w:rsid w:val="002A0B34"/>
    <w:rsid w:val="002A0C5C"/>
    <w:rsid w:val="002A1D5A"/>
    <w:rsid w:val="002A21E7"/>
    <w:rsid w:val="002A296C"/>
    <w:rsid w:val="002A2B3E"/>
    <w:rsid w:val="002A2EEC"/>
    <w:rsid w:val="002A2FAF"/>
    <w:rsid w:val="002A3656"/>
    <w:rsid w:val="002A39DE"/>
    <w:rsid w:val="002A508F"/>
    <w:rsid w:val="002A50CC"/>
    <w:rsid w:val="002A5951"/>
    <w:rsid w:val="002A5B06"/>
    <w:rsid w:val="002A5DB7"/>
    <w:rsid w:val="002A605E"/>
    <w:rsid w:val="002A638F"/>
    <w:rsid w:val="002A65A0"/>
    <w:rsid w:val="002A6B67"/>
    <w:rsid w:val="002A6EAE"/>
    <w:rsid w:val="002A6F8E"/>
    <w:rsid w:val="002A769B"/>
    <w:rsid w:val="002A7E11"/>
    <w:rsid w:val="002B06DF"/>
    <w:rsid w:val="002B0956"/>
    <w:rsid w:val="002B12F6"/>
    <w:rsid w:val="002B1655"/>
    <w:rsid w:val="002B259B"/>
    <w:rsid w:val="002B288F"/>
    <w:rsid w:val="002B28CC"/>
    <w:rsid w:val="002B28E7"/>
    <w:rsid w:val="002B2B6C"/>
    <w:rsid w:val="002B2F06"/>
    <w:rsid w:val="002B30D4"/>
    <w:rsid w:val="002B39DA"/>
    <w:rsid w:val="002B3F33"/>
    <w:rsid w:val="002B462A"/>
    <w:rsid w:val="002B46FE"/>
    <w:rsid w:val="002B49E7"/>
    <w:rsid w:val="002B4BF3"/>
    <w:rsid w:val="002B63EA"/>
    <w:rsid w:val="002B714A"/>
    <w:rsid w:val="002B7511"/>
    <w:rsid w:val="002B7E51"/>
    <w:rsid w:val="002B7EB3"/>
    <w:rsid w:val="002C010A"/>
    <w:rsid w:val="002C03A4"/>
    <w:rsid w:val="002C081E"/>
    <w:rsid w:val="002C0944"/>
    <w:rsid w:val="002C1001"/>
    <w:rsid w:val="002C1480"/>
    <w:rsid w:val="002C17EE"/>
    <w:rsid w:val="002C1B98"/>
    <w:rsid w:val="002C1EA1"/>
    <w:rsid w:val="002C219D"/>
    <w:rsid w:val="002C25DB"/>
    <w:rsid w:val="002C2A47"/>
    <w:rsid w:val="002C2C03"/>
    <w:rsid w:val="002C2E25"/>
    <w:rsid w:val="002C2EB8"/>
    <w:rsid w:val="002C2FEC"/>
    <w:rsid w:val="002C3DF0"/>
    <w:rsid w:val="002C4865"/>
    <w:rsid w:val="002C4EA3"/>
    <w:rsid w:val="002C50F4"/>
    <w:rsid w:val="002C5993"/>
    <w:rsid w:val="002C5BB0"/>
    <w:rsid w:val="002C5D60"/>
    <w:rsid w:val="002C663F"/>
    <w:rsid w:val="002C67E8"/>
    <w:rsid w:val="002C77EF"/>
    <w:rsid w:val="002D0DFB"/>
    <w:rsid w:val="002D0F0A"/>
    <w:rsid w:val="002D0FF7"/>
    <w:rsid w:val="002D112E"/>
    <w:rsid w:val="002D14E6"/>
    <w:rsid w:val="002D1DCB"/>
    <w:rsid w:val="002D1F72"/>
    <w:rsid w:val="002D2175"/>
    <w:rsid w:val="002D2478"/>
    <w:rsid w:val="002D3185"/>
    <w:rsid w:val="002D4409"/>
    <w:rsid w:val="002D4BDC"/>
    <w:rsid w:val="002D4D08"/>
    <w:rsid w:val="002D5007"/>
    <w:rsid w:val="002D5331"/>
    <w:rsid w:val="002D54C4"/>
    <w:rsid w:val="002D5C67"/>
    <w:rsid w:val="002D62BF"/>
    <w:rsid w:val="002D68E4"/>
    <w:rsid w:val="002D7657"/>
    <w:rsid w:val="002D777A"/>
    <w:rsid w:val="002D790F"/>
    <w:rsid w:val="002E0E86"/>
    <w:rsid w:val="002E123F"/>
    <w:rsid w:val="002E1715"/>
    <w:rsid w:val="002E1A0C"/>
    <w:rsid w:val="002E2F69"/>
    <w:rsid w:val="002E3666"/>
    <w:rsid w:val="002E3A9C"/>
    <w:rsid w:val="002E3BF4"/>
    <w:rsid w:val="002E406C"/>
    <w:rsid w:val="002E417C"/>
    <w:rsid w:val="002E4685"/>
    <w:rsid w:val="002E4895"/>
    <w:rsid w:val="002E4AB4"/>
    <w:rsid w:val="002E4C45"/>
    <w:rsid w:val="002E6087"/>
    <w:rsid w:val="002E7D61"/>
    <w:rsid w:val="002E7EF7"/>
    <w:rsid w:val="002F02B2"/>
    <w:rsid w:val="002F0494"/>
    <w:rsid w:val="002F10FB"/>
    <w:rsid w:val="002F1E0D"/>
    <w:rsid w:val="002F2B2B"/>
    <w:rsid w:val="002F2EAB"/>
    <w:rsid w:val="002F352E"/>
    <w:rsid w:val="002F35AA"/>
    <w:rsid w:val="002F367A"/>
    <w:rsid w:val="002F37AA"/>
    <w:rsid w:val="002F39C5"/>
    <w:rsid w:val="002F3C57"/>
    <w:rsid w:val="002F3DD2"/>
    <w:rsid w:val="002F414B"/>
    <w:rsid w:val="002F470F"/>
    <w:rsid w:val="002F5616"/>
    <w:rsid w:val="002F57F9"/>
    <w:rsid w:val="002F5BA5"/>
    <w:rsid w:val="002F5C4B"/>
    <w:rsid w:val="002F61CA"/>
    <w:rsid w:val="002F620E"/>
    <w:rsid w:val="002F62A9"/>
    <w:rsid w:val="002F6309"/>
    <w:rsid w:val="002F6563"/>
    <w:rsid w:val="002F66EE"/>
    <w:rsid w:val="002F6B4E"/>
    <w:rsid w:val="002F7072"/>
    <w:rsid w:val="002F79C8"/>
    <w:rsid w:val="002F7D45"/>
    <w:rsid w:val="00300535"/>
    <w:rsid w:val="003006AC"/>
    <w:rsid w:val="003006F3"/>
    <w:rsid w:val="00300AFB"/>
    <w:rsid w:val="00300D62"/>
    <w:rsid w:val="00301350"/>
    <w:rsid w:val="003018E3"/>
    <w:rsid w:val="003019C9"/>
    <w:rsid w:val="00301CAB"/>
    <w:rsid w:val="00302377"/>
    <w:rsid w:val="00302798"/>
    <w:rsid w:val="003029F5"/>
    <w:rsid w:val="00302A7E"/>
    <w:rsid w:val="00302AD1"/>
    <w:rsid w:val="00302C01"/>
    <w:rsid w:val="00302EEB"/>
    <w:rsid w:val="00303131"/>
    <w:rsid w:val="003033A2"/>
    <w:rsid w:val="00303826"/>
    <w:rsid w:val="0030389F"/>
    <w:rsid w:val="00303BDF"/>
    <w:rsid w:val="00303EE6"/>
    <w:rsid w:val="00303FF9"/>
    <w:rsid w:val="00304188"/>
    <w:rsid w:val="0030432C"/>
    <w:rsid w:val="00304793"/>
    <w:rsid w:val="00304D25"/>
    <w:rsid w:val="00305F5A"/>
    <w:rsid w:val="003065C0"/>
    <w:rsid w:val="00306E6D"/>
    <w:rsid w:val="00306F01"/>
    <w:rsid w:val="003077B4"/>
    <w:rsid w:val="00307DFF"/>
    <w:rsid w:val="00307EAD"/>
    <w:rsid w:val="00307EB9"/>
    <w:rsid w:val="00310003"/>
    <w:rsid w:val="003106A5"/>
    <w:rsid w:val="00310C8E"/>
    <w:rsid w:val="00310E75"/>
    <w:rsid w:val="00311EBD"/>
    <w:rsid w:val="003125DC"/>
    <w:rsid w:val="00312773"/>
    <w:rsid w:val="003131C1"/>
    <w:rsid w:val="00313A65"/>
    <w:rsid w:val="00313D1F"/>
    <w:rsid w:val="00314B68"/>
    <w:rsid w:val="00314C96"/>
    <w:rsid w:val="00316068"/>
    <w:rsid w:val="003163B2"/>
    <w:rsid w:val="00316B68"/>
    <w:rsid w:val="00316C1A"/>
    <w:rsid w:val="00316E1C"/>
    <w:rsid w:val="00316E6C"/>
    <w:rsid w:val="00317539"/>
    <w:rsid w:val="00317820"/>
    <w:rsid w:val="00317C78"/>
    <w:rsid w:val="00320112"/>
    <w:rsid w:val="003206BA"/>
    <w:rsid w:val="00320792"/>
    <w:rsid w:val="00320A94"/>
    <w:rsid w:val="00320CF4"/>
    <w:rsid w:val="00321122"/>
    <w:rsid w:val="0032125E"/>
    <w:rsid w:val="00321894"/>
    <w:rsid w:val="00321AFE"/>
    <w:rsid w:val="00322527"/>
    <w:rsid w:val="003225E6"/>
    <w:rsid w:val="0032267C"/>
    <w:rsid w:val="003228F4"/>
    <w:rsid w:val="00322985"/>
    <w:rsid w:val="00322D34"/>
    <w:rsid w:val="00322D83"/>
    <w:rsid w:val="0032311A"/>
    <w:rsid w:val="003233A7"/>
    <w:rsid w:val="003237C6"/>
    <w:rsid w:val="00323B0F"/>
    <w:rsid w:val="003240BF"/>
    <w:rsid w:val="003243D2"/>
    <w:rsid w:val="00325030"/>
    <w:rsid w:val="003250E3"/>
    <w:rsid w:val="00325AED"/>
    <w:rsid w:val="00326656"/>
    <w:rsid w:val="00326D06"/>
    <w:rsid w:val="00327061"/>
    <w:rsid w:val="003274B2"/>
    <w:rsid w:val="00327CD2"/>
    <w:rsid w:val="00327EBF"/>
    <w:rsid w:val="00330690"/>
    <w:rsid w:val="00330A7D"/>
    <w:rsid w:val="00331C99"/>
    <w:rsid w:val="003334F2"/>
    <w:rsid w:val="00334316"/>
    <w:rsid w:val="00334651"/>
    <w:rsid w:val="00334B58"/>
    <w:rsid w:val="00334E16"/>
    <w:rsid w:val="00336332"/>
    <w:rsid w:val="0033655A"/>
    <w:rsid w:val="00337152"/>
    <w:rsid w:val="0033749F"/>
    <w:rsid w:val="00340E83"/>
    <w:rsid w:val="00341726"/>
    <w:rsid w:val="00341AFE"/>
    <w:rsid w:val="00342271"/>
    <w:rsid w:val="003427AF"/>
    <w:rsid w:val="00343CB8"/>
    <w:rsid w:val="00343F83"/>
    <w:rsid w:val="003441C2"/>
    <w:rsid w:val="00344665"/>
    <w:rsid w:val="00344717"/>
    <w:rsid w:val="00344ED3"/>
    <w:rsid w:val="003454E6"/>
    <w:rsid w:val="0034557B"/>
    <w:rsid w:val="00345752"/>
    <w:rsid w:val="00345872"/>
    <w:rsid w:val="00345E99"/>
    <w:rsid w:val="00346279"/>
    <w:rsid w:val="00346825"/>
    <w:rsid w:val="00346CB7"/>
    <w:rsid w:val="00346FE1"/>
    <w:rsid w:val="00347058"/>
    <w:rsid w:val="0034785A"/>
    <w:rsid w:val="00347F16"/>
    <w:rsid w:val="0035014D"/>
    <w:rsid w:val="00350441"/>
    <w:rsid w:val="003504EE"/>
    <w:rsid w:val="00350585"/>
    <w:rsid w:val="00350CAE"/>
    <w:rsid w:val="00350D56"/>
    <w:rsid w:val="00350E1A"/>
    <w:rsid w:val="00350F51"/>
    <w:rsid w:val="00351135"/>
    <w:rsid w:val="0035129B"/>
    <w:rsid w:val="003513E9"/>
    <w:rsid w:val="003513FD"/>
    <w:rsid w:val="00352022"/>
    <w:rsid w:val="003522EC"/>
    <w:rsid w:val="00352924"/>
    <w:rsid w:val="00352BCB"/>
    <w:rsid w:val="00352C65"/>
    <w:rsid w:val="00353CA0"/>
    <w:rsid w:val="00353F87"/>
    <w:rsid w:val="00353FAD"/>
    <w:rsid w:val="00354032"/>
    <w:rsid w:val="00354858"/>
    <w:rsid w:val="003549F3"/>
    <w:rsid w:val="00354A22"/>
    <w:rsid w:val="00354AE9"/>
    <w:rsid w:val="00355478"/>
    <w:rsid w:val="00355D53"/>
    <w:rsid w:val="00356303"/>
    <w:rsid w:val="003566DA"/>
    <w:rsid w:val="003567FC"/>
    <w:rsid w:val="00356A27"/>
    <w:rsid w:val="00356A63"/>
    <w:rsid w:val="00356EDD"/>
    <w:rsid w:val="00357CD0"/>
    <w:rsid w:val="0036017F"/>
    <w:rsid w:val="00360DE8"/>
    <w:rsid w:val="0036124F"/>
    <w:rsid w:val="0036145B"/>
    <w:rsid w:val="00361802"/>
    <w:rsid w:val="00361814"/>
    <w:rsid w:val="003623FA"/>
    <w:rsid w:val="00362655"/>
    <w:rsid w:val="003626DA"/>
    <w:rsid w:val="00362958"/>
    <w:rsid w:val="00362AFB"/>
    <w:rsid w:val="0036312A"/>
    <w:rsid w:val="00363674"/>
    <w:rsid w:val="003636A2"/>
    <w:rsid w:val="00363D0F"/>
    <w:rsid w:val="00364183"/>
    <w:rsid w:val="00364907"/>
    <w:rsid w:val="003651C9"/>
    <w:rsid w:val="003654E7"/>
    <w:rsid w:val="0036575E"/>
    <w:rsid w:val="00365B7D"/>
    <w:rsid w:val="0036643D"/>
    <w:rsid w:val="0036698B"/>
    <w:rsid w:val="00366B9C"/>
    <w:rsid w:val="00366C0E"/>
    <w:rsid w:val="00366C1A"/>
    <w:rsid w:val="00367139"/>
    <w:rsid w:val="00370940"/>
    <w:rsid w:val="003709AD"/>
    <w:rsid w:val="00370FB4"/>
    <w:rsid w:val="0037117B"/>
    <w:rsid w:val="0037174D"/>
    <w:rsid w:val="0037203F"/>
    <w:rsid w:val="003724CB"/>
    <w:rsid w:val="00372811"/>
    <w:rsid w:val="00372987"/>
    <w:rsid w:val="003729BD"/>
    <w:rsid w:val="00372A0B"/>
    <w:rsid w:val="00372BEE"/>
    <w:rsid w:val="00372CF2"/>
    <w:rsid w:val="0037323C"/>
    <w:rsid w:val="003734A8"/>
    <w:rsid w:val="003742C6"/>
    <w:rsid w:val="003746D8"/>
    <w:rsid w:val="0037522B"/>
    <w:rsid w:val="00375B28"/>
    <w:rsid w:val="00375E07"/>
    <w:rsid w:val="00375E3D"/>
    <w:rsid w:val="003760DC"/>
    <w:rsid w:val="00376E40"/>
    <w:rsid w:val="00376F16"/>
    <w:rsid w:val="003777CA"/>
    <w:rsid w:val="00377DEB"/>
    <w:rsid w:val="00377EF2"/>
    <w:rsid w:val="00380798"/>
    <w:rsid w:val="0038183C"/>
    <w:rsid w:val="00381C7E"/>
    <w:rsid w:val="00381FEE"/>
    <w:rsid w:val="003829A9"/>
    <w:rsid w:val="00382BB4"/>
    <w:rsid w:val="00382BFD"/>
    <w:rsid w:val="003831FB"/>
    <w:rsid w:val="00383A87"/>
    <w:rsid w:val="00383AB5"/>
    <w:rsid w:val="0038463A"/>
    <w:rsid w:val="0038467F"/>
    <w:rsid w:val="003847E1"/>
    <w:rsid w:val="0038481B"/>
    <w:rsid w:val="003856C7"/>
    <w:rsid w:val="003858DE"/>
    <w:rsid w:val="00386643"/>
    <w:rsid w:val="00386A72"/>
    <w:rsid w:val="00386CD3"/>
    <w:rsid w:val="00386DC5"/>
    <w:rsid w:val="00386EA0"/>
    <w:rsid w:val="0038701B"/>
    <w:rsid w:val="00387A63"/>
    <w:rsid w:val="00387B9E"/>
    <w:rsid w:val="00390363"/>
    <w:rsid w:val="0039044F"/>
    <w:rsid w:val="0039061F"/>
    <w:rsid w:val="003906A8"/>
    <w:rsid w:val="00390DF0"/>
    <w:rsid w:val="00391063"/>
    <w:rsid w:val="00391B58"/>
    <w:rsid w:val="00392340"/>
    <w:rsid w:val="003924AB"/>
    <w:rsid w:val="00392CD6"/>
    <w:rsid w:val="003933EA"/>
    <w:rsid w:val="00393767"/>
    <w:rsid w:val="003939A4"/>
    <w:rsid w:val="003939D2"/>
    <w:rsid w:val="00393F7B"/>
    <w:rsid w:val="003940F8"/>
    <w:rsid w:val="0039484D"/>
    <w:rsid w:val="00394905"/>
    <w:rsid w:val="0039569A"/>
    <w:rsid w:val="00395EB5"/>
    <w:rsid w:val="003964A4"/>
    <w:rsid w:val="0039663B"/>
    <w:rsid w:val="003967F9"/>
    <w:rsid w:val="00396993"/>
    <w:rsid w:val="00396C44"/>
    <w:rsid w:val="00396D00"/>
    <w:rsid w:val="0039741B"/>
    <w:rsid w:val="00397F4C"/>
    <w:rsid w:val="003A05D9"/>
    <w:rsid w:val="003A07AB"/>
    <w:rsid w:val="003A1397"/>
    <w:rsid w:val="003A15BF"/>
    <w:rsid w:val="003A1EB9"/>
    <w:rsid w:val="003A2200"/>
    <w:rsid w:val="003A26AA"/>
    <w:rsid w:val="003A2AC5"/>
    <w:rsid w:val="003A3497"/>
    <w:rsid w:val="003A40F0"/>
    <w:rsid w:val="003A483C"/>
    <w:rsid w:val="003A5A1E"/>
    <w:rsid w:val="003A61AC"/>
    <w:rsid w:val="003A6B80"/>
    <w:rsid w:val="003B0108"/>
    <w:rsid w:val="003B020B"/>
    <w:rsid w:val="003B0317"/>
    <w:rsid w:val="003B04E9"/>
    <w:rsid w:val="003B0E81"/>
    <w:rsid w:val="003B20AA"/>
    <w:rsid w:val="003B2289"/>
    <w:rsid w:val="003B2D31"/>
    <w:rsid w:val="003B3099"/>
    <w:rsid w:val="003B34A0"/>
    <w:rsid w:val="003B3626"/>
    <w:rsid w:val="003B3652"/>
    <w:rsid w:val="003B3726"/>
    <w:rsid w:val="003B379C"/>
    <w:rsid w:val="003B39F6"/>
    <w:rsid w:val="003B3B7D"/>
    <w:rsid w:val="003B4061"/>
    <w:rsid w:val="003B4278"/>
    <w:rsid w:val="003B44E9"/>
    <w:rsid w:val="003B4798"/>
    <w:rsid w:val="003B4A9A"/>
    <w:rsid w:val="003B4D00"/>
    <w:rsid w:val="003B4E2F"/>
    <w:rsid w:val="003B5458"/>
    <w:rsid w:val="003B54F5"/>
    <w:rsid w:val="003B5508"/>
    <w:rsid w:val="003B5B10"/>
    <w:rsid w:val="003B5D0F"/>
    <w:rsid w:val="003B6172"/>
    <w:rsid w:val="003B6D68"/>
    <w:rsid w:val="003B77BC"/>
    <w:rsid w:val="003B78DB"/>
    <w:rsid w:val="003C00C3"/>
    <w:rsid w:val="003C0D14"/>
    <w:rsid w:val="003C0FBE"/>
    <w:rsid w:val="003C1D82"/>
    <w:rsid w:val="003C1E26"/>
    <w:rsid w:val="003C2C08"/>
    <w:rsid w:val="003C3308"/>
    <w:rsid w:val="003C3568"/>
    <w:rsid w:val="003C35F3"/>
    <w:rsid w:val="003C3AC8"/>
    <w:rsid w:val="003C45CA"/>
    <w:rsid w:val="003C50C9"/>
    <w:rsid w:val="003C5386"/>
    <w:rsid w:val="003C5D30"/>
    <w:rsid w:val="003C5F2C"/>
    <w:rsid w:val="003C5F3E"/>
    <w:rsid w:val="003C63BB"/>
    <w:rsid w:val="003C64FA"/>
    <w:rsid w:val="003C65F1"/>
    <w:rsid w:val="003C670F"/>
    <w:rsid w:val="003C6715"/>
    <w:rsid w:val="003C6A71"/>
    <w:rsid w:val="003C6B2F"/>
    <w:rsid w:val="003C6FCF"/>
    <w:rsid w:val="003C70BA"/>
    <w:rsid w:val="003C741F"/>
    <w:rsid w:val="003C762D"/>
    <w:rsid w:val="003C780E"/>
    <w:rsid w:val="003C7A03"/>
    <w:rsid w:val="003C7BCC"/>
    <w:rsid w:val="003C7D68"/>
    <w:rsid w:val="003D00E8"/>
    <w:rsid w:val="003D036C"/>
    <w:rsid w:val="003D05F0"/>
    <w:rsid w:val="003D0EC8"/>
    <w:rsid w:val="003D19BD"/>
    <w:rsid w:val="003D1D83"/>
    <w:rsid w:val="003D2CD3"/>
    <w:rsid w:val="003D3352"/>
    <w:rsid w:val="003D3792"/>
    <w:rsid w:val="003D485D"/>
    <w:rsid w:val="003D4B53"/>
    <w:rsid w:val="003D4CDC"/>
    <w:rsid w:val="003D4FCD"/>
    <w:rsid w:val="003D5084"/>
    <w:rsid w:val="003D50E9"/>
    <w:rsid w:val="003D518B"/>
    <w:rsid w:val="003D5306"/>
    <w:rsid w:val="003D54DE"/>
    <w:rsid w:val="003D56AC"/>
    <w:rsid w:val="003D5781"/>
    <w:rsid w:val="003D57B3"/>
    <w:rsid w:val="003D5A59"/>
    <w:rsid w:val="003D5AFC"/>
    <w:rsid w:val="003D5CAF"/>
    <w:rsid w:val="003D5D45"/>
    <w:rsid w:val="003D6292"/>
    <w:rsid w:val="003D6484"/>
    <w:rsid w:val="003D660A"/>
    <w:rsid w:val="003D69B3"/>
    <w:rsid w:val="003D6D0A"/>
    <w:rsid w:val="003D6D7B"/>
    <w:rsid w:val="003D6FA6"/>
    <w:rsid w:val="003E0652"/>
    <w:rsid w:val="003E07F0"/>
    <w:rsid w:val="003E0998"/>
    <w:rsid w:val="003E0DB5"/>
    <w:rsid w:val="003E0E54"/>
    <w:rsid w:val="003E1360"/>
    <w:rsid w:val="003E182C"/>
    <w:rsid w:val="003E1A71"/>
    <w:rsid w:val="003E1EE4"/>
    <w:rsid w:val="003E21A3"/>
    <w:rsid w:val="003E27F7"/>
    <w:rsid w:val="003E296A"/>
    <w:rsid w:val="003E2EBE"/>
    <w:rsid w:val="003E3185"/>
    <w:rsid w:val="003E3E5E"/>
    <w:rsid w:val="003E3F2E"/>
    <w:rsid w:val="003E4309"/>
    <w:rsid w:val="003E478D"/>
    <w:rsid w:val="003E489B"/>
    <w:rsid w:val="003E48CC"/>
    <w:rsid w:val="003E4D24"/>
    <w:rsid w:val="003E4EBA"/>
    <w:rsid w:val="003E5329"/>
    <w:rsid w:val="003E55C5"/>
    <w:rsid w:val="003E5D69"/>
    <w:rsid w:val="003E6064"/>
    <w:rsid w:val="003E6298"/>
    <w:rsid w:val="003E6871"/>
    <w:rsid w:val="003E6A27"/>
    <w:rsid w:val="003E72EA"/>
    <w:rsid w:val="003E7C0A"/>
    <w:rsid w:val="003E7CEB"/>
    <w:rsid w:val="003F0D31"/>
    <w:rsid w:val="003F0F03"/>
    <w:rsid w:val="003F0F17"/>
    <w:rsid w:val="003F0F91"/>
    <w:rsid w:val="003F0FE9"/>
    <w:rsid w:val="003F16C0"/>
    <w:rsid w:val="003F196E"/>
    <w:rsid w:val="003F1DFB"/>
    <w:rsid w:val="003F1EF2"/>
    <w:rsid w:val="003F28AA"/>
    <w:rsid w:val="003F2C0E"/>
    <w:rsid w:val="003F2DD5"/>
    <w:rsid w:val="003F2EC4"/>
    <w:rsid w:val="003F4041"/>
    <w:rsid w:val="003F5182"/>
    <w:rsid w:val="003F5958"/>
    <w:rsid w:val="003F5B2B"/>
    <w:rsid w:val="003F5E59"/>
    <w:rsid w:val="003F624B"/>
    <w:rsid w:val="003F6503"/>
    <w:rsid w:val="003F6651"/>
    <w:rsid w:val="003F6B08"/>
    <w:rsid w:val="003F6BD7"/>
    <w:rsid w:val="003F6C64"/>
    <w:rsid w:val="003F6E05"/>
    <w:rsid w:val="003F6FF0"/>
    <w:rsid w:val="003F71E7"/>
    <w:rsid w:val="003F7570"/>
    <w:rsid w:val="003F7678"/>
    <w:rsid w:val="0040000B"/>
    <w:rsid w:val="004003DF"/>
    <w:rsid w:val="004005C3"/>
    <w:rsid w:val="00400E81"/>
    <w:rsid w:val="00401251"/>
    <w:rsid w:val="0040134C"/>
    <w:rsid w:val="00401854"/>
    <w:rsid w:val="00401BD4"/>
    <w:rsid w:val="00401CD6"/>
    <w:rsid w:val="00401DF1"/>
    <w:rsid w:val="004023B7"/>
    <w:rsid w:val="00403E15"/>
    <w:rsid w:val="00403FAD"/>
    <w:rsid w:val="0040416C"/>
    <w:rsid w:val="0040421D"/>
    <w:rsid w:val="00404262"/>
    <w:rsid w:val="00404773"/>
    <w:rsid w:val="0040479B"/>
    <w:rsid w:val="0040495F"/>
    <w:rsid w:val="0040499A"/>
    <w:rsid w:val="00404C62"/>
    <w:rsid w:val="00405061"/>
    <w:rsid w:val="0040517A"/>
    <w:rsid w:val="00405559"/>
    <w:rsid w:val="00405F20"/>
    <w:rsid w:val="00405FC8"/>
    <w:rsid w:val="00406146"/>
    <w:rsid w:val="004068D6"/>
    <w:rsid w:val="00406C90"/>
    <w:rsid w:val="00406CD7"/>
    <w:rsid w:val="00406D8A"/>
    <w:rsid w:val="00407284"/>
    <w:rsid w:val="00407327"/>
    <w:rsid w:val="0040785A"/>
    <w:rsid w:val="00410547"/>
    <w:rsid w:val="00410783"/>
    <w:rsid w:val="00410931"/>
    <w:rsid w:val="00410A4D"/>
    <w:rsid w:val="00410EDF"/>
    <w:rsid w:val="00410F0A"/>
    <w:rsid w:val="004112B3"/>
    <w:rsid w:val="004122E7"/>
    <w:rsid w:val="0041297A"/>
    <w:rsid w:val="00413194"/>
    <w:rsid w:val="00413754"/>
    <w:rsid w:val="00413C95"/>
    <w:rsid w:val="00413F5B"/>
    <w:rsid w:val="00414503"/>
    <w:rsid w:val="00414606"/>
    <w:rsid w:val="004146AD"/>
    <w:rsid w:val="00414A31"/>
    <w:rsid w:val="00416060"/>
    <w:rsid w:val="00416147"/>
    <w:rsid w:val="004164F3"/>
    <w:rsid w:val="00416BA5"/>
    <w:rsid w:val="00416C38"/>
    <w:rsid w:val="004173B1"/>
    <w:rsid w:val="0041787E"/>
    <w:rsid w:val="0042000B"/>
    <w:rsid w:val="004202FD"/>
    <w:rsid w:val="0042039C"/>
    <w:rsid w:val="004203B9"/>
    <w:rsid w:val="00420601"/>
    <w:rsid w:val="0042082C"/>
    <w:rsid w:val="00420A74"/>
    <w:rsid w:val="00420B7E"/>
    <w:rsid w:val="00420C77"/>
    <w:rsid w:val="00421223"/>
    <w:rsid w:val="004213D0"/>
    <w:rsid w:val="004217B3"/>
    <w:rsid w:val="00421A3A"/>
    <w:rsid w:val="00421A85"/>
    <w:rsid w:val="00421EFF"/>
    <w:rsid w:val="00421FBE"/>
    <w:rsid w:val="00422136"/>
    <w:rsid w:val="00422779"/>
    <w:rsid w:val="004230D2"/>
    <w:rsid w:val="00423673"/>
    <w:rsid w:val="004238B6"/>
    <w:rsid w:val="00423933"/>
    <w:rsid w:val="004239C0"/>
    <w:rsid w:val="00423AB7"/>
    <w:rsid w:val="00423FD3"/>
    <w:rsid w:val="00424468"/>
    <w:rsid w:val="004244E6"/>
    <w:rsid w:val="00424B9C"/>
    <w:rsid w:val="00425B5C"/>
    <w:rsid w:val="00425DFC"/>
    <w:rsid w:val="0042609D"/>
    <w:rsid w:val="004260D7"/>
    <w:rsid w:val="004262E5"/>
    <w:rsid w:val="00426E95"/>
    <w:rsid w:val="00426EB6"/>
    <w:rsid w:val="004272B0"/>
    <w:rsid w:val="00427400"/>
    <w:rsid w:val="004275B4"/>
    <w:rsid w:val="004278E4"/>
    <w:rsid w:val="00427AF2"/>
    <w:rsid w:val="00427C7E"/>
    <w:rsid w:val="00427D7C"/>
    <w:rsid w:val="004306D0"/>
    <w:rsid w:val="00430CD4"/>
    <w:rsid w:val="004318AD"/>
    <w:rsid w:val="00431992"/>
    <w:rsid w:val="00431B0A"/>
    <w:rsid w:val="00431FA2"/>
    <w:rsid w:val="0043243E"/>
    <w:rsid w:val="00432466"/>
    <w:rsid w:val="004326B8"/>
    <w:rsid w:val="004327AE"/>
    <w:rsid w:val="00432DE9"/>
    <w:rsid w:val="0043340A"/>
    <w:rsid w:val="00433EE1"/>
    <w:rsid w:val="004343BD"/>
    <w:rsid w:val="00434A7F"/>
    <w:rsid w:val="0043513A"/>
    <w:rsid w:val="00435DDA"/>
    <w:rsid w:val="00436092"/>
    <w:rsid w:val="004363CE"/>
    <w:rsid w:val="004363D7"/>
    <w:rsid w:val="0043641D"/>
    <w:rsid w:val="0043653F"/>
    <w:rsid w:val="00436766"/>
    <w:rsid w:val="0043753A"/>
    <w:rsid w:val="00437ECE"/>
    <w:rsid w:val="004402E8"/>
    <w:rsid w:val="00440647"/>
    <w:rsid w:val="00441918"/>
    <w:rsid w:val="00441E8D"/>
    <w:rsid w:val="004420D6"/>
    <w:rsid w:val="00442566"/>
    <w:rsid w:val="004425A0"/>
    <w:rsid w:val="0044283D"/>
    <w:rsid w:val="00442999"/>
    <w:rsid w:val="00442AE3"/>
    <w:rsid w:val="00442FC3"/>
    <w:rsid w:val="00442FE8"/>
    <w:rsid w:val="0044349C"/>
    <w:rsid w:val="00443A09"/>
    <w:rsid w:val="00443AC6"/>
    <w:rsid w:val="00444384"/>
    <w:rsid w:val="00444910"/>
    <w:rsid w:val="00444D0E"/>
    <w:rsid w:val="004451EF"/>
    <w:rsid w:val="0044537D"/>
    <w:rsid w:val="00445B50"/>
    <w:rsid w:val="00445B95"/>
    <w:rsid w:val="004462BC"/>
    <w:rsid w:val="00446353"/>
    <w:rsid w:val="004467F3"/>
    <w:rsid w:val="004504AF"/>
    <w:rsid w:val="00450667"/>
    <w:rsid w:val="0045070E"/>
    <w:rsid w:val="00450A10"/>
    <w:rsid w:val="00450A1C"/>
    <w:rsid w:val="0045117F"/>
    <w:rsid w:val="00451A46"/>
    <w:rsid w:val="00451CB2"/>
    <w:rsid w:val="0045242A"/>
    <w:rsid w:val="00452596"/>
    <w:rsid w:val="004527DC"/>
    <w:rsid w:val="0045280C"/>
    <w:rsid w:val="00452900"/>
    <w:rsid w:val="004532F7"/>
    <w:rsid w:val="0045336C"/>
    <w:rsid w:val="0045352E"/>
    <w:rsid w:val="00453BD7"/>
    <w:rsid w:val="00453BEE"/>
    <w:rsid w:val="00453C57"/>
    <w:rsid w:val="00453DBD"/>
    <w:rsid w:val="00454307"/>
    <w:rsid w:val="00454409"/>
    <w:rsid w:val="004548A7"/>
    <w:rsid w:val="00455861"/>
    <w:rsid w:val="00455D48"/>
    <w:rsid w:val="00456468"/>
    <w:rsid w:val="004566B9"/>
    <w:rsid w:val="00456E2D"/>
    <w:rsid w:val="00456E8F"/>
    <w:rsid w:val="00457023"/>
    <w:rsid w:val="00457CAD"/>
    <w:rsid w:val="00457D35"/>
    <w:rsid w:val="00457EE3"/>
    <w:rsid w:val="00460247"/>
    <w:rsid w:val="00461151"/>
    <w:rsid w:val="00461254"/>
    <w:rsid w:val="004614DE"/>
    <w:rsid w:val="0046186D"/>
    <w:rsid w:val="00461D79"/>
    <w:rsid w:val="0046214E"/>
    <w:rsid w:val="00462654"/>
    <w:rsid w:val="00462BBC"/>
    <w:rsid w:val="00462F97"/>
    <w:rsid w:val="004635F0"/>
    <w:rsid w:val="004636EA"/>
    <w:rsid w:val="00463C48"/>
    <w:rsid w:val="00463FFD"/>
    <w:rsid w:val="0046448B"/>
    <w:rsid w:val="004649BE"/>
    <w:rsid w:val="00464C4A"/>
    <w:rsid w:val="00464F57"/>
    <w:rsid w:val="00465A6B"/>
    <w:rsid w:val="0046640E"/>
    <w:rsid w:val="0046662D"/>
    <w:rsid w:val="0046797D"/>
    <w:rsid w:val="00467E7C"/>
    <w:rsid w:val="00467ED7"/>
    <w:rsid w:val="00470419"/>
    <w:rsid w:val="0047050A"/>
    <w:rsid w:val="00470BE6"/>
    <w:rsid w:val="00471A08"/>
    <w:rsid w:val="00472225"/>
    <w:rsid w:val="0047222D"/>
    <w:rsid w:val="004722E1"/>
    <w:rsid w:val="00472308"/>
    <w:rsid w:val="00472365"/>
    <w:rsid w:val="00472B15"/>
    <w:rsid w:val="00472E91"/>
    <w:rsid w:val="00472F77"/>
    <w:rsid w:val="00473C46"/>
    <w:rsid w:val="00473FB1"/>
    <w:rsid w:val="004742AB"/>
    <w:rsid w:val="00474E75"/>
    <w:rsid w:val="00475775"/>
    <w:rsid w:val="00475920"/>
    <w:rsid w:val="0047596B"/>
    <w:rsid w:val="00475AC8"/>
    <w:rsid w:val="00475E43"/>
    <w:rsid w:val="00475E85"/>
    <w:rsid w:val="00475EEF"/>
    <w:rsid w:val="00475FF9"/>
    <w:rsid w:val="004761EB"/>
    <w:rsid w:val="00476452"/>
    <w:rsid w:val="004765D6"/>
    <w:rsid w:val="00476774"/>
    <w:rsid w:val="0047681D"/>
    <w:rsid w:val="00476D86"/>
    <w:rsid w:val="0047701D"/>
    <w:rsid w:val="00477869"/>
    <w:rsid w:val="004801C8"/>
    <w:rsid w:val="00480973"/>
    <w:rsid w:val="00480C10"/>
    <w:rsid w:val="00480C12"/>
    <w:rsid w:val="00480E93"/>
    <w:rsid w:val="0048132A"/>
    <w:rsid w:val="00481810"/>
    <w:rsid w:val="0048186E"/>
    <w:rsid w:val="00481A33"/>
    <w:rsid w:val="00481A3B"/>
    <w:rsid w:val="00481D34"/>
    <w:rsid w:val="004822D0"/>
    <w:rsid w:val="00482A4B"/>
    <w:rsid w:val="00482A98"/>
    <w:rsid w:val="0048353F"/>
    <w:rsid w:val="0048366A"/>
    <w:rsid w:val="004838AD"/>
    <w:rsid w:val="00483B2D"/>
    <w:rsid w:val="00483E00"/>
    <w:rsid w:val="004843E3"/>
    <w:rsid w:val="00484507"/>
    <w:rsid w:val="00485781"/>
    <w:rsid w:val="00485ACA"/>
    <w:rsid w:val="00486341"/>
    <w:rsid w:val="00486761"/>
    <w:rsid w:val="00486B48"/>
    <w:rsid w:val="00486BC6"/>
    <w:rsid w:val="00486E8F"/>
    <w:rsid w:val="00486F45"/>
    <w:rsid w:val="004876EC"/>
    <w:rsid w:val="004877F2"/>
    <w:rsid w:val="00487B27"/>
    <w:rsid w:val="00487CB8"/>
    <w:rsid w:val="0049087B"/>
    <w:rsid w:val="00490AA9"/>
    <w:rsid w:val="00491639"/>
    <w:rsid w:val="00491ED4"/>
    <w:rsid w:val="00492023"/>
    <w:rsid w:val="0049237C"/>
    <w:rsid w:val="004936C4"/>
    <w:rsid w:val="00493B15"/>
    <w:rsid w:val="00494AA7"/>
    <w:rsid w:val="0049532B"/>
    <w:rsid w:val="004956E3"/>
    <w:rsid w:val="00495E66"/>
    <w:rsid w:val="0049637B"/>
    <w:rsid w:val="004975D8"/>
    <w:rsid w:val="0049792E"/>
    <w:rsid w:val="00497B07"/>
    <w:rsid w:val="00497E25"/>
    <w:rsid w:val="004A026D"/>
    <w:rsid w:val="004A0724"/>
    <w:rsid w:val="004A0805"/>
    <w:rsid w:val="004A14E9"/>
    <w:rsid w:val="004A1550"/>
    <w:rsid w:val="004A20CE"/>
    <w:rsid w:val="004A253B"/>
    <w:rsid w:val="004A3595"/>
    <w:rsid w:val="004A3EFD"/>
    <w:rsid w:val="004A41D5"/>
    <w:rsid w:val="004A4313"/>
    <w:rsid w:val="004A45CE"/>
    <w:rsid w:val="004A4C09"/>
    <w:rsid w:val="004A5089"/>
    <w:rsid w:val="004A5850"/>
    <w:rsid w:val="004A601B"/>
    <w:rsid w:val="004A6FF4"/>
    <w:rsid w:val="004A7050"/>
    <w:rsid w:val="004A7503"/>
    <w:rsid w:val="004A7662"/>
    <w:rsid w:val="004A7F77"/>
    <w:rsid w:val="004B0582"/>
    <w:rsid w:val="004B0661"/>
    <w:rsid w:val="004B082F"/>
    <w:rsid w:val="004B09CB"/>
    <w:rsid w:val="004B0A03"/>
    <w:rsid w:val="004B0E30"/>
    <w:rsid w:val="004B0FC4"/>
    <w:rsid w:val="004B1C5A"/>
    <w:rsid w:val="004B35FF"/>
    <w:rsid w:val="004B3E81"/>
    <w:rsid w:val="004B4004"/>
    <w:rsid w:val="004B48BB"/>
    <w:rsid w:val="004B5190"/>
    <w:rsid w:val="004B58F2"/>
    <w:rsid w:val="004B5B98"/>
    <w:rsid w:val="004B5BC7"/>
    <w:rsid w:val="004B5C54"/>
    <w:rsid w:val="004B5ED6"/>
    <w:rsid w:val="004B68E7"/>
    <w:rsid w:val="004B7197"/>
    <w:rsid w:val="004B7685"/>
    <w:rsid w:val="004C0A3E"/>
    <w:rsid w:val="004C0D0D"/>
    <w:rsid w:val="004C0F1E"/>
    <w:rsid w:val="004C1563"/>
    <w:rsid w:val="004C1C76"/>
    <w:rsid w:val="004C21AF"/>
    <w:rsid w:val="004C2B3B"/>
    <w:rsid w:val="004C2BA1"/>
    <w:rsid w:val="004C2F10"/>
    <w:rsid w:val="004C2FED"/>
    <w:rsid w:val="004C2FFC"/>
    <w:rsid w:val="004C3069"/>
    <w:rsid w:val="004C32C9"/>
    <w:rsid w:val="004C4272"/>
    <w:rsid w:val="004C45E1"/>
    <w:rsid w:val="004C514E"/>
    <w:rsid w:val="004C5172"/>
    <w:rsid w:val="004C5AC4"/>
    <w:rsid w:val="004C5E21"/>
    <w:rsid w:val="004C6BC2"/>
    <w:rsid w:val="004C6EAA"/>
    <w:rsid w:val="004C73DE"/>
    <w:rsid w:val="004C74DC"/>
    <w:rsid w:val="004C7506"/>
    <w:rsid w:val="004C76CB"/>
    <w:rsid w:val="004C77F5"/>
    <w:rsid w:val="004C7856"/>
    <w:rsid w:val="004D04CE"/>
    <w:rsid w:val="004D04D8"/>
    <w:rsid w:val="004D12E8"/>
    <w:rsid w:val="004D1426"/>
    <w:rsid w:val="004D1AD5"/>
    <w:rsid w:val="004D1B1A"/>
    <w:rsid w:val="004D1E6F"/>
    <w:rsid w:val="004D2148"/>
    <w:rsid w:val="004D26DC"/>
    <w:rsid w:val="004D37A1"/>
    <w:rsid w:val="004D48F5"/>
    <w:rsid w:val="004D48F6"/>
    <w:rsid w:val="004D4CF9"/>
    <w:rsid w:val="004D4D89"/>
    <w:rsid w:val="004D5748"/>
    <w:rsid w:val="004D5F52"/>
    <w:rsid w:val="004D662D"/>
    <w:rsid w:val="004D682D"/>
    <w:rsid w:val="004D691F"/>
    <w:rsid w:val="004D7CA2"/>
    <w:rsid w:val="004E02A3"/>
    <w:rsid w:val="004E1017"/>
    <w:rsid w:val="004E13C3"/>
    <w:rsid w:val="004E185C"/>
    <w:rsid w:val="004E1BC9"/>
    <w:rsid w:val="004E29AA"/>
    <w:rsid w:val="004E2C7E"/>
    <w:rsid w:val="004E2D51"/>
    <w:rsid w:val="004E4CEF"/>
    <w:rsid w:val="004E542F"/>
    <w:rsid w:val="004E550C"/>
    <w:rsid w:val="004E56CA"/>
    <w:rsid w:val="004E5922"/>
    <w:rsid w:val="004E5CEF"/>
    <w:rsid w:val="004E64EE"/>
    <w:rsid w:val="004E6CED"/>
    <w:rsid w:val="004E6D66"/>
    <w:rsid w:val="004E7287"/>
    <w:rsid w:val="004E77C2"/>
    <w:rsid w:val="004F09E9"/>
    <w:rsid w:val="004F115F"/>
    <w:rsid w:val="004F1453"/>
    <w:rsid w:val="004F1581"/>
    <w:rsid w:val="004F1776"/>
    <w:rsid w:val="004F1D37"/>
    <w:rsid w:val="004F22D5"/>
    <w:rsid w:val="004F230D"/>
    <w:rsid w:val="004F24FB"/>
    <w:rsid w:val="004F280C"/>
    <w:rsid w:val="004F2A64"/>
    <w:rsid w:val="004F3C52"/>
    <w:rsid w:val="004F3FAA"/>
    <w:rsid w:val="004F4070"/>
    <w:rsid w:val="004F4BCB"/>
    <w:rsid w:val="004F4DF4"/>
    <w:rsid w:val="004F5046"/>
    <w:rsid w:val="004F5234"/>
    <w:rsid w:val="004F562B"/>
    <w:rsid w:val="004F5664"/>
    <w:rsid w:val="004F56A7"/>
    <w:rsid w:val="004F5B6D"/>
    <w:rsid w:val="004F609F"/>
    <w:rsid w:val="004F6501"/>
    <w:rsid w:val="004F66BD"/>
    <w:rsid w:val="004F7135"/>
    <w:rsid w:val="004F746C"/>
    <w:rsid w:val="004F7645"/>
    <w:rsid w:val="00500261"/>
    <w:rsid w:val="00500397"/>
    <w:rsid w:val="00500571"/>
    <w:rsid w:val="00500988"/>
    <w:rsid w:val="00500B98"/>
    <w:rsid w:val="00500DC6"/>
    <w:rsid w:val="0050127E"/>
    <w:rsid w:val="00501361"/>
    <w:rsid w:val="0050139E"/>
    <w:rsid w:val="00501627"/>
    <w:rsid w:val="005017CB"/>
    <w:rsid w:val="00501A86"/>
    <w:rsid w:val="00501B24"/>
    <w:rsid w:val="00501F7F"/>
    <w:rsid w:val="00502094"/>
    <w:rsid w:val="005020BB"/>
    <w:rsid w:val="00502210"/>
    <w:rsid w:val="00502A19"/>
    <w:rsid w:val="00502F19"/>
    <w:rsid w:val="00503DA6"/>
    <w:rsid w:val="00504180"/>
    <w:rsid w:val="00504A0E"/>
    <w:rsid w:val="005053B3"/>
    <w:rsid w:val="005057A3"/>
    <w:rsid w:val="00505F6B"/>
    <w:rsid w:val="0050657A"/>
    <w:rsid w:val="005070A7"/>
    <w:rsid w:val="0050739D"/>
    <w:rsid w:val="00507933"/>
    <w:rsid w:val="00507F0D"/>
    <w:rsid w:val="00510076"/>
    <w:rsid w:val="00510436"/>
    <w:rsid w:val="005108D7"/>
    <w:rsid w:val="00510D09"/>
    <w:rsid w:val="005116CA"/>
    <w:rsid w:val="005120EB"/>
    <w:rsid w:val="005123DA"/>
    <w:rsid w:val="005137C2"/>
    <w:rsid w:val="00513990"/>
    <w:rsid w:val="0051404F"/>
    <w:rsid w:val="005144CE"/>
    <w:rsid w:val="00514D40"/>
    <w:rsid w:val="00514EA3"/>
    <w:rsid w:val="0051529D"/>
    <w:rsid w:val="005158E7"/>
    <w:rsid w:val="00515B3E"/>
    <w:rsid w:val="005161D4"/>
    <w:rsid w:val="00516230"/>
    <w:rsid w:val="00516701"/>
    <w:rsid w:val="00516D43"/>
    <w:rsid w:val="005176B3"/>
    <w:rsid w:val="0051777D"/>
    <w:rsid w:val="00517F0E"/>
    <w:rsid w:val="005200EB"/>
    <w:rsid w:val="00520222"/>
    <w:rsid w:val="00520374"/>
    <w:rsid w:val="00520AF8"/>
    <w:rsid w:val="005216BF"/>
    <w:rsid w:val="0052202E"/>
    <w:rsid w:val="0052220A"/>
    <w:rsid w:val="0052235A"/>
    <w:rsid w:val="005223D2"/>
    <w:rsid w:val="00522708"/>
    <w:rsid w:val="005228DD"/>
    <w:rsid w:val="00522DB7"/>
    <w:rsid w:val="00522E1F"/>
    <w:rsid w:val="00524622"/>
    <w:rsid w:val="00524762"/>
    <w:rsid w:val="0052476B"/>
    <w:rsid w:val="00525676"/>
    <w:rsid w:val="00525700"/>
    <w:rsid w:val="0052582F"/>
    <w:rsid w:val="00525E48"/>
    <w:rsid w:val="005266F1"/>
    <w:rsid w:val="00526CC2"/>
    <w:rsid w:val="00526D0C"/>
    <w:rsid w:val="005271D7"/>
    <w:rsid w:val="00527966"/>
    <w:rsid w:val="00527A16"/>
    <w:rsid w:val="00530296"/>
    <w:rsid w:val="005302F4"/>
    <w:rsid w:val="005307BA"/>
    <w:rsid w:val="00530D85"/>
    <w:rsid w:val="00530DED"/>
    <w:rsid w:val="00531079"/>
    <w:rsid w:val="00532047"/>
    <w:rsid w:val="00532302"/>
    <w:rsid w:val="0053245A"/>
    <w:rsid w:val="0053297F"/>
    <w:rsid w:val="0053344B"/>
    <w:rsid w:val="0053361D"/>
    <w:rsid w:val="0053421C"/>
    <w:rsid w:val="005345E5"/>
    <w:rsid w:val="00534720"/>
    <w:rsid w:val="005347B7"/>
    <w:rsid w:val="00534AA0"/>
    <w:rsid w:val="00534AFE"/>
    <w:rsid w:val="00534B78"/>
    <w:rsid w:val="00534C63"/>
    <w:rsid w:val="00534D2F"/>
    <w:rsid w:val="005353EB"/>
    <w:rsid w:val="00535945"/>
    <w:rsid w:val="005361AA"/>
    <w:rsid w:val="005364F8"/>
    <w:rsid w:val="00536E4F"/>
    <w:rsid w:val="00536FBB"/>
    <w:rsid w:val="00537391"/>
    <w:rsid w:val="00537BA8"/>
    <w:rsid w:val="0054011B"/>
    <w:rsid w:val="00540C9E"/>
    <w:rsid w:val="00540E37"/>
    <w:rsid w:val="0054140E"/>
    <w:rsid w:val="00541703"/>
    <w:rsid w:val="005418C2"/>
    <w:rsid w:val="00541992"/>
    <w:rsid w:val="00541B89"/>
    <w:rsid w:val="005435E5"/>
    <w:rsid w:val="00544868"/>
    <w:rsid w:val="00544974"/>
    <w:rsid w:val="00544E9A"/>
    <w:rsid w:val="00544F7E"/>
    <w:rsid w:val="00545475"/>
    <w:rsid w:val="00545751"/>
    <w:rsid w:val="00546A2B"/>
    <w:rsid w:val="00546CCE"/>
    <w:rsid w:val="00546DBE"/>
    <w:rsid w:val="00546E9E"/>
    <w:rsid w:val="0054732F"/>
    <w:rsid w:val="00550431"/>
    <w:rsid w:val="0055064D"/>
    <w:rsid w:val="005506CF"/>
    <w:rsid w:val="0055089C"/>
    <w:rsid w:val="005508BC"/>
    <w:rsid w:val="00550FAD"/>
    <w:rsid w:val="0055185E"/>
    <w:rsid w:val="00551986"/>
    <w:rsid w:val="005524B4"/>
    <w:rsid w:val="005530A1"/>
    <w:rsid w:val="005531D4"/>
    <w:rsid w:val="00553A3E"/>
    <w:rsid w:val="00553AD0"/>
    <w:rsid w:val="00553CB3"/>
    <w:rsid w:val="005542F9"/>
    <w:rsid w:val="005547AB"/>
    <w:rsid w:val="00554A22"/>
    <w:rsid w:val="00554B34"/>
    <w:rsid w:val="00554B6D"/>
    <w:rsid w:val="00554F67"/>
    <w:rsid w:val="005552DA"/>
    <w:rsid w:val="0055564D"/>
    <w:rsid w:val="0055604A"/>
    <w:rsid w:val="00556407"/>
    <w:rsid w:val="005576B9"/>
    <w:rsid w:val="00557D36"/>
    <w:rsid w:val="00557D6F"/>
    <w:rsid w:val="005605F9"/>
    <w:rsid w:val="00560C18"/>
    <w:rsid w:val="00560F67"/>
    <w:rsid w:val="00560FBD"/>
    <w:rsid w:val="005614E1"/>
    <w:rsid w:val="0056173C"/>
    <w:rsid w:val="00561C8B"/>
    <w:rsid w:val="005622E1"/>
    <w:rsid w:val="005631B7"/>
    <w:rsid w:val="0056323E"/>
    <w:rsid w:val="00563806"/>
    <w:rsid w:val="00563B71"/>
    <w:rsid w:val="00563D87"/>
    <w:rsid w:val="00563E33"/>
    <w:rsid w:val="00564317"/>
    <w:rsid w:val="00564AEE"/>
    <w:rsid w:val="005653A6"/>
    <w:rsid w:val="00566333"/>
    <w:rsid w:val="00567770"/>
    <w:rsid w:val="0056779C"/>
    <w:rsid w:val="00567846"/>
    <w:rsid w:val="005701CE"/>
    <w:rsid w:val="00571006"/>
    <w:rsid w:val="00571A76"/>
    <w:rsid w:val="00571F72"/>
    <w:rsid w:val="00572D85"/>
    <w:rsid w:val="00573721"/>
    <w:rsid w:val="0057378F"/>
    <w:rsid w:val="00574486"/>
    <w:rsid w:val="005744FA"/>
    <w:rsid w:val="005745A0"/>
    <w:rsid w:val="00575909"/>
    <w:rsid w:val="00575D40"/>
    <w:rsid w:val="00576521"/>
    <w:rsid w:val="005765AC"/>
    <w:rsid w:val="0057711A"/>
    <w:rsid w:val="00577B29"/>
    <w:rsid w:val="00577DBF"/>
    <w:rsid w:val="0058034C"/>
    <w:rsid w:val="0058040A"/>
    <w:rsid w:val="0058090F"/>
    <w:rsid w:val="00580B73"/>
    <w:rsid w:val="005810C1"/>
    <w:rsid w:val="005812DF"/>
    <w:rsid w:val="0058157E"/>
    <w:rsid w:val="005816B6"/>
    <w:rsid w:val="0058171A"/>
    <w:rsid w:val="00581DFB"/>
    <w:rsid w:val="00581ED8"/>
    <w:rsid w:val="005820DC"/>
    <w:rsid w:val="0058273C"/>
    <w:rsid w:val="00582BD2"/>
    <w:rsid w:val="0058328D"/>
    <w:rsid w:val="005836D2"/>
    <w:rsid w:val="00583F1C"/>
    <w:rsid w:val="00583F2A"/>
    <w:rsid w:val="0058448A"/>
    <w:rsid w:val="005846EB"/>
    <w:rsid w:val="0058472B"/>
    <w:rsid w:val="005847F9"/>
    <w:rsid w:val="0058486A"/>
    <w:rsid w:val="005849F7"/>
    <w:rsid w:val="00584CFC"/>
    <w:rsid w:val="005860FF"/>
    <w:rsid w:val="00586263"/>
    <w:rsid w:val="005862DD"/>
    <w:rsid w:val="00586C0C"/>
    <w:rsid w:val="005870EA"/>
    <w:rsid w:val="005872AF"/>
    <w:rsid w:val="00587983"/>
    <w:rsid w:val="00587A3E"/>
    <w:rsid w:val="00590EE8"/>
    <w:rsid w:val="0059136A"/>
    <w:rsid w:val="00591882"/>
    <w:rsid w:val="0059189B"/>
    <w:rsid w:val="005918CD"/>
    <w:rsid w:val="00592775"/>
    <w:rsid w:val="00592B62"/>
    <w:rsid w:val="00592CB2"/>
    <w:rsid w:val="0059364B"/>
    <w:rsid w:val="00593654"/>
    <w:rsid w:val="00593FB2"/>
    <w:rsid w:val="005949FC"/>
    <w:rsid w:val="00594ED0"/>
    <w:rsid w:val="005956CC"/>
    <w:rsid w:val="00595F47"/>
    <w:rsid w:val="00596057"/>
    <w:rsid w:val="005A0001"/>
    <w:rsid w:val="005A0638"/>
    <w:rsid w:val="005A06D7"/>
    <w:rsid w:val="005A088D"/>
    <w:rsid w:val="005A097D"/>
    <w:rsid w:val="005A0AD9"/>
    <w:rsid w:val="005A121F"/>
    <w:rsid w:val="005A1264"/>
    <w:rsid w:val="005A12A8"/>
    <w:rsid w:val="005A13BF"/>
    <w:rsid w:val="005A18C1"/>
    <w:rsid w:val="005A1CDB"/>
    <w:rsid w:val="005A22D3"/>
    <w:rsid w:val="005A26C8"/>
    <w:rsid w:val="005A352F"/>
    <w:rsid w:val="005A3A03"/>
    <w:rsid w:val="005A3B27"/>
    <w:rsid w:val="005A4B70"/>
    <w:rsid w:val="005A5905"/>
    <w:rsid w:val="005A5C91"/>
    <w:rsid w:val="005A617E"/>
    <w:rsid w:val="005A76C3"/>
    <w:rsid w:val="005A7A48"/>
    <w:rsid w:val="005A7AD6"/>
    <w:rsid w:val="005A7C50"/>
    <w:rsid w:val="005A7FA8"/>
    <w:rsid w:val="005B00B4"/>
    <w:rsid w:val="005B0594"/>
    <w:rsid w:val="005B06CB"/>
    <w:rsid w:val="005B0D09"/>
    <w:rsid w:val="005B101A"/>
    <w:rsid w:val="005B10BF"/>
    <w:rsid w:val="005B2255"/>
    <w:rsid w:val="005B2888"/>
    <w:rsid w:val="005B29F1"/>
    <w:rsid w:val="005B2C54"/>
    <w:rsid w:val="005B38A8"/>
    <w:rsid w:val="005B3BEF"/>
    <w:rsid w:val="005B449B"/>
    <w:rsid w:val="005B44D1"/>
    <w:rsid w:val="005B47F1"/>
    <w:rsid w:val="005B4C08"/>
    <w:rsid w:val="005B4FF8"/>
    <w:rsid w:val="005B59AD"/>
    <w:rsid w:val="005B5B6B"/>
    <w:rsid w:val="005B5C09"/>
    <w:rsid w:val="005B6417"/>
    <w:rsid w:val="005B6ADC"/>
    <w:rsid w:val="005B6E5C"/>
    <w:rsid w:val="005B793F"/>
    <w:rsid w:val="005B7AB4"/>
    <w:rsid w:val="005B7BA5"/>
    <w:rsid w:val="005C027B"/>
    <w:rsid w:val="005C0E1E"/>
    <w:rsid w:val="005C146C"/>
    <w:rsid w:val="005C1520"/>
    <w:rsid w:val="005C1C50"/>
    <w:rsid w:val="005C1E00"/>
    <w:rsid w:val="005C2D0A"/>
    <w:rsid w:val="005C2F09"/>
    <w:rsid w:val="005C3016"/>
    <w:rsid w:val="005C312F"/>
    <w:rsid w:val="005C3429"/>
    <w:rsid w:val="005C3775"/>
    <w:rsid w:val="005C38E1"/>
    <w:rsid w:val="005C3CD9"/>
    <w:rsid w:val="005C3CEF"/>
    <w:rsid w:val="005C4D47"/>
    <w:rsid w:val="005C4E43"/>
    <w:rsid w:val="005C522F"/>
    <w:rsid w:val="005C5BA7"/>
    <w:rsid w:val="005C6054"/>
    <w:rsid w:val="005C62B9"/>
    <w:rsid w:val="005C64F6"/>
    <w:rsid w:val="005C668E"/>
    <w:rsid w:val="005C6A7D"/>
    <w:rsid w:val="005C6B65"/>
    <w:rsid w:val="005C71C0"/>
    <w:rsid w:val="005C7447"/>
    <w:rsid w:val="005C7483"/>
    <w:rsid w:val="005C74DC"/>
    <w:rsid w:val="005C785B"/>
    <w:rsid w:val="005C7AE8"/>
    <w:rsid w:val="005D0A6E"/>
    <w:rsid w:val="005D0A94"/>
    <w:rsid w:val="005D0BB2"/>
    <w:rsid w:val="005D0F90"/>
    <w:rsid w:val="005D1484"/>
    <w:rsid w:val="005D1A8D"/>
    <w:rsid w:val="005D1E85"/>
    <w:rsid w:val="005D1EC3"/>
    <w:rsid w:val="005D2196"/>
    <w:rsid w:val="005D24CF"/>
    <w:rsid w:val="005D2807"/>
    <w:rsid w:val="005D3117"/>
    <w:rsid w:val="005D33FF"/>
    <w:rsid w:val="005D3CA7"/>
    <w:rsid w:val="005D4F01"/>
    <w:rsid w:val="005D5079"/>
    <w:rsid w:val="005D527E"/>
    <w:rsid w:val="005D58FB"/>
    <w:rsid w:val="005D5AF5"/>
    <w:rsid w:val="005D651D"/>
    <w:rsid w:val="005D6F6B"/>
    <w:rsid w:val="005D7219"/>
    <w:rsid w:val="005D7407"/>
    <w:rsid w:val="005D79EB"/>
    <w:rsid w:val="005D7F83"/>
    <w:rsid w:val="005E00DE"/>
    <w:rsid w:val="005E03C4"/>
    <w:rsid w:val="005E043E"/>
    <w:rsid w:val="005E0575"/>
    <w:rsid w:val="005E0D21"/>
    <w:rsid w:val="005E0F4E"/>
    <w:rsid w:val="005E1231"/>
    <w:rsid w:val="005E140F"/>
    <w:rsid w:val="005E1EC1"/>
    <w:rsid w:val="005E201A"/>
    <w:rsid w:val="005E20FD"/>
    <w:rsid w:val="005E2E6C"/>
    <w:rsid w:val="005E2FB6"/>
    <w:rsid w:val="005E344A"/>
    <w:rsid w:val="005E3C1A"/>
    <w:rsid w:val="005E43C9"/>
    <w:rsid w:val="005E448F"/>
    <w:rsid w:val="005E4D15"/>
    <w:rsid w:val="005E4E4D"/>
    <w:rsid w:val="005E4EAF"/>
    <w:rsid w:val="005E547D"/>
    <w:rsid w:val="005E5C68"/>
    <w:rsid w:val="005E6BCB"/>
    <w:rsid w:val="005E6E4D"/>
    <w:rsid w:val="005E732F"/>
    <w:rsid w:val="005E73E7"/>
    <w:rsid w:val="005E747A"/>
    <w:rsid w:val="005E77A8"/>
    <w:rsid w:val="005E7AF1"/>
    <w:rsid w:val="005F0556"/>
    <w:rsid w:val="005F0A77"/>
    <w:rsid w:val="005F0B33"/>
    <w:rsid w:val="005F291B"/>
    <w:rsid w:val="005F29BA"/>
    <w:rsid w:val="005F2EA1"/>
    <w:rsid w:val="005F3DD9"/>
    <w:rsid w:val="005F4731"/>
    <w:rsid w:val="005F4914"/>
    <w:rsid w:val="005F49E9"/>
    <w:rsid w:val="005F4F9B"/>
    <w:rsid w:val="005F5267"/>
    <w:rsid w:val="005F54B5"/>
    <w:rsid w:val="005F56D6"/>
    <w:rsid w:val="005F5CD9"/>
    <w:rsid w:val="005F66BB"/>
    <w:rsid w:val="005F6859"/>
    <w:rsid w:val="005F78C1"/>
    <w:rsid w:val="005F7F45"/>
    <w:rsid w:val="00600419"/>
    <w:rsid w:val="00600B9D"/>
    <w:rsid w:val="006012A2"/>
    <w:rsid w:val="0060169D"/>
    <w:rsid w:val="00601D35"/>
    <w:rsid w:val="00601EAD"/>
    <w:rsid w:val="00601F95"/>
    <w:rsid w:val="00601FB5"/>
    <w:rsid w:val="006028DE"/>
    <w:rsid w:val="00603461"/>
    <w:rsid w:val="00603581"/>
    <w:rsid w:val="00603598"/>
    <w:rsid w:val="00603B7A"/>
    <w:rsid w:val="00603F11"/>
    <w:rsid w:val="006045D5"/>
    <w:rsid w:val="006047C1"/>
    <w:rsid w:val="006049FB"/>
    <w:rsid w:val="00604ABB"/>
    <w:rsid w:val="00604CE2"/>
    <w:rsid w:val="00605472"/>
    <w:rsid w:val="00605479"/>
    <w:rsid w:val="00605692"/>
    <w:rsid w:val="006059EF"/>
    <w:rsid w:val="00605A69"/>
    <w:rsid w:val="00605BA4"/>
    <w:rsid w:val="00605CF8"/>
    <w:rsid w:val="00606836"/>
    <w:rsid w:val="00606A1C"/>
    <w:rsid w:val="006070FB"/>
    <w:rsid w:val="00607723"/>
    <w:rsid w:val="00607CB4"/>
    <w:rsid w:val="006109E1"/>
    <w:rsid w:val="00610EB5"/>
    <w:rsid w:val="006117D2"/>
    <w:rsid w:val="00612057"/>
    <w:rsid w:val="006122D6"/>
    <w:rsid w:val="0061235F"/>
    <w:rsid w:val="006128A0"/>
    <w:rsid w:val="00612A82"/>
    <w:rsid w:val="00612EDB"/>
    <w:rsid w:val="006135BD"/>
    <w:rsid w:val="006136D5"/>
    <w:rsid w:val="00613F3D"/>
    <w:rsid w:val="0061420B"/>
    <w:rsid w:val="0061463F"/>
    <w:rsid w:val="006148D6"/>
    <w:rsid w:val="00614F44"/>
    <w:rsid w:val="00615218"/>
    <w:rsid w:val="00615561"/>
    <w:rsid w:val="00615719"/>
    <w:rsid w:val="00615929"/>
    <w:rsid w:val="006163AE"/>
    <w:rsid w:val="006164BE"/>
    <w:rsid w:val="00616BF1"/>
    <w:rsid w:val="00617157"/>
    <w:rsid w:val="0061763E"/>
    <w:rsid w:val="00617CD0"/>
    <w:rsid w:val="00617D08"/>
    <w:rsid w:val="0062055B"/>
    <w:rsid w:val="00620CB3"/>
    <w:rsid w:val="00621344"/>
    <w:rsid w:val="00621740"/>
    <w:rsid w:val="0062217A"/>
    <w:rsid w:val="006223DC"/>
    <w:rsid w:val="0062264A"/>
    <w:rsid w:val="006226A9"/>
    <w:rsid w:val="00623120"/>
    <w:rsid w:val="0062368B"/>
    <w:rsid w:val="006244BB"/>
    <w:rsid w:val="00624626"/>
    <w:rsid w:val="006249C4"/>
    <w:rsid w:val="00624A53"/>
    <w:rsid w:val="00624EEB"/>
    <w:rsid w:val="00624F7F"/>
    <w:rsid w:val="00625032"/>
    <w:rsid w:val="006250F1"/>
    <w:rsid w:val="00625A83"/>
    <w:rsid w:val="00626791"/>
    <w:rsid w:val="006267FB"/>
    <w:rsid w:val="00627248"/>
    <w:rsid w:val="0062747F"/>
    <w:rsid w:val="00627502"/>
    <w:rsid w:val="00627C95"/>
    <w:rsid w:val="00627FCE"/>
    <w:rsid w:val="0063008A"/>
    <w:rsid w:val="00630102"/>
    <w:rsid w:val="006307F3"/>
    <w:rsid w:val="00630D24"/>
    <w:rsid w:val="0063161C"/>
    <w:rsid w:val="0063174C"/>
    <w:rsid w:val="0063273A"/>
    <w:rsid w:val="00632B78"/>
    <w:rsid w:val="00633936"/>
    <w:rsid w:val="00633B32"/>
    <w:rsid w:val="0063454C"/>
    <w:rsid w:val="00634A53"/>
    <w:rsid w:val="006359D4"/>
    <w:rsid w:val="006367F6"/>
    <w:rsid w:val="006369BB"/>
    <w:rsid w:val="00636D26"/>
    <w:rsid w:val="00636EE7"/>
    <w:rsid w:val="00637296"/>
    <w:rsid w:val="006374CF"/>
    <w:rsid w:val="00637D00"/>
    <w:rsid w:val="00637E45"/>
    <w:rsid w:val="006404CF"/>
    <w:rsid w:val="00640B16"/>
    <w:rsid w:val="00640B8C"/>
    <w:rsid w:val="00640D31"/>
    <w:rsid w:val="00640F20"/>
    <w:rsid w:val="00640FD0"/>
    <w:rsid w:val="00641054"/>
    <w:rsid w:val="00641651"/>
    <w:rsid w:val="00641BAF"/>
    <w:rsid w:val="00642062"/>
    <w:rsid w:val="0064238F"/>
    <w:rsid w:val="006424B8"/>
    <w:rsid w:val="00643F51"/>
    <w:rsid w:val="00644B02"/>
    <w:rsid w:val="0064506B"/>
    <w:rsid w:val="00645487"/>
    <w:rsid w:val="0064576B"/>
    <w:rsid w:val="0064576E"/>
    <w:rsid w:val="006465AC"/>
    <w:rsid w:val="00646B8D"/>
    <w:rsid w:val="0064725E"/>
    <w:rsid w:val="00650276"/>
    <w:rsid w:val="00650948"/>
    <w:rsid w:val="00650BD2"/>
    <w:rsid w:val="00650E47"/>
    <w:rsid w:val="00651053"/>
    <w:rsid w:val="00651972"/>
    <w:rsid w:val="00651F65"/>
    <w:rsid w:val="00652333"/>
    <w:rsid w:val="00652501"/>
    <w:rsid w:val="006525F3"/>
    <w:rsid w:val="00652E43"/>
    <w:rsid w:val="0065337F"/>
    <w:rsid w:val="006537EC"/>
    <w:rsid w:val="00653835"/>
    <w:rsid w:val="006541DF"/>
    <w:rsid w:val="006549E7"/>
    <w:rsid w:val="00654B83"/>
    <w:rsid w:val="00654EA9"/>
    <w:rsid w:val="00654F38"/>
    <w:rsid w:val="0065532C"/>
    <w:rsid w:val="00655A06"/>
    <w:rsid w:val="00655C18"/>
    <w:rsid w:val="00656184"/>
    <w:rsid w:val="0065648B"/>
    <w:rsid w:val="006566B7"/>
    <w:rsid w:val="00656D93"/>
    <w:rsid w:val="00657970"/>
    <w:rsid w:val="0066031B"/>
    <w:rsid w:val="0066034D"/>
    <w:rsid w:val="006607A4"/>
    <w:rsid w:val="00660A35"/>
    <w:rsid w:val="00660B98"/>
    <w:rsid w:val="0066170B"/>
    <w:rsid w:val="00661B5B"/>
    <w:rsid w:val="0066269F"/>
    <w:rsid w:val="00662DC5"/>
    <w:rsid w:val="00664000"/>
    <w:rsid w:val="006647CB"/>
    <w:rsid w:val="00664AD8"/>
    <w:rsid w:val="006652F6"/>
    <w:rsid w:val="00665576"/>
    <w:rsid w:val="00665760"/>
    <w:rsid w:val="00665C89"/>
    <w:rsid w:val="00665CC8"/>
    <w:rsid w:val="00665CF7"/>
    <w:rsid w:val="00665E6F"/>
    <w:rsid w:val="00666023"/>
    <w:rsid w:val="00666381"/>
    <w:rsid w:val="006664D4"/>
    <w:rsid w:val="006667EA"/>
    <w:rsid w:val="00666B7B"/>
    <w:rsid w:val="00666B7F"/>
    <w:rsid w:val="00666BA2"/>
    <w:rsid w:val="00666C92"/>
    <w:rsid w:val="006676F9"/>
    <w:rsid w:val="0066793E"/>
    <w:rsid w:val="00667A15"/>
    <w:rsid w:val="0067000E"/>
    <w:rsid w:val="00670B87"/>
    <w:rsid w:val="0067185A"/>
    <w:rsid w:val="00671C38"/>
    <w:rsid w:val="00671C64"/>
    <w:rsid w:val="00671C8F"/>
    <w:rsid w:val="0067211B"/>
    <w:rsid w:val="006736A7"/>
    <w:rsid w:val="00673EE7"/>
    <w:rsid w:val="00674835"/>
    <w:rsid w:val="00674B91"/>
    <w:rsid w:val="00675121"/>
    <w:rsid w:val="00675E4A"/>
    <w:rsid w:val="006761EA"/>
    <w:rsid w:val="0067666F"/>
    <w:rsid w:val="00676D4A"/>
    <w:rsid w:val="00676F26"/>
    <w:rsid w:val="00677C89"/>
    <w:rsid w:val="00677E91"/>
    <w:rsid w:val="00680120"/>
    <w:rsid w:val="0068083B"/>
    <w:rsid w:val="00680921"/>
    <w:rsid w:val="0068117B"/>
    <w:rsid w:val="0068277B"/>
    <w:rsid w:val="00682865"/>
    <w:rsid w:val="00682A6B"/>
    <w:rsid w:val="006830C0"/>
    <w:rsid w:val="00683588"/>
    <w:rsid w:val="006837AF"/>
    <w:rsid w:val="00683860"/>
    <w:rsid w:val="00683D9C"/>
    <w:rsid w:val="00684060"/>
    <w:rsid w:val="00684160"/>
    <w:rsid w:val="00684B18"/>
    <w:rsid w:val="00684F74"/>
    <w:rsid w:val="006850DA"/>
    <w:rsid w:val="006850F3"/>
    <w:rsid w:val="0068512F"/>
    <w:rsid w:val="0068598A"/>
    <w:rsid w:val="00685B6D"/>
    <w:rsid w:val="00685D66"/>
    <w:rsid w:val="00685F9E"/>
    <w:rsid w:val="0068607E"/>
    <w:rsid w:val="006864E5"/>
    <w:rsid w:val="00687247"/>
    <w:rsid w:val="00687907"/>
    <w:rsid w:val="00687B62"/>
    <w:rsid w:val="00690029"/>
    <w:rsid w:val="00690BE3"/>
    <w:rsid w:val="00690D6C"/>
    <w:rsid w:val="00691AA2"/>
    <w:rsid w:val="00692220"/>
    <w:rsid w:val="006926A8"/>
    <w:rsid w:val="006936E5"/>
    <w:rsid w:val="006938A9"/>
    <w:rsid w:val="00693BFF"/>
    <w:rsid w:val="0069420B"/>
    <w:rsid w:val="00694FB9"/>
    <w:rsid w:val="00695028"/>
    <w:rsid w:val="0069583E"/>
    <w:rsid w:val="00696E5A"/>
    <w:rsid w:val="00697A67"/>
    <w:rsid w:val="00697B7C"/>
    <w:rsid w:val="00697BB3"/>
    <w:rsid w:val="006A0516"/>
    <w:rsid w:val="006A0FB6"/>
    <w:rsid w:val="006A0FBC"/>
    <w:rsid w:val="006A10B7"/>
    <w:rsid w:val="006A1685"/>
    <w:rsid w:val="006A17D3"/>
    <w:rsid w:val="006A1B8D"/>
    <w:rsid w:val="006A1C5C"/>
    <w:rsid w:val="006A1D56"/>
    <w:rsid w:val="006A1D5F"/>
    <w:rsid w:val="006A25D4"/>
    <w:rsid w:val="006A2BE5"/>
    <w:rsid w:val="006A34E8"/>
    <w:rsid w:val="006A3ED0"/>
    <w:rsid w:val="006A42C4"/>
    <w:rsid w:val="006A441C"/>
    <w:rsid w:val="006A4A27"/>
    <w:rsid w:val="006A4BC6"/>
    <w:rsid w:val="006A4D30"/>
    <w:rsid w:val="006A5963"/>
    <w:rsid w:val="006A5BBB"/>
    <w:rsid w:val="006A5C7A"/>
    <w:rsid w:val="006A5DB4"/>
    <w:rsid w:val="006A5E85"/>
    <w:rsid w:val="006A65C6"/>
    <w:rsid w:val="006A6910"/>
    <w:rsid w:val="006A69A8"/>
    <w:rsid w:val="006A7023"/>
    <w:rsid w:val="006A7468"/>
    <w:rsid w:val="006A747C"/>
    <w:rsid w:val="006A7EEB"/>
    <w:rsid w:val="006B063E"/>
    <w:rsid w:val="006B0768"/>
    <w:rsid w:val="006B0A9D"/>
    <w:rsid w:val="006B0B70"/>
    <w:rsid w:val="006B0F19"/>
    <w:rsid w:val="006B110C"/>
    <w:rsid w:val="006B185E"/>
    <w:rsid w:val="006B1B44"/>
    <w:rsid w:val="006B25EB"/>
    <w:rsid w:val="006B2699"/>
    <w:rsid w:val="006B31DB"/>
    <w:rsid w:val="006B3800"/>
    <w:rsid w:val="006B3B20"/>
    <w:rsid w:val="006B3B3A"/>
    <w:rsid w:val="006B3F7F"/>
    <w:rsid w:val="006B3FE4"/>
    <w:rsid w:val="006B4386"/>
    <w:rsid w:val="006B4610"/>
    <w:rsid w:val="006B4DE7"/>
    <w:rsid w:val="006B5E35"/>
    <w:rsid w:val="006B5FD4"/>
    <w:rsid w:val="006B611D"/>
    <w:rsid w:val="006B6305"/>
    <w:rsid w:val="006B640F"/>
    <w:rsid w:val="006C0327"/>
    <w:rsid w:val="006C053A"/>
    <w:rsid w:val="006C0919"/>
    <w:rsid w:val="006C0A73"/>
    <w:rsid w:val="006C0B8E"/>
    <w:rsid w:val="006C131B"/>
    <w:rsid w:val="006C1371"/>
    <w:rsid w:val="006C14DF"/>
    <w:rsid w:val="006C1C74"/>
    <w:rsid w:val="006C1C9E"/>
    <w:rsid w:val="006C23CD"/>
    <w:rsid w:val="006C272E"/>
    <w:rsid w:val="006C2C0A"/>
    <w:rsid w:val="006C2D31"/>
    <w:rsid w:val="006C372A"/>
    <w:rsid w:val="006C4290"/>
    <w:rsid w:val="006C43EB"/>
    <w:rsid w:val="006C45A4"/>
    <w:rsid w:val="006C500B"/>
    <w:rsid w:val="006C5228"/>
    <w:rsid w:val="006C5A1B"/>
    <w:rsid w:val="006C5DD0"/>
    <w:rsid w:val="006C60E2"/>
    <w:rsid w:val="006C6302"/>
    <w:rsid w:val="006C6851"/>
    <w:rsid w:val="006C6B36"/>
    <w:rsid w:val="006C6DE7"/>
    <w:rsid w:val="006C70DB"/>
    <w:rsid w:val="006C7694"/>
    <w:rsid w:val="006C7D6A"/>
    <w:rsid w:val="006D1549"/>
    <w:rsid w:val="006D16B9"/>
    <w:rsid w:val="006D18EB"/>
    <w:rsid w:val="006D1B8E"/>
    <w:rsid w:val="006D1E36"/>
    <w:rsid w:val="006D28BB"/>
    <w:rsid w:val="006D2C97"/>
    <w:rsid w:val="006D3950"/>
    <w:rsid w:val="006D3F5B"/>
    <w:rsid w:val="006D48BA"/>
    <w:rsid w:val="006D4B91"/>
    <w:rsid w:val="006D4C3D"/>
    <w:rsid w:val="006D4C78"/>
    <w:rsid w:val="006D5347"/>
    <w:rsid w:val="006D54E2"/>
    <w:rsid w:val="006D589D"/>
    <w:rsid w:val="006D5933"/>
    <w:rsid w:val="006D6F9E"/>
    <w:rsid w:val="006D6FD2"/>
    <w:rsid w:val="006D786B"/>
    <w:rsid w:val="006D7B1A"/>
    <w:rsid w:val="006D7BA4"/>
    <w:rsid w:val="006D7D30"/>
    <w:rsid w:val="006D7F73"/>
    <w:rsid w:val="006E02A8"/>
    <w:rsid w:val="006E034F"/>
    <w:rsid w:val="006E06C4"/>
    <w:rsid w:val="006E08DE"/>
    <w:rsid w:val="006E0B7B"/>
    <w:rsid w:val="006E0BBF"/>
    <w:rsid w:val="006E0FB4"/>
    <w:rsid w:val="006E119B"/>
    <w:rsid w:val="006E1275"/>
    <w:rsid w:val="006E132F"/>
    <w:rsid w:val="006E167C"/>
    <w:rsid w:val="006E1AD8"/>
    <w:rsid w:val="006E290A"/>
    <w:rsid w:val="006E2EF9"/>
    <w:rsid w:val="006E31B9"/>
    <w:rsid w:val="006E33AE"/>
    <w:rsid w:val="006E3F67"/>
    <w:rsid w:val="006E4A3A"/>
    <w:rsid w:val="006E4D81"/>
    <w:rsid w:val="006E4E40"/>
    <w:rsid w:val="006E4EAD"/>
    <w:rsid w:val="006E53B6"/>
    <w:rsid w:val="006E5664"/>
    <w:rsid w:val="006E582C"/>
    <w:rsid w:val="006E6315"/>
    <w:rsid w:val="006E7144"/>
    <w:rsid w:val="006E7711"/>
    <w:rsid w:val="006F00DD"/>
    <w:rsid w:val="006F04ED"/>
    <w:rsid w:val="006F0854"/>
    <w:rsid w:val="006F10C7"/>
    <w:rsid w:val="006F1322"/>
    <w:rsid w:val="006F1E2F"/>
    <w:rsid w:val="006F2128"/>
    <w:rsid w:val="006F2636"/>
    <w:rsid w:val="006F279B"/>
    <w:rsid w:val="006F31F4"/>
    <w:rsid w:val="006F340F"/>
    <w:rsid w:val="006F396F"/>
    <w:rsid w:val="006F3ED2"/>
    <w:rsid w:val="006F493B"/>
    <w:rsid w:val="006F4AA1"/>
    <w:rsid w:val="006F52C7"/>
    <w:rsid w:val="006F55A3"/>
    <w:rsid w:val="006F5BE6"/>
    <w:rsid w:val="006F5EDC"/>
    <w:rsid w:val="006F5F4D"/>
    <w:rsid w:val="006F6759"/>
    <w:rsid w:val="006F6A48"/>
    <w:rsid w:val="006F6F0F"/>
    <w:rsid w:val="006F70C5"/>
    <w:rsid w:val="006F71F9"/>
    <w:rsid w:val="006F7D41"/>
    <w:rsid w:val="0070001D"/>
    <w:rsid w:val="007003D0"/>
    <w:rsid w:val="0070042D"/>
    <w:rsid w:val="00700597"/>
    <w:rsid w:val="007006B8"/>
    <w:rsid w:val="00701580"/>
    <w:rsid w:val="00701743"/>
    <w:rsid w:val="0070288E"/>
    <w:rsid w:val="007028D9"/>
    <w:rsid w:val="00702B12"/>
    <w:rsid w:val="00702B94"/>
    <w:rsid w:val="00702CA0"/>
    <w:rsid w:val="00702F3A"/>
    <w:rsid w:val="00703377"/>
    <w:rsid w:val="00703CA0"/>
    <w:rsid w:val="00703DAF"/>
    <w:rsid w:val="00704990"/>
    <w:rsid w:val="00704DBE"/>
    <w:rsid w:val="00705168"/>
    <w:rsid w:val="007053FB"/>
    <w:rsid w:val="00705710"/>
    <w:rsid w:val="007057D4"/>
    <w:rsid w:val="0070595F"/>
    <w:rsid w:val="00705D58"/>
    <w:rsid w:val="007063BD"/>
    <w:rsid w:val="00706CC3"/>
    <w:rsid w:val="00706E40"/>
    <w:rsid w:val="0070734A"/>
    <w:rsid w:val="0070779E"/>
    <w:rsid w:val="00707A8B"/>
    <w:rsid w:val="00707A8D"/>
    <w:rsid w:val="00707CC0"/>
    <w:rsid w:val="00707CE7"/>
    <w:rsid w:val="00710316"/>
    <w:rsid w:val="00710385"/>
    <w:rsid w:val="0071067D"/>
    <w:rsid w:val="0071070F"/>
    <w:rsid w:val="00710D4E"/>
    <w:rsid w:val="007114B7"/>
    <w:rsid w:val="007124FF"/>
    <w:rsid w:val="007131FE"/>
    <w:rsid w:val="00713730"/>
    <w:rsid w:val="00713B68"/>
    <w:rsid w:val="00713E6F"/>
    <w:rsid w:val="007142A9"/>
    <w:rsid w:val="007146D9"/>
    <w:rsid w:val="007147AB"/>
    <w:rsid w:val="007166C1"/>
    <w:rsid w:val="00716B7F"/>
    <w:rsid w:val="007170EC"/>
    <w:rsid w:val="00717706"/>
    <w:rsid w:val="007177FB"/>
    <w:rsid w:val="007178DB"/>
    <w:rsid w:val="00720FB4"/>
    <w:rsid w:val="00720FB9"/>
    <w:rsid w:val="0072105B"/>
    <w:rsid w:val="00721454"/>
    <w:rsid w:val="00721475"/>
    <w:rsid w:val="007214B5"/>
    <w:rsid w:val="007218ED"/>
    <w:rsid w:val="00721B8E"/>
    <w:rsid w:val="00722396"/>
    <w:rsid w:val="00722672"/>
    <w:rsid w:val="00723983"/>
    <w:rsid w:val="00724045"/>
    <w:rsid w:val="00724249"/>
    <w:rsid w:val="0072444A"/>
    <w:rsid w:val="007258F0"/>
    <w:rsid w:val="00725A75"/>
    <w:rsid w:val="00725B83"/>
    <w:rsid w:val="007260F2"/>
    <w:rsid w:val="007262C6"/>
    <w:rsid w:val="0072659A"/>
    <w:rsid w:val="00726ECC"/>
    <w:rsid w:val="00727B1F"/>
    <w:rsid w:val="00727D43"/>
    <w:rsid w:val="00727E25"/>
    <w:rsid w:val="00727E41"/>
    <w:rsid w:val="007301D1"/>
    <w:rsid w:val="0073056F"/>
    <w:rsid w:val="00730718"/>
    <w:rsid w:val="007307B5"/>
    <w:rsid w:val="00730841"/>
    <w:rsid w:val="00730DD8"/>
    <w:rsid w:val="0073110F"/>
    <w:rsid w:val="00731AF9"/>
    <w:rsid w:val="00732504"/>
    <w:rsid w:val="00732738"/>
    <w:rsid w:val="007328FD"/>
    <w:rsid w:val="00732CF3"/>
    <w:rsid w:val="00732D48"/>
    <w:rsid w:val="0073360A"/>
    <w:rsid w:val="007336A4"/>
    <w:rsid w:val="007339D6"/>
    <w:rsid w:val="00733B60"/>
    <w:rsid w:val="007352A5"/>
    <w:rsid w:val="007361DA"/>
    <w:rsid w:val="00736870"/>
    <w:rsid w:val="00736A5E"/>
    <w:rsid w:val="00736F49"/>
    <w:rsid w:val="007379D9"/>
    <w:rsid w:val="00737D62"/>
    <w:rsid w:val="00737FDA"/>
    <w:rsid w:val="0074015A"/>
    <w:rsid w:val="00740D6C"/>
    <w:rsid w:val="00741058"/>
    <w:rsid w:val="007416CA"/>
    <w:rsid w:val="00741DA1"/>
    <w:rsid w:val="007421ED"/>
    <w:rsid w:val="007422E2"/>
    <w:rsid w:val="007429A4"/>
    <w:rsid w:val="00742DBB"/>
    <w:rsid w:val="00742FB1"/>
    <w:rsid w:val="00742FBF"/>
    <w:rsid w:val="007439E0"/>
    <w:rsid w:val="00743C45"/>
    <w:rsid w:val="007440D0"/>
    <w:rsid w:val="007443AB"/>
    <w:rsid w:val="0074492D"/>
    <w:rsid w:val="00744FC9"/>
    <w:rsid w:val="00745AE0"/>
    <w:rsid w:val="00745B32"/>
    <w:rsid w:val="00745B8F"/>
    <w:rsid w:val="00745DCE"/>
    <w:rsid w:val="007461FF"/>
    <w:rsid w:val="007463BD"/>
    <w:rsid w:val="0074666C"/>
    <w:rsid w:val="007466DE"/>
    <w:rsid w:val="00746893"/>
    <w:rsid w:val="00747012"/>
    <w:rsid w:val="00747071"/>
    <w:rsid w:val="00747116"/>
    <w:rsid w:val="0074715A"/>
    <w:rsid w:val="00747527"/>
    <w:rsid w:val="007478EA"/>
    <w:rsid w:val="00747C46"/>
    <w:rsid w:val="00747E99"/>
    <w:rsid w:val="00751D32"/>
    <w:rsid w:val="0075289C"/>
    <w:rsid w:val="00752E4D"/>
    <w:rsid w:val="0075328A"/>
    <w:rsid w:val="00753EBD"/>
    <w:rsid w:val="00754439"/>
    <w:rsid w:val="007547F5"/>
    <w:rsid w:val="00754D31"/>
    <w:rsid w:val="00754DD6"/>
    <w:rsid w:val="007552BB"/>
    <w:rsid w:val="007554B2"/>
    <w:rsid w:val="00756C44"/>
    <w:rsid w:val="00757084"/>
    <w:rsid w:val="007573CA"/>
    <w:rsid w:val="007606D0"/>
    <w:rsid w:val="00760859"/>
    <w:rsid w:val="00760B97"/>
    <w:rsid w:val="007612AE"/>
    <w:rsid w:val="007614BA"/>
    <w:rsid w:val="007624BB"/>
    <w:rsid w:val="00762BD2"/>
    <w:rsid w:val="00762D06"/>
    <w:rsid w:val="0076354C"/>
    <w:rsid w:val="007636F6"/>
    <w:rsid w:val="00763BDD"/>
    <w:rsid w:val="007644FB"/>
    <w:rsid w:val="00764A41"/>
    <w:rsid w:val="0076500F"/>
    <w:rsid w:val="00765106"/>
    <w:rsid w:val="0076535F"/>
    <w:rsid w:val="007653F8"/>
    <w:rsid w:val="00765F2F"/>
    <w:rsid w:val="00766144"/>
    <w:rsid w:val="00766227"/>
    <w:rsid w:val="00766721"/>
    <w:rsid w:val="0076675A"/>
    <w:rsid w:val="00766D07"/>
    <w:rsid w:val="00766E4C"/>
    <w:rsid w:val="00767006"/>
    <w:rsid w:val="007670BE"/>
    <w:rsid w:val="00767717"/>
    <w:rsid w:val="00767FC8"/>
    <w:rsid w:val="00770165"/>
    <w:rsid w:val="00770847"/>
    <w:rsid w:val="00770853"/>
    <w:rsid w:val="00770AD3"/>
    <w:rsid w:val="00770B1A"/>
    <w:rsid w:val="00770B25"/>
    <w:rsid w:val="00770B9D"/>
    <w:rsid w:val="00770ED7"/>
    <w:rsid w:val="0077101A"/>
    <w:rsid w:val="00771AEF"/>
    <w:rsid w:val="00771BC5"/>
    <w:rsid w:val="007728CD"/>
    <w:rsid w:val="00772A3E"/>
    <w:rsid w:val="00772BD3"/>
    <w:rsid w:val="00772D96"/>
    <w:rsid w:val="00772DEC"/>
    <w:rsid w:val="0077325E"/>
    <w:rsid w:val="00773346"/>
    <w:rsid w:val="00773A71"/>
    <w:rsid w:val="00774723"/>
    <w:rsid w:val="00774EB1"/>
    <w:rsid w:val="00774FAE"/>
    <w:rsid w:val="00775611"/>
    <w:rsid w:val="0077697A"/>
    <w:rsid w:val="00776BF9"/>
    <w:rsid w:val="00777ACB"/>
    <w:rsid w:val="00777C63"/>
    <w:rsid w:val="0078078E"/>
    <w:rsid w:val="007807A5"/>
    <w:rsid w:val="00780ECA"/>
    <w:rsid w:val="00781022"/>
    <w:rsid w:val="00781064"/>
    <w:rsid w:val="00782158"/>
    <w:rsid w:val="00782870"/>
    <w:rsid w:val="00782DAD"/>
    <w:rsid w:val="00783740"/>
    <w:rsid w:val="00783D17"/>
    <w:rsid w:val="007844F4"/>
    <w:rsid w:val="007845B7"/>
    <w:rsid w:val="00784A9B"/>
    <w:rsid w:val="00785068"/>
    <w:rsid w:val="0078531C"/>
    <w:rsid w:val="0078657E"/>
    <w:rsid w:val="00786B15"/>
    <w:rsid w:val="00786B9E"/>
    <w:rsid w:val="00786C08"/>
    <w:rsid w:val="00786E34"/>
    <w:rsid w:val="00787067"/>
    <w:rsid w:val="007874B8"/>
    <w:rsid w:val="00787BC6"/>
    <w:rsid w:val="00787F4D"/>
    <w:rsid w:val="0079042D"/>
    <w:rsid w:val="007913A7"/>
    <w:rsid w:val="0079227E"/>
    <w:rsid w:val="00792844"/>
    <w:rsid w:val="0079285E"/>
    <w:rsid w:val="00792BAB"/>
    <w:rsid w:val="007930F0"/>
    <w:rsid w:val="0079341D"/>
    <w:rsid w:val="00793928"/>
    <w:rsid w:val="00793A66"/>
    <w:rsid w:val="00793CFA"/>
    <w:rsid w:val="0079419E"/>
    <w:rsid w:val="00794402"/>
    <w:rsid w:val="007950C8"/>
    <w:rsid w:val="00795115"/>
    <w:rsid w:val="00795974"/>
    <w:rsid w:val="00795B55"/>
    <w:rsid w:val="00796356"/>
    <w:rsid w:val="007966DB"/>
    <w:rsid w:val="00796C0A"/>
    <w:rsid w:val="007972A2"/>
    <w:rsid w:val="007978E5"/>
    <w:rsid w:val="00797A8E"/>
    <w:rsid w:val="007A00BD"/>
    <w:rsid w:val="007A0989"/>
    <w:rsid w:val="007A0EBB"/>
    <w:rsid w:val="007A0EE0"/>
    <w:rsid w:val="007A0F57"/>
    <w:rsid w:val="007A1502"/>
    <w:rsid w:val="007A1A0E"/>
    <w:rsid w:val="007A1AA0"/>
    <w:rsid w:val="007A1D20"/>
    <w:rsid w:val="007A27BC"/>
    <w:rsid w:val="007A2A38"/>
    <w:rsid w:val="007A2C9D"/>
    <w:rsid w:val="007A2D78"/>
    <w:rsid w:val="007A311D"/>
    <w:rsid w:val="007A3144"/>
    <w:rsid w:val="007A3B4A"/>
    <w:rsid w:val="007A46C7"/>
    <w:rsid w:val="007A489A"/>
    <w:rsid w:val="007A4924"/>
    <w:rsid w:val="007A4951"/>
    <w:rsid w:val="007A4DF8"/>
    <w:rsid w:val="007A4E52"/>
    <w:rsid w:val="007A50AF"/>
    <w:rsid w:val="007A529A"/>
    <w:rsid w:val="007A53C7"/>
    <w:rsid w:val="007A5664"/>
    <w:rsid w:val="007A5E81"/>
    <w:rsid w:val="007A60AA"/>
    <w:rsid w:val="007A639C"/>
    <w:rsid w:val="007A6508"/>
    <w:rsid w:val="007A6566"/>
    <w:rsid w:val="007A6EF7"/>
    <w:rsid w:val="007A71D5"/>
    <w:rsid w:val="007A7C22"/>
    <w:rsid w:val="007A7F99"/>
    <w:rsid w:val="007B014E"/>
    <w:rsid w:val="007B0670"/>
    <w:rsid w:val="007B0819"/>
    <w:rsid w:val="007B081C"/>
    <w:rsid w:val="007B0A98"/>
    <w:rsid w:val="007B1A74"/>
    <w:rsid w:val="007B1AAA"/>
    <w:rsid w:val="007B1DED"/>
    <w:rsid w:val="007B1FF0"/>
    <w:rsid w:val="007B20FB"/>
    <w:rsid w:val="007B24AD"/>
    <w:rsid w:val="007B3257"/>
    <w:rsid w:val="007B34BE"/>
    <w:rsid w:val="007B38BA"/>
    <w:rsid w:val="007B399B"/>
    <w:rsid w:val="007B3AF8"/>
    <w:rsid w:val="007B3BF7"/>
    <w:rsid w:val="007B4117"/>
    <w:rsid w:val="007B4D83"/>
    <w:rsid w:val="007B4E78"/>
    <w:rsid w:val="007B549E"/>
    <w:rsid w:val="007B5B67"/>
    <w:rsid w:val="007B5D0F"/>
    <w:rsid w:val="007B6040"/>
    <w:rsid w:val="007B649E"/>
    <w:rsid w:val="007B69CE"/>
    <w:rsid w:val="007B6AEE"/>
    <w:rsid w:val="007B753D"/>
    <w:rsid w:val="007B7B09"/>
    <w:rsid w:val="007B7C4B"/>
    <w:rsid w:val="007C051B"/>
    <w:rsid w:val="007C0569"/>
    <w:rsid w:val="007C0846"/>
    <w:rsid w:val="007C0ABA"/>
    <w:rsid w:val="007C0B68"/>
    <w:rsid w:val="007C109D"/>
    <w:rsid w:val="007C14BA"/>
    <w:rsid w:val="007C1E70"/>
    <w:rsid w:val="007C256A"/>
    <w:rsid w:val="007C2C67"/>
    <w:rsid w:val="007C37FD"/>
    <w:rsid w:val="007C4280"/>
    <w:rsid w:val="007C44B4"/>
    <w:rsid w:val="007C4609"/>
    <w:rsid w:val="007C461A"/>
    <w:rsid w:val="007C4A45"/>
    <w:rsid w:val="007C509A"/>
    <w:rsid w:val="007C54C4"/>
    <w:rsid w:val="007C5914"/>
    <w:rsid w:val="007C6029"/>
    <w:rsid w:val="007C6A50"/>
    <w:rsid w:val="007C6E21"/>
    <w:rsid w:val="007D0AFC"/>
    <w:rsid w:val="007D0C48"/>
    <w:rsid w:val="007D0C57"/>
    <w:rsid w:val="007D0E19"/>
    <w:rsid w:val="007D0E92"/>
    <w:rsid w:val="007D0FAE"/>
    <w:rsid w:val="007D21F6"/>
    <w:rsid w:val="007D2349"/>
    <w:rsid w:val="007D2818"/>
    <w:rsid w:val="007D2D49"/>
    <w:rsid w:val="007D2E0E"/>
    <w:rsid w:val="007D2F74"/>
    <w:rsid w:val="007D31A5"/>
    <w:rsid w:val="007D340E"/>
    <w:rsid w:val="007D475E"/>
    <w:rsid w:val="007D4E7B"/>
    <w:rsid w:val="007D564A"/>
    <w:rsid w:val="007D57ED"/>
    <w:rsid w:val="007D5B3A"/>
    <w:rsid w:val="007D5C4A"/>
    <w:rsid w:val="007D608F"/>
    <w:rsid w:val="007D620E"/>
    <w:rsid w:val="007D6BC8"/>
    <w:rsid w:val="007D6C07"/>
    <w:rsid w:val="007D6CBC"/>
    <w:rsid w:val="007D6D45"/>
    <w:rsid w:val="007D78B4"/>
    <w:rsid w:val="007E0199"/>
    <w:rsid w:val="007E07D0"/>
    <w:rsid w:val="007E0B8F"/>
    <w:rsid w:val="007E0FF3"/>
    <w:rsid w:val="007E179E"/>
    <w:rsid w:val="007E18C5"/>
    <w:rsid w:val="007E19F9"/>
    <w:rsid w:val="007E26BC"/>
    <w:rsid w:val="007E2D96"/>
    <w:rsid w:val="007E2DD1"/>
    <w:rsid w:val="007E3917"/>
    <w:rsid w:val="007E47DD"/>
    <w:rsid w:val="007E5108"/>
    <w:rsid w:val="007E53C3"/>
    <w:rsid w:val="007E5707"/>
    <w:rsid w:val="007E6809"/>
    <w:rsid w:val="007E6B24"/>
    <w:rsid w:val="007E6C24"/>
    <w:rsid w:val="007E6E29"/>
    <w:rsid w:val="007E6F44"/>
    <w:rsid w:val="007E74ED"/>
    <w:rsid w:val="007E752F"/>
    <w:rsid w:val="007E7940"/>
    <w:rsid w:val="007E7ACA"/>
    <w:rsid w:val="007F0364"/>
    <w:rsid w:val="007F1008"/>
    <w:rsid w:val="007F1A07"/>
    <w:rsid w:val="007F2049"/>
    <w:rsid w:val="007F2574"/>
    <w:rsid w:val="007F26E0"/>
    <w:rsid w:val="007F2FF2"/>
    <w:rsid w:val="007F3A12"/>
    <w:rsid w:val="007F3ACA"/>
    <w:rsid w:val="007F3EBE"/>
    <w:rsid w:val="007F44E6"/>
    <w:rsid w:val="007F470C"/>
    <w:rsid w:val="007F4827"/>
    <w:rsid w:val="007F48C4"/>
    <w:rsid w:val="007F60C6"/>
    <w:rsid w:val="007F6209"/>
    <w:rsid w:val="007F67BF"/>
    <w:rsid w:val="007F705D"/>
    <w:rsid w:val="007F7570"/>
    <w:rsid w:val="007F75CB"/>
    <w:rsid w:val="007F789C"/>
    <w:rsid w:val="00800708"/>
    <w:rsid w:val="008007CC"/>
    <w:rsid w:val="00800ED3"/>
    <w:rsid w:val="00801061"/>
    <w:rsid w:val="00801598"/>
    <w:rsid w:val="0080193F"/>
    <w:rsid w:val="00801DFB"/>
    <w:rsid w:val="008022D6"/>
    <w:rsid w:val="00803746"/>
    <w:rsid w:val="00804966"/>
    <w:rsid w:val="008050A9"/>
    <w:rsid w:val="008056AB"/>
    <w:rsid w:val="008058D5"/>
    <w:rsid w:val="00805A5D"/>
    <w:rsid w:val="00805F79"/>
    <w:rsid w:val="00806F75"/>
    <w:rsid w:val="00807280"/>
    <w:rsid w:val="00807699"/>
    <w:rsid w:val="008076C0"/>
    <w:rsid w:val="008076D8"/>
    <w:rsid w:val="00807AEE"/>
    <w:rsid w:val="00807C95"/>
    <w:rsid w:val="00807D23"/>
    <w:rsid w:val="00811131"/>
    <w:rsid w:val="00811831"/>
    <w:rsid w:val="008118ED"/>
    <w:rsid w:val="00811AF4"/>
    <w:rsid w:val="00811D2E"/>
    <w:rsid w:val="00811DF6"/>
    <w:rsid w:val="00812398"/>
    <w:rsid w:val="008126DA"/>
    <w:rsid w:val="008129ED"/>
    <w:rsid w:val="00812ACE"/>
    <w:rsid w:val="00812B03"/>
    <w:rsid w:val="00813C4A"/>
    <w:rsid w:val="0081423A"/>
    <w:rsid w:val="00814569"/>
    <w:rsid w:val="00814613"/>
    <w:rsid w:val="00814E20"/>
    <w:rsid w:val="00814E9F"/>
    <w:rsid w:val="00815B4E"/>
    <w:rsid w:val="0081672F"/>
    <w:rsid w:val="00816992"/>
    <w:rsid w:val="00817669"/>
    <w:rsid w:val="00817A2E"/>
    <w:rsid w:val="008209FE"/>
    <w:rsid w:val="00821701"/>
    <w:rsid w:val="00821EB6"/>
    <w:rsid w:val="008223DB"/>
    <w:rsid w:val="00822766"/>
    <w:rsid w:val="008229F6"/>
    <w:rsid w:val="00822DD1"/>
    <w:rsid w:val="00823F5D"/>
    <w:rsid w:val="00824168"/>
    <w:rsid w:val="00824B3A"/>
    <w:rsid w:val="00824D84"/>
    <w:rsid w:val="00825647"/>
    <w:rsid w:val="0082689B"/>
    <w:rsid w:val="00826CC0"/>
    <w:rsid w:val="008270C2"/>
    <w:rsid w:val="0082772F"/>
    <w:rsid w:val="00827840"/>
    <w:rsid w:val="00827ACD"/>
    <w:rsid w:val="00827E54"/>
    <w:rsid w:val="00830085"/>
    <w:rsid w:val="00830511"/>
    <w:rsid w:val="008305ED"/>
    <w:rsid w:val="0083086C"/>
    <w:rsid w:val="00830B98"/>
    <w:rsid w:val="00830E2F"/>
    <w:rsid w:val="0083204B"/>
    <w:rsid w:val="008328A7"/>
    <w:rsid w:val="00832E21"/>
    <w:rsid w:val="00833184"/>
    <w:rsid w:val="00833DA3"/>
    <w:rsid w:val="00833F05"/>
    <w:rsid w:val="00833FD8"/>
    <w:rsid w:val="00834261"/>
    <w:rsid w:val="008342CD"/>
    <w:rsid w:val="008342F2"/>
    <w:rsid w:val="00835252"/>
    <w:rsid w:val="00835F29"/>
    <w:rsid w:val="008360C6"/>
    <w:rsid w:val="00836232"/>
    <w:rsid w:val="00836486"/>
    <w:rsid w:val="008364D3"/>
    <w:rsid w:val="00837429"/>
    <w:rsid w:val="0083747C"/>
    <w:rsid w:val="00837B02"/>
    <w:rsid w:val="00837C39"/>
    <w:rsid w:val="00840249"/>
    <w:rsid w:val="0084025C"/>
    <w:rsid w:val="0084050A"/>
    <w:rsid w:val="0084083F"/>
    <w:rsid w:val="00840914"/>
    <w:rsid w:val="00840ACB"/>
    <w:rsid w:val="00840E76"/>
    <w:rsid w:val="00841040"/>
    <w:rsid w:val="008419BB"/>
    <w:rsid w:val="00841E63"/>
    <w:rsid w:val="00841F64"/>
    <w:rsid w:val="008422FC"/>
    <w:rsid w:val="008428CC"/>
    <w:rsid w:val="00842DB1"/>
    <w:rsid w:val="00843AAE"/>
    <w:rsid w:val="00843B10"/>
    <w:rsid w:val="00843C00"/>
    <w:rsid w:val="008442EF"/>
    <w:rsid w:val="008443F7"/>
    <w:rsid w:val="0084475B"/>
    <w:rsid w:val="008449DA"/>
    <w:rsid w:val="00845583"/>
    <w:rsid w:val="0084566D"/>
    <w:rsid w:val="00845BDC"/>
    <w:rsid w:val="00845D7D"/>
    <w:rsid w:val="00846382"/>
    <w:rsid w:val="008465DA"/>
    <w:rsid w:val="00846856"/>
    <w:rsid w:val="00846B2E"/>
    <w:rsid w:val="0084703F"/>
    <w:rsid w:val="008509A5"/>
    <w:rsid w:val="00850C1E"/>
    <w:rsid w:val="00850F9C"/>
    <w:rsid w:val="008510E0"/>
    <w:rsid w:val="00851129"/>
    <w:rsid w:val="008512F2"/>
    <w:rsid w:val="008513A5"/>
    <w:rsid w:val="0085162F"/>
    <w:rsid w:val="0085180F"/>
    <w:rsid w:val="00851823"/>
    <w:rsid w:val="00851AF6"/>
    <w:rsid w:val="008524D1"/>
    <w:rsid w:val="0085256C"/>
    <w:rsid w:val="008528DF"/>
    <w:rsid w:val="00852C0C"/>
    <w:rsid w:val="00852C80"/>
    <w:rsid w:val="00853AB3"/>
    <w:rsid w:val="00853F7F"/>
    <w:rsid w:val="008545D9"/>
    <w:rsid w:val="0085474B"/>
    <w:rsid w:val="00854FCE"/>
    <w:rsid w:val="00855DB2"/>
    <w:rsid w:val="00856401"/>
    <w:rsid w:val="00856817"/>
    <w:rsid w:val="008572B2"/>
    <w:rsid w:val="008576D3"/>
    <w:rsid w:val="008579F7"/>
    <w:rsid w:val="00857FE8"/>
    <w:rsid w:val="0086006E"/>
    <w:rsid w:val="00860C63"/>
    <w:rsid w:val="00860EBB"/>
    <w:rsid w:val="0086112D"/>
    <w:rsid w:val="0086126C"/>
    <w:rsid w:val="00861583"/>
    <w:rsid w:val="00861DFC"/>
    <w:rsid w:val="008624C9"/>
    <w:rsid w:val="0086286A"/>
    <w:rsid w:val="00862999"/>
    <w:rsid w:val="00862B1E"/>
    <w:rsid w:val="00862FD0"/>
    <w:rsid w:val="00863598"/>
    <w:rsid w:val="00863989"/>
    <w:rsid w:val="00863CCD"/>
    <w:rsid w:val="008642B9"/>
    <w:rsid w:val="008654AB"/>
    <w:rsid w:val="008656F3"/>
    <w:rsid w:val="0086585D"/>
    <w:rsid w:val="00865B8C"/>
    <w:rsid w:val="00865D31"/>
    <w:rsid w:val="00866563"/>
    <w:rsid w:val="0086692E"/>
    <w:rsid w:val="00867305"/>
    <w:rsid w:val="00867899"/>
    <w:rsid w:val="00867D37"/>
    <w:rsid w:val="00867F41"/>
    <w:rsid w:val="00870590"/>
    <w:rsid w:val="0087068F"/>
    <w:rsid w:val="008709A4"/>
    <w:rsid w:val="008712E4"/>
    <w:rsid w:val="008713CC"/>
    <w:rsid w:val="00871753"/>
    <w:rsid w:val="008718E5"/>
    <w:rsid w:val="0087261E"/>
    <w:rsid w:val="008726A3"/>
    <w:rsid w:val="00873010"/>
    <w:rsid w:val="00873722"/>
    <w:rsid w:val="00873F48"/>
    <w:rsid w:val="00874C9C"/>
    <w:rsid w:val="0087619F"/>
    <w:rsid w:val="00876253"/>
    <w:rsid w:val="0087725C"/>
    <w:rsid w:val="00877E6A"/>
    <w:rsid w:val="008804D8"/>
    <w:rsid w:val="00880843"/>
    <w:rsid w:val="00880B38"/>
    <w:rsid w:val="00880E36"/>
    <w:rsid w:val="008811AB"/>
    <w:rsid w:val="0088122A"/>
    <w:rsid w:val="008821FB"/>
    <w:rsid w:val="008828BF"/>
    <w:rsid w:val="00882D10"/>
    <w:rsid w:val="00882F62"/>
    <w:rsid w:val="00883075"/>
    <w:rsid w:val="00883829"/>
    <w:rsid w:val="00883BE3"/>
    <w:rsid w:val="00883F37"/>
    <w:rsid w:val="0088409A"/>
    <w:rsid w:val="008843FC"/>
    <w:rsid w:val="00884551"/>
    <w:rsid w:val="00884EA3"/>
    <w:rsid w:val="008852CE"/>
    <w:rsid w:val="008853E6"/>
    <w:rsid w:val="008857B0"/>
    <w:rsid w:val="00885A5A"/>
    <w:rsid w:val="00885B47"/>
    <w:rsid w:val="00885F81"/>
    <w:rsid w:val="008867D2"/>
    <w:rsid w:val="00886AF8"/>
    <w:rsid w:val="00886B2E"/>
    <w:rsid w:val="008871DC"/>
    <w:rsid w:val="008874C7"/>
    <w:rsid w:val="00890703"/>
    <w:rsid w:val="00890962"/>
    <w:rsid w:val="00890F57"/>
    <w:rsid w:val="008910B7"/>
    <w:rsid w:val="008912C6"/>
    <w:rsid w:val="00891A03"/>
    <w:rsid w:val="00891CA2"/>
    <w:rsid w:val="00891ED6"/>
    <w:rsid w:val="00891F64"/>
    <w:rsid w:val="0089203D"/>
    <w:rsid w:val="00892938"/>
    <w:rsid w:val="00893351"/>
    <w:rsid w:val="008934FD"/>
    <w:rsid w:val="00893DBB"/>
    <w:rsid w:val="00893E32"/>
    <w:rsid w:val="0089419C"/>
    <w:rsid w:val="00894728"/>
    <w:rsid w:val="008951C0"/>
    <w:rsid w:val="008955C4"/>
    <w:rsid w:val="00895905"/>
    <w:rsid w:val="00895960"/>
    <w:rsid w:val="00895AD7"/>
    <w:rsid w:val="00896490"/>
    <w:rsid w:val="008965B7"/>
    <w:rsid w:val="00897112"/>
    <w:rsid w:val="00897657"/>
    <w:rsid w:val="008A0262"/>
    <w:rsid w:val="008A0B20"/>
    <w:rsid w:val="008A0CAE"/>
    <w:rsid w:val="008A14C4"/>
    <w:rsid w:val="008A17BE"/>
    <w:rsid w:val="008A1CF8"/>
    <w:rsid w:val="008A1E35"/>
    <w:rsid w:val="008A1E72"/>
    <w:rsid w:val="008A1EBB"/>
    <w:rsid w:val="008A21B8"/>
    <w:rsid w:val="008A27E6"/>
    <w:rsid w:val="008A288E"/>
    <w:rsid w:val="008A2D18"/>
    <w:rsid w:val="008A30EC"/>
    <w:rsid w:val="008A32EE"/>
    <w:rsid w:val="008A33FE"/>
    <w:rsid w:val="008A38DD"/>
    <w:rsid w:val="008A3E42"/>
    <w:rsid w:val="008A3ECE"/>
    <w:rsid w:val="008A434D"/>
    <w:rsid w:val="008A4790"/>
    <w:rsid w:val="008A4877"/>
    <w:rsid w:val="008A4A0E"/>
    <w:rsid w:val="008A4BB2"/>
    <w:rsid w:val="008A4CA2"/>
    <w:rsid w:val="008A4D89"/>
    <w:rsid w:val="008A4E3C"/>
    <w:rsid w:val="008A4E6B"/>
    <w:rsid w:val="008A5F44"/>
    <w:rsid w:val="008A60D8"/>
    <w:rsid w:val="008A61A3"/>
    <w:rsid w:val="008A6712"/>
    <w:rsid w:val="008A6E9B"/>
    <w:rsid w:val="008A71CD"/>
    <w:rsid w:val="008A74FC"/>
    <w:rsid w:val="008A7AE4"/>
    <w:rsid w:val="008A7D68"/>
    <w:rsid w:val="008A7EB5"/>
    <w:rsid w:val="008B0352"/>
    <w:rsid w:val="008B04E5"/>
    <w:rsid w:val="008B0D2E"/>
    <w:rsid w:val="008B0E73"/>
    <w:rsid w:val="008B1606"/>
    <w:rsid w:val="008B1CEE"/>
    <w:rsid w:val="008B20EE"/>
    <w:rsid w:val="008B22AD"/>
    <w:rsid w:val="008B27A6"/>
    <w:rsid w:val="008B2DEB"/>
    <w:rsid w:val="008B2E08"/>
    <w:rsid w:val="008B36CC"/>
    <w:rsid w:val="008B3949"/>
    <w:rsid w:val="008B3D30"/>
    <w:rsid w:val="008B56BB"/>
    <w:rsid w:val="008B5C6B"/>
    <w:rsid w:val="008B699E"/>
    <w:rsid w:val="008B69B1"/>
    <w:rsid w:val="008B6A2F"/>
    <w:rsid w:val="008B6C1E"/>
    <w:rsid w:val="008B7790"/>
    <w:rsid w:val="008B7C87"/>
    <w:rsid w:val="008B7E33"/>
    <w:rsid w:val="008B7E64"/>
    <w:rsid w:val="008B7FCD"/>
    <w:rsid w:val="008C0218"/>
    <w:rsid w:val="008C051A"/>
    <w:rsid w:val="008C0552"/>
    <w:rsid w:val="008C0858"/>
    <w:rsid w:val="008C15FC"/>
    <w:rsid w:val="008C1804"/>
    <w:rsid w:val="008C1D5E"/>
    <w:rsid w:val="008C1D99"/>
    <w:rsid w:val="008C20B9"/>
    <w:rsid w:val="008C287D"/>
    <w:rsid w:val="008C2954"/>
    <w:rsid w:val="008C3229"/>
    <w:rsid w:val="008C38E9"/>
    <w:rsid w:val="008C3ADC"/>
    <w:rsid w:val="008C4414"/>
    <w:rsid w:val="008C45C9"/>
    <w:rsid w:val="008C51B0"/>
    <w:rsid w:val="008C533E"/>
    <w:rsid w:val="008C5949"/>
    <w:rsid w:val="008C5AC9"/>
    <w:rsid w:val="008C5EC2"/>
    <w:rsid w:val="008C62D3"/>
    <w:rsid w:val="008C6CD3"/>
    <w:rsid w:val="008C6D30"/>
    <w:rsid w:val="008C71B1"/>
    <w:rsid w:val="008C7880"/>
    <w:rsid w:val="008C7926"/>
    <w:rsid w:val="008C7D5E"/>
    <w:rsid w:val="008D0038"/>
    <w:rsid w:val="008D046B"/>
    <w:rsid w:val="008D0E99"/>
    <w:rsid w:val="008D10E0"/>
    <w:rsid w:val="008D1420"/>
    <w:rsid w:val="008D1C5C"/>
    <w:rsid w:val="008D1CE6"/>
    <w:rsid w:val="008D24F4"/>
    <w:rsid w:val="008D275D"/>
    <w:rsid w:val="008D28CC"/>
    <w:rsid w:val="008D3D6F"/>
    <w:rsid w:val="008D3E50"/>
    <w:rsid w:val="008D41A6"/>
    <w:rsid w:val="008D427E"/>
    <w:rsid w:val="008D439D"/>
    <w:rsid w:val="008D46F0"/>
    <w:rsid w:val="008D46F3"/>
    <w:rsid w:val="008D4712"/>
    <w:rsid w:val="008D4841"/>
    <w:rsid w:val="008D4E75"/>
    <w:rsid w:val="008D5352"/>
    <w:rsid w:val="008D5C97"/>
    <w:rsid w:val="008D65B9"/>
    <w:rsid w:val="008D688B"/>
    <w:rsid w:val="008D6C6E"/>
    <w:rsid w:val="008D74D5"/>
    <w:rsid w:val="008D7F1D"/>
    <w:rsid w:val="008E0118"/>
    <w:rsid w:val="008E0629"/>
    <w:rsid w:val="008E0898"/>
    <w:rsid w:val="008E0977"/>
    <w:rsid w:val="008E098E"/>
    <w:rsid w:val="008E1060"/>
    <w:rsid w:val="008E14BD"/>
    <w:rsid w:val="008E19C8"/>
    <w:rsid w:val="008E1A59"/>
    <w:rsid w:val="008E1BAC"/>
    <w:rsid w:val="008E2401"/>
    <w:rsid w:val="008E3644"/>
    <w:rsid w:val="008E3A34"/>
    <w:rsid w:val="008E3AE7"/>
    <w:rsid w:val="008E3BAA"/>
    <w:rsid w:val="008E3BAB"/>
    <w:rsid w:val="008E4B85"/>
    <w:rsid w:val="008E5892"/>
    <w:rsid w:val="008E5909"/>
    <w:rsid w:val="008E59F6"/>
    <w:rsid w:val="008E5C8A"/>
    <w:rsid w:val="008E63B4"/>
    <w:rsid w:val="008E6548"/>
    <w:rsid w:val="008E6776"/>
    <w:rsid w:val="008E7072"/>
    <w:rsid w:val="008E71D7"/>
    <w:rsid w:val="008E75A3"/>
    <w:rsid w:val="008E78BC"/>
    <w:rsid w:val="008F00B2"/>
    <w:rsid w:val="008F01A0"/>
    <w:rsid w:val="008F170C"/>
    <w:rsid w:val="008F1738"/>
    <w:rsid w:val="008F19D6"/>
    <w:rsid w:val="008F1E7B"/>
    <w:rsid w:val="008F1F28"/>
    <w:rsid w:val="008F1F49"/>
    <w:rsid w:val="008F3595"/>
    <w:rsid w:val="008F383C"/>
    <w:rsid w:val="008F4222"/>
    <w:rsid w:val="008F4E41"/>
    <w:rsid w:val="008F59CF"/>
    <w:rsid w:val="008F5ADB"/>
    <w:rsid w:val="008F5ED0"/>
    <w:rsid w:val="008F60A0"/>
    <w:rsid w:val="008F625C"/>
    <w:rsid w:val="008F63DC"/>
    <w:rsid w:val="008F6704"/>
    <w:rsid w:val="008F7A87"/>
    <w:rsid w:val="008F7D39"/>
    <w:rsid w:val="008F7D90"/>
    <w:rsid w:val="008F7DA3"/>
    <w:rsid w:val="0090001D"/>
    <w:rsid w:val="009003B2"/>
    <w:rsid w:val="00900571"/>
    <w:rsid w:val="00900632"/>
    <w:rsid w:val="00900B4E"/>
    <w:rsid w:val="00900C1C"/>
    <w:rsid w:val="00900E7A"/>
    <w:rsid w:val="00901FAF"/>
    <w:rsid w:val="009021A5"/>
    <w:rsid w:val="00902A4B"/>
    <w:rsid w:val="00902DDA"/>
    <w:rsid w:val="00902FE7"/>
    <w:rsid w:val="00903B59"/>
    <w:rsid w:val="00903D80"/>
    <w:rsid w:val="00904D17"/>
    <w:rsid w:val="009053D0"/>
    <w:rsid w:val="0090614A"/>
    <w:rsid w:val="00906D43"/>
    <w:rsid w:val="009072ED"/>
    <w:rsid w:val="009078CC"/>
    <w:rsid w:val="00907FB7"/>
    <w:rsid w:val="009113A6"/>
    <w:rsid w:val="00911416"/>
    <w:rsid w:val="0091149C"/>
    <w:rsid w:val="0091153A"/>
    <w:rsid w:val="00911AF3"/>
    <w:rsid w:val="00911EF5"/>
    <w:rsid w:val="0091250C"/>
    <w:rsid w:val="0091254E"/>
    <w:rsid w:val="00912740"/>
    <w:rsid w:val="0091287D"/>
    <w:rsid w:val="009132F3"/>
    <w:rsid w:val="00913A38"/>
    <w:rsid w:val="00913C02"/>
    <w:rsid w:val="00913EAE"/>
    <w:rsid w:val="00914026"/>
    <w:rsid w:val="00914400"/>
    <w:rsid w:val="009146C8"/>
    <w:rsid w:val="00914AFE"/>
    <w:rsid w:val="00915529"/>
    <w:rsid w:val="0091589A"/>
    <w:rsid w:val="00916621"/>
    <w:rsid w:val="00916862"/>
    <w:rsid w:val="00916AF1"/>
    <w:rsid w:val="00916DC3"/>
    <w:rsid w:val="00917F12"/>
    <w:rsid w:val="00920559"/>
    <w:rsid w:val="0092064F"/>
    <w:rsid w:val="00920ECC"/>
    <w:rsid w:val="00920ECF"/>
    <w:rsid w:val="009210B6"/>
    <w:rsid w:val="00921117"/>
    <w:rsid w:val="00921415"/>
    <w:rsid w:val="00921A6D"/>
    <w:rsid w:val="00921CC4"/>
    <w:rsid w:val="00922933"/>
    <w:rsid w:val="00922FC8"/>
    <w:rsid w:val="00923443"/>
    <w:rsid w:val="009246D8"/>
    <w:rsid w:val="00924932"/>
    <w:rsid w:val="009254C0"/>
    <w:rsid w:val="009259A5"/>
    <w:rsid w:val="00925B6D"/>
    <w:rsid w:val="009272C5"/>
    <w:rsid w:val="009305E7"/>
    <w:rsid w:val="009308ED"/>
    <w:rsid w:val="00930A56"/>
    <w:rsid w:val="00930C0A"/>
    <w:rsid w:val="00931158"/>
    <w:rsid w:val="0093121D"/>
    <w:rsid w:val="00931673"/>
    <w:rsid w:val="009318A3"/>
    <w:rsid w:val="00931ECD"/>
    <w:rsid w:val="0093218F"/>
    <w:rsid w:val="00932A50"/>
    <w:rsid w:val="00932B22"/>
    <w:rsid w:val="0093305F"/>
    <w:rsid w:val="0093316C"/>
    <w:rsid w:val="009332AD"/>
    <w:rsid w:val="00933A99"/>
    <w:rsid w:val="00933CBC"/>
    <w:rsid w:val="009341C0"/>
    <w:rsid w:val="009342D1"/>
    <w:rsid w:val="009343B4"/>
    <w:rsid w:val="009346CE"/>
    <w:rsid w:val="0093478A"/>
    <w:rsid w:val="00934ABF"/>
    <w:rsid w:val="00934B34"/>
    <w:rsid w:val="009351C8"/>
    <w:rsid w:val="009352D3"/>
    <w:rsid w:val="009358A4"/>
    <w:rsid w:val="00935DF1"/>
    <w:rsid w:val="00936213"/>
    <w:rsid w:val="00936DBC"/>
    <w:rsid w:val="00936F99"/>
    <w:rsid w:val="0093718D"/>
    <w:rsid w:val="0093772B"/>
    <w:rsid w:val="0093785A"/>
    <w:rsid w:val="00937C7C"/>
    <w:rsid w:val="00937F36"/>
    <w:rsid w:val="009400E5"/>
    <w:rsid w:val="00940375"/>
    <w:rsid w:val="00940D2A"/>
    <w:rsid w:val="00941103"/>
    <w:rsid w:val="009411C1"/>
    <w:rsid w:val="0094143E"/>
    <w:rsid w:val="0094185C"/>
    <w:rsid w:val="00941A26"/>
    <w:rsid w:val="00941EFB"/>
    <w:rsid w:val="00942022"/>
    <w:rsid w:val="00942524"/>
    <w:rsid w:val="00942B78"/>
    <w:rsid w:val="00943BFB"/>
    <w:rsid w:val="00944265"/>
    <w:rsid w:val="009445C5"/>
    <w:rsid w:val="00944C13"/>
    <w:rsid w:val="0094532D"/>
    <w:rsid w:val="00945CA2"/>
    <w:rsid w:val="00945D18"/>
    <w:rsid w:val="00946150"/>
    <w:rsid w:val="009463E7"/>
    <w:rsid w:val="00946F69"/>
    <w:rsid w:val="00946FA0"/>
    <w:rsid w:val="00947988"/>
    <w:rsid w:val="00947A43"/>
    <w:rsid w:val="00947DAA"/>
    <w:rsid w:val="009500AD"/>
    <w:rsid w:val="009508F5"/>
    <w:rsid w:val="00950B50"/>
    <w:rsid w:val="00950B94"/>
    <w:rsid w:val="00950D95"/>
    <w:rsid w:val="0095154C"/>
    <w:rsid w:val="009516A9"/>
    <w:rsid w:val="00951924"/>
    <w:rsid w:val="00952119"/>
    <w:rsid w:val="009526E8"/>
    <w:rsid w:val="00952CBE"/>
    <w:rsid w:val="00953077"/>
    <w:rsid w:val="009531BE"/>
    <w:rsid w:val="009532EE"/>
    <w:rsid w:val="00953EAF"/>
    <w:rsid w:val="00954C9E"/>
    <w:rsid w:val="0095537C"/>
    <w:rsid w:val="00955BA7"/>
    <w:rsid w:val="00955FB6"/>
    <w:rsid w:val="0095676A"/>
    <w:rsid w:val="00956868"/>
    <w:rsid w:val="00956910"/>
    <w:rsid w:val="00956E15"/>
    <w:rsid w:val="00956EBA"/>
    <w:rsid w:val="0095701D"/>
    <w:rsid w:val="0095745B"/>
    <w:rsid w:val="00957633"/>
    <w:rsid w:val="0095769D"/>
    <w:rsid w:val="009577A8"/>
    <w:rsid w:val="00960305"/>
    <w:rsid w:val="00960C58"/>
    <w:rsid w:val="00960C64"/>
    <w:rsid w:val="00960CD0"/>
    <w:rsid w:val="0096147A"/>
    <w:rsid w:val="00961869"/>
    <w:rsid w:val="009618E0"/>
    <w:rsid w:val="00961C75"/>
    <w:rsid w:val="009620DC"/>
    <w:rsid w:val="00962240"/>
    <w:rsid w:val="00962436"/>
    <w:rsid w:val="00962A6A"/>
    <w:rsid w:val="00962E09"/>
    <w:rsid w:val="00963084"/>
    <w:rsid w:val="009633BB"/>
    <w:rsid w:val="00963462"/>
    <w:rsid w:val="009634C6"/>
    <w:rsid w:val="00963A86"/>
    <w:rsid w:val="00963B5A"/>
    <w:rsid w:val="00963E5C"/>
    <w:rsid w:val="0096578D"/>
    <w:rsid w:val="009659EF"/>
    <w:rsid w:val="00965DBD"/>
    <w:rsid w:val="00966842"/>
    <w:rsid w:val="00966898"/>
    <w:rsid w:val="00967760"/>
    <w:rsid w:val="00967AF9"/>
    <w:rsid w:val="00967E8D"/>
    <w:rsid w:val="00967F91"/>
    <w:rsid w:val="00970080"/>
    <w:rsid w:val="009705F5"/>
    <w:rsid w:val="00970A69"/>
    <w:rsid w:val="00970D15"/>
    <w:rsid w:val="00971194"/>
    <w:rsid w:val="00971896"/>
    <w:rsid w:val="009719DE"/>
    <w:rsid w:val="00972629"/>
    <w:rsid w:val="0097281F"/>
    <w:rsid w:val="00972913"/>
    <w:rsid w:val="00972B62"/>
    <w:rsid w:val="00972C5D"/>
    <w:rsid w:val="0097382B"/>
    <w:rsid w:val="00973D4F"/>
    <w:rsid w:val="009741BF"/>
    <w:rsid w:val="009748B9"/>
    <w:rsid w:val="00975366"/>
    <w:rsid w:val="00975588"/>
    <w:rsid w:val="0097577B"/>
    <w:rsid w:val="00975C37"/>
    <w:rsid w:val="00975C54"/>
    <w:rsid w:val="009762FD"/>
    <w:rsid w:val="00976468"/>
    <w:rsid w:val="00976912"/>
    <w:rsid w:val="00977058"/>
    <w:rsid w:val="00977222"/>
    <w:rsid w:val="00977292"/>
    <w:rsid w:val="009777AB"/>
    <w:rsid w:val="00977D3E"/>
    <w:rsid w:val="00980BCB"/>
    <w:rsid w:val="00980BD5"/>
    <w:rsid w:val="00981219"/>
    <w:rsid w:val="00981CC1"/>
    <w:rsid w:val="00982F92"/>
    <w:rsid w:val="00983C0A"/>
    <w:rsid w:val="00984290"/>
    <w:rsid w:val="009842AE"/>
    <w:rsid w:val="009843A7"/>
    <w:rsid w:val="009847E9"/>
    <w:rsid w:val="00984DB3"/>
    <w:rsid w:val="00984DDF"/>
    <w:rsid w:val="009853B6"/>
    <w:rsid w:val="009854F2"/>
    <w:rsid w:val="0098613E"/>
    <w:rsid w:val="00986568"/>
    <w:rsid w:val="00986907"/>
    <w:rsid w:val="00986D62"/>
    <w:rsid w:val="00986F05"/>
    <w:rsid w:val="0098710B"/>
    <w:rsid w:val="00987A73"/>
    <w:rsid w:val="00987EBA"/>
    <w:rsid w:val="00987F4F"/>
    <w:rsid w:val="009908D9"/>
    <w:rsid w:val="00990CEC"/>
    <w:rsid w:val="00991296"/>
    <w:rsid w:val="00991410"/>
    <w:rsid w:val="009916D8"/>
    <w:rsid w:val="00991BE5"/>
    <w:rsid w:val="00991FD0"/>
    <w:rsid w:val="009926DA"/>
    <w:rsid w:val="00992F3B"/>
    <w:rsid w:val="00993191"/>
    <w:rsid w:val="009938D0"/>
    <w:rsid w:val="0099483F"/>
    <w:rsid w:val="00995114"/>
    <w:rsid w:val="009958D0"/>
    <w:rsid w:val="0099627A"/>
    <w:rsid w:val="0099646F"/>
    <w:rsid w:val="0099647B"/>
    <w:rsid w:val="00996986"/>
    <w:rsid w:val="00996F4C"/>
    <w:rsid w:val="00997463"/>
    <w:rsid w:val="0099749A"/>
    <w:rsid w:val="00997B2A"/>
    <w:rsid w:val="00997F04"/>
    <w:rsid w:val="009A0D46"/>
    <w:rsid w:val="009A0F5E"/>
    <w:rsid w:val="009A131B"/>
    <w:rsid w:val="009A159D"/>
    <w:rsid w:val="009A184A"/>
    <w:rsid w:val="009A19A8"/>
    <w:rsid w:val="009A1D3B"/>
    <w:rsid w:val="009A1D96"/>
    <w:rsid w:val="009A293A"/>
    <w:rsid w:val="009A3257"/>
    <w:rsid w:val="009A34AF"/>
    <w:rsid w:val="009A3998"/>
    <w:rsid w:val="009A3C21"/>
    <w:rsid w:val="009A429B"/>
    <w:rsid w:val="009A4372"/>
    <w:rsid w:val="009A445F"/>
    <w:rsid w:val="009A534D"/>
    <w:rsid w:val="009A58B7"/>
    <w:rsid w:val="009A5B37"/>
    <w:rsid w:val="009A5FED"/>
    <w:rsid w:val="009A6019"/>
    <w:rsid w:val="009A621F"/>
    <w:rsid w:val="009A634F"/>
    <w:rsid w:val="009A6717"/>
    <w:rsid w:val="009A68CF"/>
    <w:rsid w:val="009A6A36"/>
    <w:rsid w:val="009A6A76"/>
    <w:rsid w:val="009A77AD"/>
    <w:rsid w:val="009A7A97"/>
    <w:rsid w:val="009B12A0"/>
    <w:rsid w:val="009B1570"/>
    <w:rsid w:val="009B1C7C"/>
    <w:rsid w:val="009B2073"/>
    <w:rsid w:val="009B238B"/>
    <w:rsid w:val="009B2B40"/>
    <w:rsid w:val="009B3331"/>
    <w:rsid w:val="009B3515"/>
    <w:rsid w:val="009B382C"/>
    <w:rsid w:val="009B3FED"/>
    <w:rsid w:val="009B452B"/>
    <w:rsid w:val="009B4791"/>
    <w:rsid w:val="009B4846"/>
    <w:rsid w:val="009B4882"/>
    <w:rsid w:val="009B4E6A"/>
    <w:rsid w:val="009B52D0"/>
    <w:rsid w:val="009B58BD"/>
    <w:rsid w:val="009B5F58"/>
    <w:rsid w:val="009B6006"/>
    <w:rsid w:val="009B621A"/>
    <w:rsid w:val="009B69B5"/>
    <w:rsid w:val="009B6D01"/>
    <w:rsid w:val="009B6F9D"/>
    <w:rsid w:val="009B75C2"/>
    <w:rsid w:val="009C09B2"/>
    <w:rsid w:val="009C11AA"/>
    <w:rsid w:val="009C1228"/>
    <w:rsid w:val="009C1DD1"/>
    <w:rsid w:val="009C291C"/>
    <w:rsid w:val="009C3700"/>
    <w:rsid w:val="009C389B"/>
    <w:rsid w:val="009C398A"/>
    <w:rsid w:val="009C39CE"/>
    <w:rsid w:val="009C3F8A"/>
    <w:rsid w:val="009C442E"/>
    <w:rsid w:val="009C4F44"/>
    <w:rsid w:val="009C5DE1"/>
    <w:rsid w:val="009C5FD1"/>
    <w:rsid w:val="009C6552"/>
    <w:rsid w:val="009C7872"/>
    <w:rsid w:val="009C7DE0"/>
    <w:rsid w:val="009D0D87"/>
    <w:rsid w:val="009D11D1"/>
    <w:rsid w:val="009D15D5"/>
    <w:rsid w:val="009D1889"/>
    <w:rsid w:val="009D1B2D"/>
    <w:rsid w:val="009D1D2E"/>
    <w:rsid w:val="009D2DB7"/>
    <w:rsid w:val="009D35F0"/>
    <w:rsid w:val="009D36FA"/>
    <w:rsid w:val="009D387B"/>
    <w:rsid w:val="009D3F2C"/>
    <w:rsid w:val="009D40C0"/>
    <w:rsid w:val="009D4E6E"/>
    <w:rsid w:val="009D57FC"/>
    <w:rsid w:val="009D5D27"/>
    <w:rsid w:val="009D5D82"/>
    <w:rsid w:val="009D6634"/>
    <w:rsid w:val="009D66F2"/>
    <w:rsid w:val="009D67C2"/>
    <w:rsid w:val="009D7978"/>
    <w:rsid w:val="009D7997"/>
    <w:rsid w:val="009D7A81"/>
    <w:rsid w:val="009D7F40"/>
    <w:rsid w:val="009E0721"/>
    <w:rsid w:val="009E0A67"/>
    <w:rsid w:val="009E1291"/>
    <w:rsid w:val="009E2E8B"/>
    <w:rsid w:val="009E33D4"/>
    <w:rsid w:val="009E3A36"/>
    <w:rsid w:val="009E3A9E"/>
    <w:rsid w:val="009E461F"/>
    <w:rsid w:val="009E4836"/>
    <w:rsid w:val="009E590C"/>
    <w:rsid w:val="009E6259"/>
    <w:rsid w:val="009E6417"/>
    <w:rsid w:val="009E6991"/>
    <w:rsid w:val="009E7293"/>
    <w:rsid w:val="009E767F"/>
    <w:rsid w:val="009E76EE"/>
    <w:rsid w:val="009E7D89"/>
    <w:rsid w:val="009F0105"/>
    <w:rsid w:val="009F0708"/>
    <w:rsid w:val="009F0AE2"/>
    <w:rsid w:val="009F1D8D"/>
    <w:rsid w:val="009F2BDB"/>
    <w:rsid w:val="009F2D2E"/>
    <w:rsid w:val="009F30DC"/>
    <w:rsid w:val="009F3483"/>
    <w:rsid w:val="009F396B"/>
    <w:rsid w:val="009F3EF6"/>
    <w:rsid w:val="009F3F5A"/>
    <w:rsid w:val="009F4D3D"/>
    <w:rsid w:val="009F4DFB"/>
    <w:rsid w:val="009F5827"/>
    <w:rsid w:val="009F584B"/>
    <w:rsid w:val="009F6BF7"/>
    <w:rsid w:val="009F78BB"/>
    <w:rsid w:val="009F7B97"/>
    <w:rsid w:val="009F7E98"/>
    <w:rsid w:val="00A00A4E"/>
    <w:rsid w:val="00A02150"/>
    <w:rsid w:val="00A0232E"/>
    <w:rsid w:val="00A0243B"/>
    <w:rsid w:val="00A0266A"/>
    <w:rsid w:val="00A02754"/>
    <w:rsid w:val="00A040A0"/>
    <w:rsid w:val="00A043D2"/>
    <w:rsid w:val="00A04442"/>
    <w:rsid w:val="00A0471C"/>
    <w:rsid w:val="00A04893"/>
    <w:rsid w:val="00A04BFE"/>
    <w:rsid w:val="00A04E35"/>
    <w:rsid w:val="00A04E65"/>
    <w:rsid w:val="00A04F04"/>
    <w:rsid w:val="00A05107"/>
    <w:rsid w:val="00A053CB"/>
    <w:rsid w:val="00A054D3"/>
    <w:rsid w:val="00A05ADA"/>
    <w:rsid w:val="00A05E90"/>
    <w:rsid w:val="00A0600A"/>
    <w:rsid w:val="00A063F9"/>
    <w:rsid w:val="00A06FE6"/>
    <w:rsid w:val="00A07528"/>
    <w:rsid w:val="00A07E35"/>
    <w:rsid w:val="00A104FF"/>
    <w:rsid w:val="00A10F85"/>
    <w:rsid w:val="00A11187"/>
    <w:rsid w:val="00A1150F"/>
    <w:rsid w:val="00A1350B"/>
    <w:rsid w:val="00A1368A"/>
    <w:rsid w:val="00A1368E"/>
    <w:rsid w:val="00A13808"/>
    <w:rsid w:val="00A14438"/>
    <w:rsid w:val="00A14B55"/>
    <w:rsid w:val="00A14DA9"/>
    <w:rsid w:val="00A15C2E"/>
    <w:rsid w:val="00A15F91"/>
    <w:rsid w:val="00A16960"/>
    <w:rsid w:val="00A16B36"/>
    <w:rsid w:val="00A16C86"/>
    <w:rsid w:val="00A17D16"/>
    <w:rsid w:val="00A17D8C"/>
    <w:rsid w:val="00A2056E"/>
    <w:rsid w:val="00A21035"/>
    <w:rsid w:val="00A211A9"/>
    <w:rsid w:val="00A219AA"/>
    <w:rsid w:val="00A21A45"/>
    <w:rsid w:val="00A22152"/>
    <w:rsid w:val="00A229B5"/>
    <w:rsid w:val="00A22AB0"/>
    <w:rsid w:val="00A232EC"/>
    <w:rsid w:val="00A23C6C"/>
    <w:rsid w:val="00A240C3"/>
    <w:rsid w:val="00A2448D"/>
    <w:rsid w:val="00A24692"/>
    <w:rsid w:val="00A24719"/>
    <w:rsid w:val="00A24B05"/>
    <w:rsid w:val="00A25457"/>
    <w:rsid w:val="00A25923"/>
    <w:rsid w:val="00A25ECF"/>
    <w:rsid w:val="00A25F1C"/>
    <w:rsid w:val="00A26032"/>
    <w:rsid w:val="00A268F9"/>
    <w:rsid w:val="00A2736A"/>
    <w:rsid w:val="00A2756E"/>
    <w:rsid w:val="00A27A22"/>
    <w:rsid w:val="00A3028F"/>
    <w:rsid w:val="00A307BB"/>
    <w:rsid w:val="00A30D2E"/>
    <w:rsid w:val="00A31093"/>
    <w:rsid w:val="00A310A5"/>
    <w:rsid w:val="00A315A5"/>
    <w:rsid w:val="00A318DA"/>
    <w:rsid w:val="00A31984"/>
    <w:rsid w:val="00A319DC"/>
    <w:rsid w:val="00A3239B"/>
    <w:rsid w:val="00A32AAC"/>
    <w:rsid w:val="00A32FAC"/>
    <w:rsid w:val="00A34789"/>
    <w:rsid w:val="00A34999"/>
    <w:rsid w:val="00A34AEC"/>
    <w:rsid w:val="00A357BB"/>
    <w:rsid w:val="00A35831"/>
    <w:rsid w:val="00A35890"/>
    <w:rsid w:val="00A35BE6"/>
    <w:rsid w:val="00A36B6A"/>
    <w:rsid w:val="00A36D90"/>
    <w:rsid w:val="00A37302"/>
    <w:rsid w:val="00A378AA"/>
    <w:rsid w:val="00A37E23"/>
    <w:rsid w:val="00A37F62"/>
    <w:rsid w:val="00A400FA"/>
    <w:rsid w:val="00A40571"/>
    <w:rsid w:val="00A40713"/>
    <w:rsid w:val="00A40AA1"/>
    <w:rsid w:val="00A40C70"/>
    <w:rsid w:val="00A40C9B"/>
    <w:rsid w:val="00A41446"/>
    <w:rsid w:val="00A41569"/>
    <w:rsid w:val="00A417E8"/>
    <w:rsid w:val="00A41915"/>
    <w:rsid w:val="00A4195C"/>
    <w:rsid w:val="00A41A23"/>
    <w:rsid w:val="00A41A6E"/>
    <w:rsid w:val="00A41E98"/>
    <w:rsid w:val="00A42238"/>
    <w:rsid w:val="00A4255D"/>
    <w:rsid w:val="00A42775"/>
    <w:rsid w:val="00A4337C"/>
    <w:rsid w:val="00A43567"/>
    <w:rsid w:val="00A4384C"/>
    <w:rsid w:val="00A43A56"/>
    <w:rsid w:val="00A43B34"/>
    <w:rsid w:val="00A443A9"/>
    <w:rsid w:val="00A447D2"/>
    <w:rsid w:val="00A44AD7"/>
    <w:rsid w:val="00A44C5D"/>
    <w:rsid w:val="00A44F71"/>
    <w:rsid w:val="00A4609A"/>
    <w:rsid w:val="00A46123"/>
    <w:rsid w:val="00A46432"/>
    <w:rsid w:val="00A469B2"/>
    <w:rsid w:val="00A47A48"/>
    <w:rsid w:val="00A47A99"/>
    <w:rsid w:val="00A47BF9"/>
    <w:rsid w:val="00A47D09"/>
    <w:rsid w:val="00A5002C"/>
    <w:rsid w:val="00A500D4"/>
    <w:rsid w:val="00A501C9"/>
    <w:rsid w:val="00A508FA"/>
    <w:rsid w:val="00A50B3C"/>
    <w:rsid w:val="00A517E3"/>
    <w:rsid w:val="00A51B4D"/>
    <w:rsid w:val="00A52841"/>
    <w:rsid w:val="00A528B5"/>
    <w:rsid w:val="00A52C68"/>
    <w:rsid w:val="00A53052"/>
    <w:rsid w:val="00A531A7"/>
    <w:rsid w:val="00A53218"/>
    <w:rsid w:val="00A53260"/>
    <w:rsid w:val="00A54180"/>
    <w:rsid w:val="00A54182"/>
    <w:rsid w:val="00A542F2"/>
    <w:rsid w:val="00A54BD1"/>
    <w:rsid w:val="00A54C4A"/>
    <w:rsid w:val="00A55EC1"/>
    <w:rsid w:val="00A56309"/>
    <w:rsid w:val="00A5662F"/>
    <w:rsid w:val="00A568A0"/>
    <w:rsid w:val="00A56DB1"/>
    <w:rsid w:val="00A57A20"/>
    <w:rsid w:val="00A60CA5"/>
    <w:rsid w:val="00A614EF"/>
    <w:rsid w:val="00A6186A"/>
    <w:rsid w:val="00A619DD"/>
    <w:rsid w:val="00A61B7D"/>
    <w:rsid w:val="00A62327"/>
    <w:rsid w:val="00A62A1B"/>
    <w:rsid w:val="00A62D8B"/>
    <w:rsid w:val="00A633EF"/>
    <w:rsid w:val="00A63C4D"/>
    <w:rsid w:val="00A63F54"/>
    <w:rsid w:val="00A643F7"/>
    <w:rsid w:val="00A64409"/>
    <w:rsid w:val="00A6470D"/>
    <w:rsid w:val="00A64741"/>
    <w:rsid w:val="00A64CEB"/>
    <w:rsid w:val="00A64EEF"/>
    <w:rsid w:val="00A64F6C"/>
    <w:rsid w:val="00A6577F"/>
    <w:rsid w:val="00A65958"/>
    <w:rsid w:val="00A660A5"/>
    <w:rsid w:val="00A66255"/>
    <w:rsid w:val="00A66717"/>
    <w:rsid w:val="00A668FA"/>
    <w:rsid w:val="00A67350"/>
    <w:rsid w:val="00A673B9"/>
    <w:rsid w:val="00A67C6A"/>
    <w:rsid w:val="00A70058"/>
    <w:rsid w:val="00A70F0A"/>
    <w:rsid w:val="00A71378"/>
    <w:rsid w:val="00A7168D"/>
    <w:rsid w:val="00A71BEA"/>
    <w:rsid w:val="00A7250C"/>
    <w:rsid w:val="00A72BCB"/>
    <w:rsid w:val="00A73007"/>
    <w:rsid w:val="00A73404"/>
    <w:rsid w:val="00A73556"/>
    <w:rsid w:val="00A73578"/>
    <w:rsid w:val="00A737BF"/>
    <w:rsid w:val="00A74606"/>
    <w:rsid w:val="00A754EB"/>
    <w:rsid w:val="00A755BD"/>
    <w:rsid w:val="00A758AB"/>
    <w:rsid w:val="00A759B3"/>
    <w:rsid w:val="00A75CCB"/>
    <w:rsid w:val="00A75CE6"/>
    <w:rsid w:val="00A75DE9"/>
    <w:rsid w:val="00A76089"/>
    <w:rsid w:val="00A76875"/>
    <w:rsid w:val="00A76D23"/>
    <w:rsid w:val="00A76D7D"/>
    <w:rsid w:val="00A76DD7"/>
    <w:rsid w:val="00A76FB6"/>
    <w:rsid w:val="00A77804"/>
    <w:rsid w:val="00A778EB"/>
    <w:rsid w:val="00A8025A"/>
    <w:rsid w:val="00A80316"/>
    <w:rsid w:val="00A80AE8"/>
    <w:rsid w:val="00A80B1A"/>
    <w:rsid w:val="00A80B60"/>
    <w:rsid w:val="00A80B80"/>
    <w:rsid w:val="00A8171C"/>
    <w:rsid w:val="00A81979"/>
    <w:rsid w:val="00A81D43"/>
    <w:rsid w:val="00A82477"/>
    <w:rsid w:val="00A828D9"/>
    <w:rsid w:val="00A82A21"/>
    <w:rsid w:val="00A82B7B"/>
    <w:rsid w:val="00A83018"/>
    <w:rsid w:val="00A835FF"/>
    <w:rsid w:val="00A83926"/>
    <w:rsid w:val="00A84E05"/>
    <w:rsid w:val="00A85E91"/>
    <w:rsid w:val="00A86629"/>
    <w:rsid w:val="00A866A9"/>
    <w:rsid w:val="00A876A1"/>
    <w:rsid w:val="00A878AF"/>
    <w:rsid w:val="00A9051F"/>
    <w:rsid w:val="00A911CB"/>
    <w:rsid w:val="00A911D6"/>
    <w:rsid w:val="00A91DC7"/>
    <w:rsid w:val="00A9257B"/>
    <w:rsid w:val="00A92D4B"/>
    <w:rsid w:val="00A9366C"/>
    <w:rsid w:val="00A93972"/>
    <w:rsid w:val="00A93A69"/>
    <w:rsid w:val="00A943D7"/>
    <w:rsid w:val="00A94530"/>
    <w:rsid w:val="00A9466D"/>
    <w:rsid w:val="00A94AAC"/>
    <w:rsid w:val="00A94CD4"/>
    <w:rsid w:val="00A94FDD"/>
    <w:rsid w:val="00A95261"/>
    <w:rsid w:val="00A964B3"/>
    <w:rsid w:val="00A96F98"/>
    <w:rsid w:val="00A970AE"/>
    <w:rsid w:val="00A97102"/>
    <w:rsid w:val="00A97129"/>
    <w:rsid w:val="00A9762E"/>
    <w:rsid w:val="00A977A0"/>
    <w:rsid w:val="00AA09B2"/>
    <w:rsid w:val="00AA0D05"/>
    <w:rsid w:val="00AA2594"/>
    <w:rsid w:val="00AA2AC2"/>
    <w:rsid w:val="00AA2CD6"/>
    <w:rsid w:val="00AA3322"/>
    <w:rsid w:val="00AA3509"/>
    <w:rsid w:val="00AA3A31"/>
    <w:rsid w:val="00AA42D0"/>
    <w:rsid w:val="00AA4482"/>
    <w:rsid w:val="00AA499D"/>
    <w:rsid w:val="00AA49E1"/>
    <w:rsid w:val="00AA4C0D"/>
    <w:rsid w:val="00AA4DA0"/>
    <w:rsid w:val="00AA54CB"/>
    <w:rsid w:val="00AA564D"/>
    <w:rsid w:val="00AA5E7E"/>
    <w:rsid w:val="00AA61F7"/>
    <w:rsid w:val="00AA6B2D"/>
    <w:rsid w:val="00AA6DF7"/>
    <w:rsid w:val="00AA7346"/>
    <w:rsid w:val="00AA7872"/>
    <w:rsid w:val="00AB0974"/>
    <w:rsid w:val="00AB0E89"/>
    <w:rsid w:val="00AB11E6"/>
    <w:rsid w:val="00AB11EC"/>
    <w:rsid w:val="00AB1729"/>
    <w:rsid w:val="00AB18FA"/>
    <w:rsid w:val="00AB1ED0"/>
    <w:rsid w:val="00AB2024"/>
    <w:rsid w:val="00AB2886"/>
    <w:rsid w:val="00AB28DB"/>
    <w:rsid w:val="00AB2FFC"/>
    <w:rsid w:val="00AB3B60"/>
    <w:rsid w:val="00AB3C80"/>
    <w:rsid w:val="00AB41BC"/>
    <w:rsid w:val="00AB4C9B"/>
    <w:rsid w:val="00AB50F8"/>
    <w:rsid w:val="00AB5586"/>
    <w:rsid w:val="00AB568B"/>
    <w:rsid w:val="00AB5C71"/>
    <w:rsid w:val="00AB5CF1"/>
    <w:rsid w:val="00AB6742"/>
    <w:rsid w:val="00AB73E3"/>
    <w:rsid w:val="00AC00B3"/>
    <w:rsid w:val="00AC0308"/>
    <w:rsid w:val="00AC0740"/>
    <w:rsid w:val="00AC08FE"/>
    <w:rsid w:val="00AC0C53"/>
    <w:rsid w:val="00AC1B2C"/>
    <w:rsid w:val="00AC1FD3"/>
    <w:rsid w:val="00AC2930"/>
    <w:rsid w:val="00AC2B3F"/>
    <w:rsid w:val="00AC2F02"/>
    <w:rsid w:val="00AC51EB"/>
    <w:rsid w:val="00AC5397"/>
    <w:rsid w:val="00AC5663"/>
    <w:rsid w:val="00AC576E"/>
    <w:rsid w:val="00AC5774"/>
    <w:rsid w:val="00AC5C15"/>
    <w:rsid w:val="00AC5F57"/>
    <w:rsid w:val="00AC60CF"/>
    <w:rsid w:val="00AC60FC"/>
    <w:rsid w:val="00AC6240"/>
    <w:rsid w:val="00AC63A7"/>
    <w:rsid w:val="00AC655C"/>
    <w:rsid w:val="00AC7448"/>
    <w:rsid w:val="00AC77A7"/>
    <w:rsid w:val="00AC79A0"/>
    <w:rsid w:val="00AC7B6D"/>
    <w:rsid w:val="00AC7E85"/>
    <w:rsid w:val="00AC7E9B"/>
    <w:rsid w:val="00AC7EAD"/>
    <w:rsid w:val="00AC7EF1"/>
    <w:rsid w:val="00AD022C"/>
    <w:rsid w:val="00AD0C5F"/>
    <w:rsid w:val="00AD16CE"/>
    <w:rsid w:val="00AD173A"/>
    <w:rsid w:val="00AD223B"/>
    <w:rsid w:val="00AD2572"/>
    <w:rsid w:val="00AD3168"/>
    <w:rsid w:val="00AD381F"/>
    <w:rsid w:val="00AD3A17"/>
    <w:rsid w:val="00AD434A"/>
    <w:rsid w:val="00AD44F7"/>
    <w:rsid w:val="00AD4924"/>
    <w:rsid w:val="00AD4B0B"/>
    <w:rsid w:val="00AD50B5"/>
    <w:rsid w:val="00AD5344"/>
    <w:rsid w:val="00AD5359"/>
    <w:rsid w:val="00AD5C53"/>
    <w:rsid w:val="00AD5CFD"/>
    <w:rsid w:val="00AD5FD1"/>
    <w:rsid w:val="00AD5FF5"/>
    <w:rsid w:val="00AD68AA"/>
    <w:rsid w:val="00AD68F8"/>
    <w:rsid w:val="00AD73A9"/>
    <w:rsid w:val="00AD799B"/>
    <w:rsid w:val="00AD7D96"/>
    <w:rsid w:val="00AE0055"/>
    <w:rsid w:val="00AE01EF"/>
    <w:rsid w:val="00AE032A"/>
    <w:rsid w:val="00AE0FD8"/>
    <w:rsid w:val="00AE184A"/>
    <w:rsid w:val="00AE193B"/>
    <w:rsid w:val="00AE1DE6"/>
    <w:rsid w:val="00AE297C"/>
    <w:rsid w:val="00AE3366"/>
    <w:rsid w:val="00AE3574"/>
    <w:rsid w:val="00AE3A05"/>
    <w:rsid w:val="00AE43F3"/>
    <w:rsid w:val="00AE4480"/>
    <w:rsid w:val="00AE44D3"/>
    <w:rsid w:val="00AE45F7"/>
    <w:rsid w:val="00AE4E41"/>
    <w:rsid w:val="00AE56E7"/>
    <w:rsid w:val="00AE624E"/>
    <w:rsid w:val="00AE6434"/>
    <w:rsid w:val="00AE6710"/>
    <w:rsid w:val="00AE6C93"/>
    <w:rsid w:val="00AE7472"/>
    <w:rsid w:val="00AE79E1"/>
    <w:rsid w:val="00AE7E5E"/>
    <w:rsid w:val="00AF0498"/>
    <w:rsid w:val="00AF0F11"/>
    <w:rsid w:val="00AF1B61"/>
    <w:rsid w:val="00AF1DB0"/>
    <w:rsid w:val="00AF20D6"/>
    <w:rsid w:val="00AF2763"/>
    <w:rsid w:val="00AF4639"/>
    <w:rsid w:val="00AF4ABB"/>
    <w:rsid w:val="00AF4AEB"/>
    <w:rsid w:val="00AF4EDE"/>
    <w:rsid w:val="00AF51DF"/>
    <w:rsid w:val="00AF5549"/>
    <w:rsid w:val="00AF65AB"/>
    <w:rsid w:val="00AF6B60"/>
    <w:rsid w:val="00AF6DC5"/>
    <w:rsid w:val="00AF6E83"/>
    <w:rsid w:val="00AF75A8"/>
    <w:rsid w:val="00AF7697"/>
    <w:rsid w:val="00AF786B"/>
    <w:rsid w:val="00AF7DCD"/>
    <w:rsid w:val="00B000F3"/>
    <w:rsid w:val="00B00BFE"/>
    <w:rsid w:val="00B019B9"/>
    <w:rsid w:val="00B02AE3"/>
    <w:rsid w:val="00B03685"/>
    <w:rsid w:val="00B039B4"/>
    <w:rsid w:val="00B03B77"/>
    <w:rsid w:val="00B048AA"/>
    <w:rsid w:val="00B0546C"/>
    <w:rsid w:val="00B05B0F"/>
    <w:rsid w:val="00B05F72"/>
    <w:rsid w:val="00B067BB"/>
    <w:rsid w:val="00B067C7"/>
    <w:rsid w:val="00B0686A"/>
    <w:rsid w:val="00B0686E"/>
    <w:rsid w:val="00B06A94"/>
    <w:rsid w:val="00B07E27"/>
    <w:rsid w:val="00B10369"/>
    <w:rsid w:val="00B10B2D"/>
    <w:rsid w:val="00B1131A"/>
    <w:rsid w:val="00B116CB"/>
    <w:rsid w:val="00B11909"/>
    <w:rsid w:val="00B11C41"/>
    <w:rsid w:val="00B1274B"/>
    <w:rsid w:val="00B12B36"/>
    <w:rsid w:val="00B12CFA"/>
    <w:rsid w:val="00B1380E"/>
    <w:rsid w:val="00B1399F"/>
    <w:rsid w:val="00B1407D"/>
    <w:rsid w:val="00B1415C"/>
    <w:rsid w:val="00B1426E"/>
    <w:rsid w:val="00B147D3"/>
    <w:rsid w:val="00B14BAE"/>
    <w:rsid w:val="00B1567F"/>
    <w:rsid w:val="00B158AE"/>
    <w:rsid w:val="00B158CA"/>
    <w:rsid w:val="00B15E4D"/>
    <w:rsid w:val="00B1644D"/>
    <w:rsid w:val="00B16BAB"/>
    <w:rsid w:val="00B170E0"/>
    <w:rsid w:val="00B17387"/>
    <w:rsid w:val="00B17AC9"/>
    <w:rsid w:val="00B17F7C"/>
    <w:rsid w:val="00B2091D"/>
    <w:rsid w:val="00B20CAF"/>
    <w:rsid w:val="00B211CD"/>
    <w:rsid w:val="00B21AF1"/>
    <w:rsid w:val="00B21F76"/>
    <w:rsid w:val="00B221F5"/>
    <w:rsid w:val="00B22305"/>
    <w:rsid w:val="00B23070"/>
    <w:rsid w:val="00B2373F"/>
    <w:rsid w:val="00B23975"/>
    <w:rsid w:val="00B23D87"/>
    <w:rsid w:val="00B240AC"/>
    <w:rsid w:val="00B243B4"/>
    <w:rsid w:val="00B24AA1"/>
    <w:rsid w:val="00B24E49"/>
    <w:rsid w:val="00B2516C"/>
    <w:rsid w:val="00B2587A"/>
    <w:rsid w:val="00B2599E"/>
    <w:rsid w:val="00B26190"/>
    <w:rsid w:val="00B26722"/>
    <w:rsid w:val="00B27591"/>
    <w:rsid w:val="00B27E9D"/>
    <w:rsid w:val="00B3042A"/>
    <w:rsid w:val="00B309CC"/>
    <w:rsid w:val="00B30FEA"/>
    <w:rsid w:val="00B312CC"/>
    <w:rsid w:val="00B317E8"/>
    <w:rsid w:val="00B31CF1"/>
    <w:rsid w:val="00B32354"/>
    <w:rsid w:val="00B32509"/>
    <w:rsid w:val="00B3303C"/>
    <w:rsid w:val="00B33C26"/>
    <w:rsid w:val="00B33ECC"/>
    <w:rsid w:val="00B33FC3"/>
    <w:rsid w:val="00B340E1"/>
    <w:rsid w:val="00B34D84"/>
    <w:rsid w:val="00B34F96"/>
    <w:rsid w:val="00B3530F"/>
    <w:rsid w:val="00B35E3D"/>
    <w:rsid w:val="00B361C5"/>
    <w:rsid w:val="00B362B0"/>
    <w:rsid w:val="00B36583"/>
    <w:rsid w:val="00B36BE0"/>
    <w:rsid w:val="00B36BF3"/>
    <w:rsid w:val="00B375E1"/>
    <w:rsid w:val="00B37715"/>
    <w:rsid w:val="00B37AD3"/>
    <w:rsid w:val="00B37D62"/>
    <w:rsid w:val="00B40221"/>
    <w:rsid w:val="00B40579"/>
    <w:rsid w:val="00B40C51"/>
    <w:rsid w:val="00B41055"/>
    <w:rsid w:val="00B419BC"/>
    <w:rsid w:val="00B42145"/>
    <w:rsid w:val="00B426B0"/>
    <w:rsid w:val="00B42EE3"/>
    <w:rsid w:val="00B4310A"/>
    <w:rsid w:val="00B43616"/>
    <w:rsid w:val="00B4363F"/>
    <w:rsid w:val="00B440A2"/>
    <w:rsid w:val="00B444E3"/>
    <w:rsid w:val="00B44AAF"/>
    <w:rsid w:val="00B45041"/>
    <w:rsid w:val="00B451ED"/>
    <w:rsid w:val="00B4557F"/>
    <w:rsid w:val="00B456E2"/>
    <w:rsid w:val="00B45716"/>
    <w:rsid w:val="00B46A50"/>
    <w:rsid w:val="00B46EA7"/>
    <w:rsid w:val="00B46EB1"/>
    <w:rsid w:val="00B46FBC"/>
    <w:rsid w:val="00B47002"/>
    <w:rsid w:val="00B47170"/>
    <w:rsid w:val="00B47367"/>
    <w:rsid w:val="00B477D1"/>
    <w:rsid w:val="00B479E1"/>
    <w:rsid w:val="00B50302"/>
    <w:rsid w:val="00B503D3"/>
    <w:rsid w:val="00B50A65"/>
    <w:rsid w:val="00B51C5C"/>
    <w:rsid w:val="00B5247C"/>
    <w:rsid w:val="00B5270F"/>
    <w:rsid w:val="00B52B53"/>
    <w:rsid w:val="00B53831"/>
    <w:rsid w:val="00B53BEA"/>
    <w:rsid w:val="00B54004"/>
    <w:rsid w:val="00B5473B"/>
    <w:rsid w:val="00B547E0"/>
    <w:rsid w:val="00B55BB2"/>
    <w:rsid w:val="00B55D55"/>
    <w:rsid w:val="00B563B2"/>
    <w:rsid w:val="00B566C7"/>
    <w:rsid w:val="00B571E1"/>
    <w:rsid w:val="00B57C54"/>
    <w:rsid w:val="00B60918"/>
    <w:rsid w:val="00B60A00"/>
    <w:rsid w:val="00B6143B"/>
    <w:rsid w:val="00B615F6"/>
    <w:rsid w:val="00B616FA"/>
    <w:rsid w:val="00B617AE"/>
    <w:rsid w:val="00B618F4"/>
    <w:rsid w:val="00B61A01"/>
    <w:rsid w:val="00B61BC0"/>
    <w:rsid w:val="00B61FB2"/>
    <w:rsid w:val="00B623C8"/>
    <w:rsid w:val="00B62627"/>
    <w:rsid w:val="00B62DF9"/>
    <w:rsid w:val="00B63183"/>
    <w:rsid w:val="00B6353B"/>
    <w:rsid w:val="00B638CC"/>
    <w:rsid w:val="00B6394E"/>
    <w:rsid w:val="00B64611"/>
    <w:rsid w:val="00B64C52"/>
    <w:rsid w:val="00B64E1B"/>
    <w:rsid w:val="00B65145"/>
    <w:rsid w:val="00B6530F"/>
    <w:rsid w:val="00B66108"/>
    <w:rsid w:val="00B66297"/>
    <w:rsid w:val="00B662F3"/>
    <w:rsid w:val="00B6737F"/>
    <w:rsid w:val="00B67949"/>
    <w:rsid w:val="00B7004B"/>
    <w:rsid w:val="00B7024B"/>
    <w:rsid w:val="00B70445"/>
    <w:rsid w:val="00B7085C"/>
    <w:rsid w:val="00B708D4"/>
    <w:rsid w:val="00B70D77"/>
    <w:rsid w:val="00B710F9"/>
    <w:rsid w:val="00B71E1F"/>
    <w:rsid w:val="00B72063"/>
    <w:rsid w:val="00B72B08"/>
    <w:rsid w:val="00B72B40"/>
    <w:rsid w:val="00B7318D"/>
    <w:rsid w:val="00B733D5"/>
    <w:rsid w:val="00B739AA"/>
    <w:rsid w:val="00B73F24"/>
    <w:rsid w:val="00B740A4"/>
    <w:rsid w:val="00B75D5A"/>
    <w:rsid w:val="00B7636A"/>
    <w:rsid w:val="00B76390"/>
    <w:rsid w:val="00B7694A"/>
    <w:rsid w:val="00B76CC2"/>
    <w:rsid w:val="00B773F0"/>
    <w:rsid w:val="00B777C2"/>
    <w:rsid w:val="00B77B84"/>
    <w:rsid w:val="00B80C1D"/>
    <w:rsid w:val="00B814B2"/>
    <w:rsid w:val="00B81D97"/>
    <w:rsid w:val="00B820CF"/>
    <w:rsid w:val="00B8261B"/>
    <w:rsid w:val="00B82978"/>
    <w:rsid w:val="00B82CC7"/>
    <w:rsid w:val="00B834FB"/>
    <w:rsid w:val="00B83ABE"/>
    <w:rsid w:val="00B8489A"/>
    <w:rsid w:val="00B84CB7"/>
    <w:rsid w:val="00B84E01"/>
    <w:rsid w:val="00B851C7"/>
    <w:rsid w:val="00B85711"/>
    <w:rsid w:val="00B85A0C"/>
    <w:rsid w:val="00B85C97"/>
    <w:rsid w:val="00B85F73"/>
    <w:rsid w:val="00B861C6"/>
    <w:rsid w:val="00B86618"/>
    <w:rsid w:val="00B87097"/>
    <w:rsid w:val="00B87622"/>
    <w:rsid w:val="00B87712"/>
    <w:rsid w:val="00B87F85"/>
    <w:rsid w:val="00B9047F"/>
    <w:rsid w:val="00B90B6B"/>
    <w:rsid w:val="00B90E31"/>
    <w:rsid w:val="00B913C9"/>
    <w:rsid w:val="00B925E2"/>
    <w:rsid w:val="00B92604"/>
    <w:rsid w:val="00B93437"/>
    <w:rsid w:val="00B934CF"/>
    <w:rsid w:val="00B93600"/>
    <w:rsid w:val="00B93615"/>
    <w:rsid w:val="00B9428B"/>
    <w:rsid w:val="00B942E3"/>
    <w:rsid w:val="00B946D2"/>
    <w:rsid w:val="00B94BF0"/>
    <w:rsid w:val="00B95012"/>
    <w:rsid w:val="00B953ED"/>
    <w:rsid w:val="00B95B71"/>
    <w:rsid w:val="00B963E0"/>
    <w:rsid w:val="00B96527"/>
    <w:rsid w:val="00B96593"/>
    <w:rsid w:val="00B9662C"/>
    <w:rsid w:val="00B9718B"/>
    <w:rsid w:val="00B975BD"/>
    <w:rsid w:val="00B97A59"/>
    <w:rsid w:val="00B97F77"/>
    <w:rsid w:val="00B97FF8"/>
    <w:rsid w:val="00BA0088"/>
    <w:rsid w:val="00BA0400"/>
    <w:rsid w:val="00BA0B85"/>
    <w:rsid w:val="00BA132A"/>
    <w:rsid w:val="00BA1574"/>
    <w:rsid w:val="00BA1E5E"/>
    <w:rsid w:val="00BA1EBE"/>
    <w:rsid w:val="00BA1F74"/>
    <w:rsid w:val="00BA2EA3"/>
    <w:rsid w:val="00BA2FE2"/>
    <w:rsid w:val="00BA32D3"/>
    <w:rsid w:val="00BA3940"/>
    <w:rsid w:val="00BA3962"/>
    <w:rsid w:val="00BA4142"/>
    <w:rsid w:val="00BA41D6"/>
    <w:rsid w:val="00BA420B"/>
    <w:rsid w:val="00BA4632"/>
    <w:rsid w:val="00BA4734"/>
    <w:rsid w:val="00BA47AE"/>
    <w:rsid w:val="00BA4DAB"/>
    <w:rsid w:val="00BA56C4"/>
    <w:rsid w:val="00BA6305"/>
    <w:rsid w:val="00BA63EB"/>
    <w:rsid w:val="00BA67AA"/>
    <w:rsid w:val="00BA6D30"/>
    <w:rsid w:val="00BA7356"/>
    <w:rsid w:val="00BB0764"/>
    <w:rsid w:val="00BB0A4C"/>
    <w:rsid w:val="00BB0B05"/>
    <w:rsid w:val="00BB0F53"/>
    <w:rsid w:val="00BB1299"/>
    <w:rsid w:val="00BB12E4"/>
    <w:rsid w:val="00BB134F"/>
    <w:rsid w:val="00BB1411"/>
    <w:rsid w:val="00BB1819"/>
    <w:rsid w:val="00BB1933"/>
    <w:rsid w:val="00BB2BEC"/>
    <w:rsid w:val="00BB2DF3"/>
    <w:rsid w:val="00BB2FB7"/>
    <w:rsid w:val="00BB3586"/>
    <w:rsid w:val="00BB358B"/>
    <w:rsid w:val="00BB3A50"/>
    <w:rsid w:val="00BB3E4C"/>
    <w:rsid w:val="00BB4192"/>
    <w:rsid w:val="00BB45DC"/>
    <w:rsid w:val="00BB4863"/>
    <w:rsid w:val="00BB4EFD"/>
    <w:rsid w:val="00BB5084"/>
    <w:rsid w:val="00BB516D"/>
    <w:rsid w:val="00BB5300"/>
    <w:rsid w:val="00BB5374"/>
    <w:rsid w:val="00BB556C"/>
    <w:rsid w:val="00BB582F"/>
    <w:rsid w:val="00BB617E"/>
    <w:rsid w:val="00BB669B"/>
    <w:rsid w:val="00BB69E9"/>
    <w:rsid w:val="00BB6DE9"/>
    <w:rsid w:val="00BB7797"/>
    <w:rsid w:val="00BC0458"/>
    <w:rsid w:val="00BC05E1"/>
    <w:rsid w:val="00BC07BF"/>
    <w:rsid w:val="00BC0D91"/>
    <w:rsid w:val="00BC0FA9"/>
    <w:rsid w:val="00BC17FE"/>
    <w:rsid w:val="00BC192F"/>
    <w:rsid w:val="00BC2229"/>
    <w:rsid w:val="00BC252F"/>
    <w:rsid w:val="00BC2960"/>
    <w:rsid w:val="00BC322C"/>
    <w:rsid w:val="00BC3651"/>
    <w:rsid w:val="00BC36C2"/>
    <w:rsid w:val="00BC3AE7"/>
    <w:rsid w:val="00BC3BDF"/>
    <w:rsid w:val="00BC404F"/>
    <w:rsid w:val="00BC4696"/>
    <w:rsid w:val="00BC4B28"/>
    <w:rsid w:val="00BC559B"/>
    <w:rsid w:val="00BC5647"/>
    <w:rsid w:val="00BC5706"/>
    <w:rsid w:val="00BC63C9"/>
    <w:rsid w:val="00BC68D6"/>
    <w:rsid w:val="00BC6F90"/>
    <w:rsid w:val="00BC7139"/>
    <w:rsid w:val="00BC75D7"/>
    <w:rsid w:val="00BD0249"/>
    <w:rsid w:val="00BD0868"/>
    <w:rsid w:val="00BD0A2C"/>
    <w:rsid w:val="00BD0C74"/>
    <w:rsid w:val="00BD1124"/>
    <w:rsid w:val="00BD1684"/>
    <w:rsid w:val="00BD16F5"/>
    <w:rsid w:val="00BD1843"/>
    <w:rsid w:val="00BD18A3"/>
    <w:rsid w:val="00BD2627"/>
    <w:rsid w:val="00BD2BD7"/>
    <w:rsid w:val="00BD2E07"/>
    <w:rsid w:val="00BD34E9"/>
    <w:rsid w:val="00BD3D62"/>
    <w:rsid w:val="00BD3DF5"/>
    <w:rsid w:val="00BD3ED3"/>
    <w:rsid w:val="00BD437F"/>
    <w:rsid w:val="00BD45CF"/>
    <w:rsid w:val="00BD465E"/>
    <w:rsid w:val="00BD4CEF"/>
    <w:rsid w:val="00BD4FD4"/>
    <w:rsid w:val="00BD5C0C"/>
    <w:rsid w:val="00BD5C61"/>
    <w:rsid w:val="00BD5F3D"/>
    <w:rsid w:val="00BD5FD9"/>
    <w:rsid w:val="00BD62A3"/>
    <w:rsid w:val="00BD65FB"/>
    <w:rsid w:val="00BD66F0"/>
    <w:rsid w:val="00BD6861"/>
    <w:rsid w:val="00BD6FEE"/>
    <w:rsid w:val="00BD702F"/>
    <w:rsid w:val="00BD7167"/>
    <w:rsid w:val="00BD7605"/>
    <w:rsid w:val="00BD760E"/>
    <w:rsid w:val="00BD79B6"/>
    <w:rsid w:val="00BE142B"/>
    <w:rsid w:val="00BE1CCE"/>
    <w:rsid w:val="00BE2095"/>
    <w:rsid w:val="00BE236D"/>
    <w:rsid w:val="00BE2A3B"/>
    <w:rsid w:val="00BE2BEB"/>
    <w:rsid w:val="00BE34F6"/>
    <w:rsid w:val="00BE3520"/>
    <w:rsid w:val="00BE37EB"/>
    <w:rsid w:val="00BE3AB1"/>
    <w:rsid w:val="00BE3B2C"/>
    <w:rsid w:val="00BE558B"/>
    <w:rsid w:val="00BE5688"/>
    <w:rsid w:val="00BE5D1C"/>
    <w:rsid w:val="00BE63F7"/>
    <w:rsid w:val="00BE674A"/>
    <w:rsid w:val="00BE73C6"/>
    <w:rsid w:val="00BE740A"/>
    <w:rsid w:val="00BE76CE"/>
    <w:rsid w:val="00BE7755"/>
    <w:rsid w:val="00BE7783"/>
    <w:rsid w:val="00BE7D08"/>
    <w:rsid w:val="00BE7D3B"/>
    <w:rsid w:val="00BF06CA"/>
    <w:rsid w:val="00BF0DCA"/>
    <w:rsid w:val="00BF0F48"/>
    <w:rsid w:val="00BF182A"/>
    <w:rsid w:val="00BF1A81"/>
    <w:rsid w:val="00BF1BF0"/>
    <w:rsid w:val="00BF25F3"/>
    <w:rsid w:val="00BF2A12"/>
    <w:rsid w:val="00BF2E72"/>
    <w:rsid w:val="00BF3129"/>
    <w:rsid w:val="00BF31AC"/>
    <w:rsid w:val="00BF3E49"/>
    <w:rsid w:val="00BF4174"/>
    <w:rsid w:val="00BF529D"/>
    <w:rsid w:val="00BF57A0"/>
    <w:rsid w:val="00BF5969"/>
    <w:rsid w:val="00BF5F14"/>
    <w:rsid w:val="00BF6658"/>
    <w:rsid w:val="00BF66C6"/>
    <w:rsid w:val="00BF674C"/>
    <w:rsid w:val="00BF678E"/>
    <w:rsid w:val="00BF6E80"/>
    <w:rsid w:val="00C0018E"/>
    <w:rsid w:val="00C00709"/>
    <w:rsid w:val="00C01801"/>
    <w:rsid w:val="00C02D44"/>
    <w:rsid w:val="00C0352F"/>
    <w:rsid w:val="00C03727"/>
    <w:rsid w:val="00C042AE"/>
    <w:rsid w:val="00C04DE4"/>
    <w:rsid w:val="00C05436"/>
    <w:rsid w:val="00C055E0"/>
    <w:rsid w:val="00C056CF"/>
    <w:rsid w:val="00C05A7D"/>
    <w:rsid w:val="00C05D1D"/>
    <w:rsid w:val="00C06BA3"/>
    <w:rsid w:val="00C06DB5"/>
    <w:rsid w:val="00C06DBE"/>
    <w:rsid w:val="00C06EA8"/>
    <w:rsid w:val="00C07175"/>
    <w:rsid w:val="00C0766E"/>
    <w:rsid w:val="00C101E9"/>
    <w:rsid w:val="00C106AD"/>
    <w:rsid w:val="00C108EB"/>
    <w:rsid w:val="00C11A01"/>
    <w:rsid w:val="00C11B85"/>
    <w:rsid w:val="00C124EA"/>
    <w:rsid w:val="00C129B0"/>
    <w:rsid w:val="00C12D76"/>
    <w:rsid w:val="00C13812"/>
    <w:rsid w:val="00C141BB"/>
    <w:rsid w:val="00C14465"/>
    <w:rsid w:val="00C14AED"/>
    <w:rsid w:val="00C14EB5"/>
    <w:rsid w:val="00C15015"/>
    <w:rsid w:val="00C155DC"/>
    <w:rsid w:val="00C15636"/>
    <w:rsid w:val="00C15A35"/>
    <w:rsid w:val="00C15F72"/>
    <w:rsid w:val="00C15FEB"/>
    <w:rsid w:val="00C16388"/>
    <w:rsid w:val="00C165E7"/>
    <w:rsid w:val="00C16782"/>
    <w:rsid w:val="00C16C16"/>
    <w:rsid w:val="00C16EB0"/>
    <w:rsid w:val="00C170B9"/>
    <w:rsid w:val="00C17FFB"/>
    <w:rsid w:val="00C200CE"/>
    <w:rsid w:val="00C21138"/>
    <w:rsid w:val="00C211BE"/>
    <w:rsid w:val="00C21782"/>
    <w:rsid w:val="00C217C6"/>
    <w:rsid w:val="00C21EAE"/>
    <w:rsid w:val="00C22069"/>
    <w:rsid w:val="00C220F7"/>
    <w:rsid w:val="00C22849"/>
    <w:rsid w:val="00C22A14"/>
    <w:rsid w:val="00C2370F"/>
    <w:rsid w:val="00C2420C"/>
    <w:rsid w:val="00C248FD"/>
    <w:rsid w:val="00C24A92"/>
    <w:rsid w:val="00C24DFF"/>
    <w:rsid w:val="00C24FCE"/>
    <w:rsid w:val="00C250A4"/>
    <w:rsid w:val="00C257F2"/>
    <w:rsid w:val="00C25B5F"/>
    <w:rsid w:val="00C261CB"/>
    <w:rsid w:val="00C26512"/>
    <w:rsid w:val="00C267F2"/>
    <w:rsid w:val="00C27049"/>
    <w:rsid w:val="00C274B1"/>
    <w:rsid w:val="00C2786D"/>
    <w:rsid w:val="00C27D0C"/>
    <w:rsid w:val="00C301FD"/>
    <w:rsid w:val="00C30725"/>
    <w:rsid w:val="00C31000"/>
    <w:rsid w:val="00C31023"/>
    <w:rsid w:val="00C31126"/>
    <w:rsid w:val="00C31D3C"/>
    <w:rsid w:val="00C31E2C"/>
    <w:rsid w:val="00C3239D"/>
    <w:rsid w:val="00C32A01"/>
    <w:rsid w:val="00C32A61"/>
    <w:rsid w:val="00C32E8E"/>
    <w:rsid w:val="00C32F06"/>
    <w:rsid w:val="00C33848"/>
    <w:rsid w:val="00C338D8"/>
    <w:rsid w:val="00C33DE5"/>
    <w:rsid w:val="00C34142"/>
    <w:rsid w:val="00C342CF"/>
    <w:rsid w:val="00C34620"/>
    <w:rsid w:val="00C34A4A"/>
    <w:rsid w:val="00C34CE7"/>
    <w:rsid w:val="00C355C0"/>
    <w:rsid w:val="00C35762"/>
    <w:rsid w:val="00C35938"/>
    <w:rsid w:val="00C3593D"/>
    <w:rsid w:val="00C35B31"/>
    <w:rsid w:val="00C35FA2"/>
    <w:rsid w:val="00C36111"/>
    <w:rsid w:val="00C3613F"/>
    <w:rsid w:val="00C36198"/>
    <w:rsid w:val="00C363AB"/>
    <w:rsid w:val="00C369F0"/>
    <w:rsid w:val="00C3762D"/>
    <w:rsid w:val="00C37772"/>
    <w:rsid w:val="00C377B1"/>
    <w:rsid w:val="00C37811"/>
    <w:rsid w:val="00C37A7B"/>
    <w:rsid w:val="00C37CA5"/>
    <w:rsid w:val="00C37DF6"/>
    <w:rsid w:val="00C403AF"/>
    <w:rsid w:val="00C40853"/>
    <w:rsid w:val="00C41459"/>
    <w:rsid w:val="00C4152D"/>
    <w:rsid w:val="00C416C5"/>
    <w:rsid w:val="00C417CB"/>
    <w:rsid w:val="00C418B0"/>
    <w:rsid w:val="00C41EB2"/>
    <w:rsid w:val="00C428E7"/>
    <w:rsid w:val="00C43F2C"/>
    <w:rsid w:val="00C44222"/>
    <w:rsid w:val="00C443DA"/>
    <w:rsid w:val="00C444FE"/>
    <w:rsid w:val="00C44AC9"/>
    <w:rsid w:val="00C44D6D"/>
    <w:rsid w:val="00C44D95"/>
    <w:rsid w:val="00C45004"/>
    <w:rsid w:val="00C457FB"/>
    <w:rsid w:val="00C45A36"/>
    <w:rsid w:val="00C45C94"/>
    <w:rsid w:val="00C45F33"/>
    <w:rsid w:val="00C4648D"/>
    <w:rsid w:val="00C46A51"/>
    <w:rsid w:val="00C46B44"/>
    <w:rsid w:val="00C46EB3"/>
    <w:rsid w:val="00C47458"/>
    <w:rsid w:val="00C47FFB"/>
    <w:rsid w:val="00C50655"/>
    <w:rsid w:val="00C5135E"/>
    <w:rsid w:val="00C51CB8"/>
    <w:rsid w:val="00C526A8"/>
    <w:rsid w:val="00C5283D"/>
    <w:rsid w:val="00C52AF2"/>
    <w:rsid w:val="00C52B17"/>
    <w:rsid w:val="00C52C62"/>
    <w:rsid w:val="00C5323B"/>
    <w:rsid w:val="00C534FD"/>
    <w:rsid w:val="00C5373E"/>
    <w:rsid w:val="00C5413C"/>
    <w:rsid w:val="00C5458D"/>
    <w:rsid w:val="00C5485A"/>
    <w:rsid w:val="00C54D81"/>
    <w:rsid w:val="00C5539B"/>
    <w:rsid w:val="00C55A87"/>
    <w:rsid w:val="00C55DAF"/>
    <w:rsid w:val="00C606F2"/>
    <w:rsid w:val="00C61503"/>
    <w:rsid w:val="00C61C34"/>
    <w:rsid w:val="00C620B8"/>
    <w:rsid w:val="00C6220D"/>
    <w:rsid w:val="00C62DFA"/>
    <w:rsid w:val="00C62F64"/>
    <w:rsid w:val="00C631BE"/>
    <w:rsid w:val="00C634FD"/>
    <w:rsid w:val="00C63552"/>
    <w:rsid w:val="00C63571"/>
    <w:rsid w:val="00C636D2"/>
    <w:rsid w:val="00C638DF"/>
    <w:rsid w:val="00C64311"/>
    <w:rsid w:val="00C64889"/>
    <w:rsid w:val="00C64ACF"/>
    <w:rsid w:val="00C64C65"/>
    <w:rsid w:val="00C652EC"/>
    <w:rsid w:val="00C66D50"/>
    <w:rsid w:val="00C67193"/>
    <w:rsid w:val="00C673D4"/>
    <w:rsid w:val="00C67998"/>
    <w:rsid w:val="00C67A0D"/>
    <w:rsid w:val="00C67F8D"/>
    <w:rsid w:val="00C70ACE"/>
    <w:rsid w:val="00C71C43"/>
    <w:rsid w:val="00C724CB"/>
    <w:rsid w:val="00C7277B"/>
    <w:rsid w:val="00C739CE"/>
    <w:rsid w:val="00C73AD4"/>
    <w:rsid w:val="00C73F24"/>
    <w:rsid w:val="00C741AF"/>
    <w:rsid w:val="00C74836"/>
    <w:rsid w:val="00C749A5"/>
    <w:rsid w:val="00C74DB4"/>
    <w:rsid w:val="00C753F2"/>
    <w:rsid w:val="00C75739"/>
    <w:rsid w:val="00C759C2"/>
    <w:rsid w:val="00C75EC7"/>
    <w:rsid w:val="00C75F3F"/>
    <w:rsid w:val="00C76640"/>
    <w:rsid w:val="00C76688"/>
    <w:rsid w:val="00C77666"/>
    <w:rsid w:val="00C778C7"/>
    <w:rsid w:val="00C8041B"/>
    <w:rsid w:val="00C80472"/>
    <w:rsid w:val="00C80DAC"/>
    <w:rsid w:val="00C80DCF"/>
    <w:rsid w:val="00C80E15"/>
    <w:rsid w:val="00C8111E"/>
    <w:rsid w:val="00C813A4"/>
    <w:rsid w:val="00C81A5D"/>
    <w:rsid w:val="00C81BA3"/>
    <w:rsid w:val="00C81C11"/>
    <w:rsid w:val="00C81F28"/>
    <w:rsid w:val="00C81F70"/>
    <w:rsid w:val="00C820AE"/>
    <w:rsid w:val="00C829B5"/>
    <w:rsid w:val="00C82A05"/>
    <w:rsid w:val="00C82D24"/>
    <w:rsid w:val="00C842A0"/>
    <w:rsid w:val="00C843C0"/>
    <w:rsid w:val="00C867CB"/>
    <w:rsid w:val="00C871F4"/>
    <w:rsid w:val="00C87641"/>
    <w:rsid w:val="00C87D3D"/>
    <w:rsid w:val="00C9016C"/>
    <w:rsid w:val="00C906AB"/>
    <w:rsid w:val="00C90CF7"/>
    <w:rsid w:val="00C916D9"/>
    <w:rsid w:val="00C918EC"/>
    <w:rsid w:val="00C91CC0"/>
    <w:rsid w:val="00C91EAE"/>
    <w:rsid w:val="00C924FB"/>
    <w:rsid w:val="00C9275D"/>
    <w:rsid w:val="00C92BB1"/>
    <w:rsid w:val="00C935A5"/>
    <w:rsid w:val="00C938A1"/>
    <w:rsid w:val="00C93FF6"/>
    <w:rsid w:val="00C943B4"/>
    <w:rsid w:val="00C9456B"/>
    <w:rsid w:val="00C947EE"/>
    <w:rsid w:val="00C94BA1"/>
    <w:rsid w:val="00C9587C"/>
    <w:rsid w:val="00C95949"/>
    <w:rsid w:val="00C95E3E"/>
    <w:rsid w:val="00C961B6"/>
    <w:rsid w:val="00C96638"/>
    <w:rsid w:val="00C968EE"/>
    <w:rsid w:val="00C96BAA"/>
    <w:rsid w:val="00CA0384"/>
    <w:rsid w:val="00CA1027"/>
    <w:rsid w:val="00CA1825"/>
    <w:rsid w:val="00CA196D"/>
    <w:rsid w:val="00CA1A91"/>
    <w:rsid w:val="00CA1DA5"/>
    <w:rsid w:val="00CA1EB0"/>
    <w:rsid w:val="00CA20F4"/>
    <w:rsid w:val="00CA21C2"/>
    <w:rsid w:val="00CA250F"/>
    <w:rsid w:val="00CA2847"/>
    <w:rsid w:val="00CA36C6"/>
    <w:rsid w:val="00CA3909"/>
    <w:rsid w:val="00CA3B35"/>
    <w:rsid w:val="00CA3D61"/>
    <w:rsid w:val="00CA45DF"/>
    <w:rsid w:val="00CA50EB"/>
    <w:rsid w:val="00CA55B7"/>
    <w:rsid w:val="00CA564B"/>
    <w:rsid w:val="00CA5AC0"/>
    <w:rsid w:val="00CA60CC"/>
    <w:rsid w:val="00CA6434"/>
    <w:rsid w:val="00CA6753"/>
    <w:rsid w:val="00CA67A1"/>
    <w:rsid w:val="00CA6E18"/>
    <w:rsid w:val="00CA6EE0"/>
    <w:rsid w:val="00CB0689"/>
    <w:rsid w:val="00CB0899"/>
    <w:rsid w:val="00CB09CF"/>
    <w:rsid w:val="00CB0D41"/>
    <w:rsid w:val="00CB170E"/>
    <w:rsid w:val="00CB1751"/>
    <w:rsid w:val="00CB1864"/>
    <w:rsid w:val="00CB231C"/>
    <w:rsid w:val="00CB27B6"/>
    <w:rsid w:val="00CB2DB3"/>
    <w:rsid w:val="00CB2E80"/>
    <w:rsid w:val="00CB3B3A"/>
    <w:rsid w:val="00CB46F8"/>
    <w:rsid w:val="00CB48CB"/>
    <w:rsid w:val="00CB5351"/>
    <w:rsid w:val="00CB5876"/>
    <w:rsid w:val="00CB5FE1"/>
    <w:rsid w:val="00CB6692"/>
    <w:rsid w:val="00CB6A19"/>
    <w:rsid w:val="00CB6C9D"/>
    <w:rsid w:val="00CB70FC"/>
    <w:rsid w:val="00CB723E"/>
    <w:rsid w:val="00CB787C"/>
    <w:rsid w:val="00CB7FAE"/>
    <w:rsid w:val="00CC0D85"/>
    <w:rsid w:val="00CC156F"/>
    <w:rsid w:val="00CC1A59"/>
    <w:rsid w:val="00CC4003"/>
    <w:rsid w:val="00CC4206"/>
    <w:rsid w:val="00CC4B13"/>
    <w:rsid w:val="00CC4B6C"/>
    <w:rsid w:val="00CC4C66"/>
    <w:rsid w:val="00CC4EFA"/>
    <w:rsid w:val="00CC5305"/>
    <w:rsid w:val="00CC5538"/>
    <w:rsid w:val="00CC589F"/>
    <w:rsid w:val="00CC5A90"/>
    <w:rsid w:val="00CC5F5D"/>
    <w:rsid w:val="00CC6239"/>
    <w:rsid w:val="00CC64E1"/>
    <w:rsid w:val="00CC6767"/>
    <w:rsid w:val="00CC67B9"/>
    <w:rsid w:val="00CC69C7"/>
    <w:rsid w:val="00CC6B9B"/>
    <w:rsid w:val="00CC70BC"/>
    <w:rsid w:val="00CC7218"/>
    <w:rsid w:val="00CC79C1"/>
    <w:rsid w:val="00CC7BE4"/>
    <w:rsid w:val="00CD0052"/>
    <w:rsid w:val="00CD091B"/>
    <w:rsid w:val="00CD0935"/>
    <w:rsid w:val="00CD1196"/>
    <w:rsid w:val="00CD1386"/>
    <w:rsid w:val="00CD14C0"/>
    <w:rsid w:val="00CD188B"/>
    <w:rsid w:val="00CD21A2"/>
    <w:rsid w:val="00CD2261"/>
    <w:rsid w:val="00CD232E"/>
    <w:rsid w:val="00CD237F"/>
    <w:rsid w:val="00CD2EF3"/>
    <w:rsid w:val="00CD40FC"/>
    <w:rsid w:val="00CD4636"/>
    <w:rsid w:val="00CD4977"/>
    <w:rsid w:val="00CD4986"/>
    <w:rsid w:val="00CD4A21"/>
    <w:rsid w:val="00CD57EE"/>
    <w:rsid w:val="00CD5EEC"/>
    <w:rsid w:val="00CD635A"/>
    <w:rsid w:val="00CD6BAC"/>
    <w:rsid w:val="00CD6D3A"/>
    <w:rsid w:val="00CD6F29"/>
    <w:rsid w:val="00CD7062"/>
    <w:rsid w:val="00CD73F3"/>
    <w:rsid w:val="00CD7AE9"/>
    <w:rsid w:val="00CD7BDD"/>
    <w:rsid w:val="00CE108D"/>
    <w:rsid w:val="00CE1C43"/>
    <w:rsid w:val="00CE1FCA"/>
    <w:rsid w:val="00CE2419"/>
    <w:rsid w:val="00CE2539"/>
    <w:rsid w:val="00CE29AC"/>
    <w:rsid w:val="00CE31A4"/>
    <w:rsid w:val="00CE43C4"/>
    <w:rsid w:val="00CE4887"/>
    <w:rsid w:val="00CE489B"/>
    <w:rsid w:val="00CE4B9D"/>
    <w:rsid w:val="00CE4E35"/>
    <w:rsid w:val="00CE5675"/>
    <w:rsid w:val="00CE71C8"/>
    <w:rsid w:val="00CE746B"/>
    <w:rsid w:val="00CE779B"/>
    <w:rsid w:val="00CE7E10"/>
    <w:rsid w:val="00CF000A"/>
    <w:rsid w:val="00CF0B6E"/>
    <w:rsid w:val="00CF0BB3"/>
    <w:rsid w:val="00CF0DD7"/>
    <w:rsid w:val="00CF1691"/>
    <w:rsid w:val="00CF1984"/>
    <w:rsid w:val="00CF1B62"/>
    <w:rsid w:val="00CF21B1"/>
    <w:rsid w:val="00CF22FB"/>
    <w:rsid w:val="00CF2A83"/>
    <w:rsid w:val="00CF2A86"/>
    <w:rsid w:val="00CF2EF0"/>
    <w:rsid w:val="00CF363B"/>
    <w:rsid w:val="00CF3AFB"/>
    <w:rsid w:val="00CF3DC0"/>
    <w:rsid w:val="00CF479E"/>
    <w:rsid w:val="00CF4873"/>
    <w:rsid w:val="00CF4A2A"/>
    <w:rsid w:val="00CF4E6A"/>
    <w:rsid w:val="00CF5115"/>
    <w:rsid w:val="00CF5133"/>
    <w:rsid w:val="00CF5765"/>
    <w:rsid w:val="00CF5942"/>
    <w:rsid w:val="00CF5FE6"/>
    <w:rsid w:val="00CF603A"/>
    <w:rsid w:val="00CF6853"/>
    <w:rsid w:val="00CF71F9"/>
    <w:rsid w:val="00CF7340"/>
    <w:rsid w:val="00CF744C"/>
    <w:rsid w:val="00CF77BC"/>
    <w:rsid w:val="00D00082"/>
    <w:rsid w:val="00D008A4"/>
    <w:rsid w:val="00D0096F"/>
    <w:rsid w:val="00D02473"/>
    <w:rsid w:val="00D02691"/>
    <w:rsid w:val="00D02903"/>
    <w:rsid w:val="00D02AA6"/>
    <w:rsid w:val="00D02C8A"/>
    <w:rsid w:val="00D02D11"/>
    <w:rsid w:val="00D02F44"/>
    <w:rsid w:val="00D037D3"/>
    <w:rsid w:val="00D049A3"/>
    <w:rsid w:val="00D05A39"/>
    <w:rsid w:val="00D05BE2"/>
    <w:rsid w:val="00D06663"/>
    <w:rsid w:val="00D06B98"/>
    <w:rsid w:val="00D06BFD"/>
    <w:rsid w:val="00D06F57"/>
    <w:rsid w:val="00D07799"/>
    <w:rsid w:val="00D07DCE"/>
    <w:rsid w:val="00D101E2"/>
    <w:rsid w:val="00D10622"/>
    <w:rsid w:val="00D10D68"/>
    <w:rsid w:val="00D10DDE"/>
    <w:rsid w:val="00D113C8"/>
    <w:rsid w:val="00D11699"/>
    <w:rsid w:val="00D11C80"/>
    <w:rsid w:val="00D11E4A"/>
    <w:rsid w:val="00D11E69"/>
    <w:rsid w:val="00D12111"/>
    <w:rsid w:val="00D12764"/>
    <w:rsid w:val="00D1357D"/>
    <w:rsid w:val="00D1379E"/>
    <w:rsid w:val="00D1382B"/>
    <w:rsid w:val="00D13911"/>
    <w:rsid w:val="00D15BC6"/>
    <w:rsid w:val="00D15EA9"/>
    <w:rsid w:val="00D166FA"/>
    <w:rsid w:val="00D16F81"/>
    <w:rsid w:val="00D174DE"/>
    <w:rsid w:val="00D1751B"/>
    <w:rsid w:val="00D2048E"/>
    <w:rsid w:val="00D20515"/>
    <w:rsid w:val="00D20BA3"/>
    <w:rsid w:val="00D20CFE"/>
    <w:rsid w:val="00D20D06"/>
    <w:rsid w:val="00D218F4"/>
    <w:rsid w:val="00D22700"/>
    <w:rsid w:val="00D2293F"/>
    <w:rsid w:val="00D237D3"/>
    <w:rsid w:val="00D23805"/>
    <w:rsid w:val="00D23FF2"/>
    <w:rsid w:val="00D24E76"/>
    <w:rsid w:val="00D24FC9"/>
    <w:rsid w:val="00D25410"/>
    <w:rsid w:val="00D25577"/>
    <w:rsid w:val="00D26BF5"/>
    <w:rsid w:val="00D26CE1"/>
    <w:rsid w:val="00D27102"/>
    <w:rsid w:val="00D27502"/>
    <w:rsid w:val="00D27A73"/>
    <w:rsid w:val="00D27A96"/>
    <w:rsid w:val="00D27DC3"/>
    <w:rsid w:val="00D27F2A"/>
    <w:rsid w:val="00D311EE"/>
    <w:rsid w:val="00D329A5"/>
    <w:rsid w:val="00D32A46"/>
    <w:rsid w:val="00D3380E"/>
    <w:rsid w:val="00D34D7B"/>
    <w:rsid w:val="00D34D7C"/>
    <w:rsid w:val="00D34E43"/>
    <w:rsid w:val="00D355EB"/>
    <w:rsid w:val="00D356CE"/>
    <w:rsid w:val="00D35895"/>
    <w:rsid w:val="00D35DE9"/>
    <w:rsid w:val="00D36DE5"/>
    <w:rsid w:val="00D36E14"/>
    <w:rsid w:val="00D37320"/>
    <w:rsid w:val="00D37D41"/>
    <w:rsid w:val="00D37D61"/>
    <w:rsid w:val="00D40023"/>
    <w:rsid w:val="00D4012B"/>
    <w:rsid w:val="00D40960"/>
    <w:rsid w:val="00D40CB8"/>
    <w:rsid w:val="00D41265"/>
    <w:rsid w:val="00D41ABC"/>
    <w:rsid w:val="00D41E8A"/>
    <w:rsid w:val="00D425BE"/>
    <w:rsid w:val="00D428B6"/>
    <w:rsid w:val="00D432DB"/>
    <w:rsid w:val="00D43CC3"/>
    <w:rsid w:val="00D4464D"/>
    <w:rsid w:val="00D44664"/>
    <w:rsid w:val="00D453E5"/>
    <w:rsid w:val="00D4578B"/>
    <w:rsid w:val="00D457DE"/>
    <w:rsid w:val="00D45841"/>
    <w:rsid w:val="00D45C4B"/>
    <w:rsid w:val="00D468AB"/>
    <w:rsid w:val="00D47C86"/>
    <w:rsid w:val="00D50182"/>
    <w:rsid w:val="00D50C56"/>
    <w:rsid w:val="00D51387"/>
    <w:rsid w:val="00D516FB"/>
    <w:rsid w:val="00D51FFA"/>
    <w:rsid w:val="00D52213"/>
    <w:rsid w:val="00D5294B"/>
    <w:rsid w:val="00D52CE8"/>
    <w:rsid w:val="00D53233"/>
    <w:rsid w:val="00D53AB4"/>
    <w:rsid w:val="00D5454E"/>
    <w:rsid w:val="00D54564"/>
    <w:rsid w:val="00D54885"/>
    <w:rsid w:val="00D5498B"/>
    <w:rsid w:val="00D55E07"/>
    <w:rsid w:val="00D570B6"/>
    <w:rsid w:val="00D57190"/>
    <w:rsid w:val="00D5755B"/>
    <w:rsid w:val="00D57613"/>
    <w:rsid w:val="00D5787F"/>
    <w:rsid w:val="00D57E57"/>
    <w:rsid w:val="00D60270"/>
    <w:rsid w:val="00D6033E"/>
    <w:rsid w:val="00D60343"/>
    <w:rsid w:val="00D6042A"/>
    <w:rsid w:val="00D61414"/>
    <w:rsid w:val="00D61FB0"/>
    <w:rsid w:val="00D62B2C"/>
    <w:rsid w:val="00D6451E"/>
    <w:rsid w:val="00D65EA3"/>
    <w:rsid w:val="00D65F66"/>
    <w:rsid w:val="00D66438"/>
    <w:rsid w:val="00D66CAD"/>
    <w:rsid w:val="00D67533"/>
    <w:rsid w:val="00D67673"/>
    <w:rsid w:val="00D67693"/>
    <w:rsid w:val="00D676CE"/>
    <w:rsid w:val="00D67750"/>
    <w:rsid w:val="00D6795A"/>
    <w:rsid w:val="00D67976"/>
    <w:rsid w:val="00D67E37"/>
    <w:rsid w:val="00D70C0E"/>
    <w:rsid w:val="00D70ECE"/>
    <w:rsid w:val="00D71503"/>
    <w:rsid w:val="00D71AA9"/>
    <w:rsid w:val="00D71AAE"/>
    <w:rsid w:val="00D71CAE"/>
    <w:rsid w:val="00D71E50"/>
    <w:rsid w:val="00D72260"/>
    <w:rsid w:val="00D722C0"/>
    <w:rsid w:val="00D7230D"/>
    <w:rsid w:val="00D72871"/>
    <w:rsid w:val="00D73526"/>
    <w:rsid w:val="00D738AF"/>
    <w:rsid w:val="00D749C1"/>
    <w:rsid w:val="00D749CE"/>
    <w:rsid w:val="00D74A6B"/>
    <w:rsid w:val="00D74F1A"/>
    <w:rsid w:val="00D75164"/>
    <w:rsid w:val="00D75701"/>
    <w:rsid w:val="00D75BC6"/>
    <w:rsid w:val="00D75C64"/>
    <w:rsid w:val="00D75D70"/>
    <w:rsid w:val="00D7626D"/>
    <w:rsid w:val="00D76333"/>
    <w:rsid w:val="00D76398"/>
    <w:rsid w:val="00D76540"/>
    <w:rsid w:val="00D76D76"/>
    <w:rsid w:val="00D773C2"/>
    <w:rsid w:val="00D777E7"/>
    <w:rsid w:val="00D80107"/>
    <w:rsid w:val="00D80415"/>
    <w:rsid w:val="00D80803"/>
    <w:rsid w:val="00D80D12"/>
    <w:rsid w:val="00D818AB"/>
    <w:rsid w:val="00D81D1E"/>
    <w:rsid w:val="00D82375"/>
    <w:rsid w:val="00D82C20"/>
    <w:rsid w:val="00D834FC"/>
    <w:rsid w:val="00D8397A"/>
    <w:rsid w:val="00D83F0E"/>
    <w:rsid w:val="00D8427A"/>
    <w:rsid w:val="00D845F9"/>
    <w:rsid w:val="00D84B47"/>
    <w:rsid w:val="00D851FB"/>
    <w:rsid w:val="00D85364"/>
    <w:rsid w:val="00D855AA"/>
    <w:rsid w:val="00D86280"/>
    <w:rsid w:val="00D86455"/>
    <w:rsid w:val="00D86692"/>
    <w:rsid w:val="00D86941"/>
    <w:rsid w:val="00D86B3C"/>
    <w:rsid w:val="00D86CE9"/>
    <w:rsid w:val="00D86F92"/>
    <w:rsid w:val="00D8708E"/>
    <w:rsid w:val="00D87277"/>
    <w:rsid w:val="00D87551"/>
    <w:rsid w:val="00D87A3B"/>
    <w:rsid w:val="00D87EAF"/>
    <w:rsid w:val="00D87FCA"/>
    <w:rsid w:val="00D9002C"/>
    <w:rsid w:val="00D905C7"/>
    <w:rsid w:val="00D90A8A"/>
    <w:rsid w:val="00D9100A"/>
    <w:rsid w:val="00D9193B"/>
    <w:rsid w:val="00D91CD8"/>
    <w:rsid w:val="00D91D53"/>
    <w:rsid w:val="00D92110"/>
    <w:rsid w:val="00D922CF"/>
    <w:rsid w:val="00D928C9"/>
    <w:rsid w:val="00D92EF1"/>
    <w:rsid w:val="00D92FA8"/>
    <w:rsid w:val="00D94246"/>
    <w:rsid w:val="00D943C7"/>
    <w:rsid w:val="00D9471F"/>
    <w:rsid w:val="00D949A1"/>
    <w:rsid w:val="00D94A91"/>
    <w:rsid w:val="00D94AB2"/>
    <w:rsid w:val="00D94BD6"/>
    <w:rsid w:val="00D94F45"/>
    <w:rsid w:val="00D95726"/>
    <w:rsid w:val="00D95A36"/>
    <w:rsid w:val="00D95B34"/>
    <w:rsid w:val="00D964CD"/>
    <w:rsid w:val="00D966A2"/>
    <w:rsid w:val="00D96EBF"/>
    <w:rsid w:val="00D9789E"/>
    <w:rsid w:val="00D979FF"/>
    <w:rsid w:val="00D97A5F"/>
    <w:rsid w:val="00D97A62"/>
    <w:rsid w:val="00D97CEB"/>
    <w:rsid w:val="00DA0E02"/>
    <w:rsid w:val="00DA0F9B"/>
    <w:rsid w:val="00DA101E"/>
    <w:rsid w:val="00DA129E"/>
    <w:rsid w:val="00DA198B"/>
    <w:rsid w:val="00DA1F67"/>
    <w:rsid w:val="00DA1F93"/>
    <w:rsid w:val="00DA2001"/>
    <w:rsid w:val="00DA24D1"/>
    <w:rsid w:val="00DA256F"/>
    <w:rsid w:val="00DA28DC"/>
    <w:rsid w:val="00DA37D8"/>
    <w:rsid w:val="00DA38E5"/>
    <w:rsid w:val="00DA3BD1"/>
    <w:rsid w:val="00DA3C85"/>
    <w:rsid w:val="00DA416A"/>
    <w:rsid w:val="00DA4B27"/>
    <w:rsid w:val="00DA4C4B"/>
    <w:rsid w:val="00DA4EA3"/>
    <w:rsid w:val="00DA50FE"/>
    <w:rsid w:val="00DA5501"/>
    <w:rsid w:val="00DA56B8"/>
    <w:rsid w:val="00DA6CF9"/>
    <w:rsid w:val="00DA7585"/>
    <w:rsid w:val="00DA7BD0"/>
    <w:rsid w:val="00DA7C9B"/>
    <w:rsid w:val="00DA7E10"/>
    <w:rsid w:val="00DB0936"/>
    <w:rsid w:val="00DB0C30"/>
    <w:rsid w:val="00DB1029"/>
    <w:rsid w:val="00DB13EA"/>
    <w:rsid w:val="00DB16E2"/>
    <w:rsid w:val="00DB17ED"/>
    <w:rsid w:val="00DB1D5E"/>
    <w:rsid w:val="00DB1FAC"/>
    <w:rsid w:val="00DB2097"/>
    <w:rsid w:val="00DB2823"/>
    <w:rsid w:val="00DB294D"/>
    <w:rsid w:val="00DB2D1C"/>
    <w:rsid w:val="00DB2FBA"/>
    <w:rsid w:val="00DB3B3D"/>
    <w:rsid w:val="00DB3C2C"/>
    <w:rsid w:val="00DB3F48"/>
    <w:rsid w:val="00DB4096"/>
    <w:rsid w:val="00DB40FE"/>
    <w:rsid w:val="00DB50F4"/>
    <w:rsid w:val="00DB53C8"/>
    <w:rsid w:val="00DB5A26"/>
    <w:rsid w:val="00DB66A6"/>
    <w:rsid w:val="00DB6DDA"/>
    <w:rsid w:val="00DB74C8"/>
    <w:rsid w:val="00DB77E4"/>
    <w:rsid w:val="00DB7867"/>
    <w:rsid w:val="00DB78AC"/>
    <w:rsid w:val="00DB7DCE"/>
    <w:rsid w:val="00DC031D"/>
    <w:rsid w:val="00DC0552"/>
    <w:rsid w:val="00DC0812"/>
    <w:rsid w:val="00DC0BE1"/>
    <w:rsid w:val="00DC1285"/>
    <w:rsid w:val="00DC154B"/>
    <w:rsid w:val="00DC17A5"/>
    <w:rsid w:val="00DC1EAD"/>
    <w:rsid w:val="00DC1FA6"/>
    <w:rsid w:val="00DC2304"/>
    <w:rsid w:val="00DC2578"/>
    <w:rsid w:val="00DC28E7"/>
    <w:rsid w:val="00DC2AC7"/>
    <w:rsid w:val="00DC2B6E"/>
    <w:rsid w:val="00DC2D66"/>
    <w:rsid w:val="00DC369D"/>
    <w:rsid w:val="00DC3858"/>
    <w:rsid w:val="00DC3E17"/>
    <w:rsid w:val="00DC4035"/>
    <w:rsid w:val="00DC4493"/>
    <w:rsid w:val="00DC496A"/>
    <w:rsid w:val="00DC4C26"/>
    <w:rsid w:val="00DC6195"/>
    <w:rsid w:val="00DC65EF"/>
    <w:rsid w:val="00DC6778"/>
    <w:rsid w:val="00DC67F9"/>
    <w:rsid w:val="00DC738C"/>
    <w:rsid w:val="00DC74F7"/>
    <w:rsid w:val="00DC75C6"/>
    <w:rsid w:val="00DC7A69"/>
    <w:rsid w:val="00DD06BE"/>
    <w:rsid w:val="00DD0A0D"/>
    <w:rsid w:val="00DD263E"/>
    <w:rsid w:val="00DD3E74"/>
    <w:rsid w:val="00DD3E96"/>
    <w:rsid w:val="00DD465A"/>
    <w:rsid w:val="00DD4825"/>
    <w:rsid w:val="00DD486D"/>
    <w:rsid w:val="00DD4902"/>
    <w:rsid w:val="00DD4C0F"/>
    <w:rsid w:val="00DD4F68"/>
    <w:rsid w:val="00DD568A"/>
    <w:rsid w:val="00DD57A4"/>
    <w:rsid w:val="00DD6845"/>
    <w:rsid w:val="00DD6A88"/>
    <w:rsid w:val="00DD726D"/>
    <w:rsid w:val="00DD72C6"/>
    <w:rsid w:val="00DD73C8"/>
    <w:rsid w:val="00DD742B"/>
    <w:rsid w:val="00DD752B"/>
    <w:rsid w:val="00DD7822"/>
    <w:rsid w:val="00DD79BD"/>
    <w:rsid w:val="00DD7D09"/>
    <w:rsid w:val="00DE0478"/>
    <w:rsid w:val="00DE06B2"/>
    <w:rsid w:val="00DE0B09"/>
    <w:rsid w:val="00DE0B9F"/>
    <w:rsid w:val="00DE0F01"/>
    <w:rsid w:val="00DE1B29"/>
    <w:rsid w:val="00DE1F94"/>
    <w:rsid w:val="00DE22B7"/>
    <w:rsid w:val="00DE272C"/>
    <w:rsid w:val="00DE28D4"/>
    <w:rsid w:val="00DE2D5C"/>
    <w:rsid w:val="00DE2F41"/>
    <w:rsid w:val="00DE32CA"/>
    <w:rsid w:val="00DE373E"/>
    <w:rsid w:val="00DE3899"/>
    <w:rsid w:val="00DE3F30"/>
    <w:rsid w:val="00DE4492"/>
    <w:rsid w:val="00DE4522"/>
    <w:rsid w:val="00DE48D6"/>
    <w:rsid w:val="00DE48EA"/>
    <w:rsid w:val="00DE4C44"/>
    <w:rsid w:val="00DE528A"/>
    <w:rsid w:val="00DE59D1"/>
    <w:rsid w:val="00DE63BB"/>
    <w:rsid w:val="00DE6723"/>
    <w:rsid w:val="00DE6964"/>
    <w:rsid w:val="00DE6C39"/>
    <w:rsid w:val="00DE70A1"/>
    <w:rsid w:val="00DE711A"/>
    <w:rsid w:val="00DE7332"/>
    <w:rsid w:val="00DF0857"/>
    <w:rsid w:val="00DF0C2C"/>
    <w:rsid w:val="00DF1083"/>
    <w:rsid w:val="00DF180B"/>
    <w:rsid w:val="00DF1F89"/>
    <w:rsid w:val="00DF2275"/>
    <w:rsid w:val="00DF2432"/>
    <w:rsid w:val="00DF2A4C"/>
    <w:rsid w:val="00DF2B84"/>
    <w:rsid w:val="00DF322C"/>
    <w:rsid w:val="00DF3365"/>
    <w:rsid w:val="00DF35CB"/>
    <w:rsid w:val="00DF385F"/>
    <w:rsid w:val="00DF3988"/>
    <w:rsid w:val="00DF3D1D"/>
    <w:rsid w:val="00DF44D3"/>
    <w:rsid w:val="00DF4E9A"/>
    <w:rsid w:val="00DF52D9"/>
    <w:rsid w:val="00DF5656"/>
    <w:rsid w:val="00DF5A53"/>
    <w:rsid w:val="00DF5C91"/>
    <w:rsid w:val="00DF6068"/>
    <w:rsid w:val="00DF6203"/>
    <w:rsid w:val="00DF6454"/>
    <w:rsid w:val="00DF6628"/>
    <w:rsid w:val="00DF67A5"/>
    <w:rsid w:val="00DF67D0"/>
    <w:rsid w:val="00DF6977"/>
    <w:rsid w:val="00DF744B"/>
    <w:rsid w:val="00DF78C2"/>
    <w:rsid w:val="00E005C8"/>
    <w:rsid w:val="00E0079D"/>
    <w:rsid w:val="00E00843"/>
    <w:rsid w:val="00E01395"/>
    <w:rsid w:val="00E017C4"/>
    <w:rsid w:val="00E01871"/>
    <w:rsid w:val="00E01C23"/>
    <w:rsid w:val="00E01CA4"/>
    <w:rsid w:val="00E02450"/>
    <w:rsid w:val="00E026A4"/>
    <w:rsid w:val="00E02777"/>
    <w:rsid w:val="00E02A80"/>
    <w:rsid w:val="00E02BBE"/>
    <w:rsid w:val="00E02BC6"/>
    <w:rsid w:val="00E02E4E"/>
    <w:rsid w:val="00E035A8"/>
    <w:rsid w:val="00E03A5B"/>
    <w:rsid w:val="00E03CE9"/>
    <w:rsid w:val="00E03D55"/>
    <w:rsid w:val="00E03DD6"/>
    <w:rsid w:val="00E0481D"/>
    <w:rsid w:val="00E04D92"/>
    <w:rsid w:val="00E04E56"/>
    <w:rsid w:val="00E04F2D"/>
    <w:rsid w:val="00E05156"/>
    <w:rsid w:val="00E05186"/>
    <w:rsid w:val="00E054B2"/>
    <w:rsid w:val="00E05502"/>
    <w:rsid w:val="00E06027"/>
    <w:rsid w:val="00E06058"/>
    <w:rsid w:val="00E0665A"/>
    <w:rsid w:val="00E0680F"/>
    <w:rsid w:val="00E06C47"/>
    <w:rsid w:val="00E0747D"/>
    <w:rsid w:val="00E07701"/>
    <w:rsid w:val="00E07866"/>
    <w:rsid w:val="00E078D5"/>
    <w:rsid w:val="00E079E4"/>
    <w:rsid w:val="00E1059C"/>
    <w:rsid w:val="00E10CBD"/>
    <w:rsid w:val="00E11D59"/>
    <w:rsid w:val="00E11E43"/>
    <w:rsid w:val="00E12CCF"/>
    <w:rsid w:val="00E12CF7"/>
    <w:rsid w:val="00E12EFB"/>
    <w:rsid w:val="00E131D6"/>
    <w:rsid w:val="00E13E3F"/>
    <w:rsid w:val="00E1471D"/>
    <w:rsid w:val="00E1595E"/>
    <w:rsid w:val="00E15D3E"/>
    <w:rsid w:val="00E166A5"/>
    <w:rsid w:val="00E16BED"/>
    <w:rsid w:val="00E17053"/>
    <w:rsid w:val="00E178F5"/>
    <w:rsid w:val="00E20129"/>
    <w:rsid w:val="00E208A1"/>
    <w:rsid w:val="00E20DF6"/>
    <w:rsid w:val="00E21282"/>
    <w:rsid w:val="00E21654"/>
    <w:rsid w:val="00E216B1"/>
    <w:rsid w:val="00E2205D"/>
    <w:rsid w:val="00E22CC8"/>
    <w:rsid w:val="00E231C3"/>
    <w:rsid w:val="00E231C6"/>
    <w:rsid w:val="00E23505"/>
    <w:rsid w:val="00E2360A"/>
    <w:rsid w:val="00E23696"/>
    <w:rsid w:val="00E2369D"/>
    <w:rsid w:val="00E23F47"/>
    <w:rsid w:val="00E240DD"/>
    <w:rsid w:val="00E24495"/>
    <w:rsid w:val="00E245D9"/>
    <w:rsid w:val="00E246AF"/>
    <w:rsid w:val="00E2527B"/>
    <w:rsid w:val="00E259DC"/>
    <w:rsid w:val="00E2697A"/>
    <w:rsid w:val="00E277E2"/>
    <w:rsid w:val="00E31622"/>
    <w:rsid w:val="00E321E0"/>
    <w:rsid w:val="00E3236E"/>
    <w:rsid w:val="00E325FE"/>
    <w:rsid w:val="00E32841"/>
    <w:rsid w:val="00E3383F"/>
    <w:rsid w:val="00E33928"/>
    <w:rsid w:val="00E33EAE"/>
    <w:rsid w:val="00E34377"/>
    <w:rsid w:val="00E344AE"/>
    <w:rsid w:val="00E34DF6"/>
    <w:rsid w:val="00E35400"/>
    <w:rsid w:val="00E35725"/>
    <w:rsid w:val="00E358DC"/>
    <w:rsid w:val="00E35BAB"/>
    <w:rsid w:val="00E3651E"/>
    <w:rsid w:val="00E373FF"/>
    <w:rsid w:val="00E37689"/>
    <w:rsid w:val="00E4041D"/>
    <w:rsid w:val="00E404B3"/>
    <w:rsid w:val="00E4064A"/>
    <w:rsid w:val="00E40CCD"/>
    <w:rsid w:val="00E40CCF"/>
    <w:rsid w:val="00E41D27"/>
    <w:rsid w:val="00E41DA4"/>
    <w:rsid w:val="00E41EA2"/>
    <w:rsid w:val="00E4250C"/>
    <w:rsid w:val="00E42A80"/>
    <w:rsid w:val="00E42DED"/>
    <w:rsid w:val="00E42F00"/>
    <w:rsid w:val="00E43368"/>
    <w:rsid w:val="00E43598"/>
    <w:rsid w:val="00E43689"/>
    <w:rsid w:val="00E43BA0"/>
    <w:rsid w:val="00E43D51"/>
    <w:rsid w:val="00E44138"/>
    <w:rsid w:val="00E442DB"/>
    <w:rsid w:val="00E448AD"/>
    <w:rsid w:val="00E44BF1"/>
    <w:rsid w:val="00E452F3"/>
    <w:rsid w:val="00E456CA"/>
    <w:rsid w:val="00E45771"/>
    <w:rsid w:val="00E45993"/>
    <w:rsid w:val="00E45A07"/>
    <w:rsid w:val="00E46F5F"/>
    <w:rsid w:val="00E46F6A"/>
    <w:rsid w:val="00E47941"/>
    <w:rsid w:val="00E50371"/>
    <w:rsid w:val="00E5085D"/>
    <w:rsid w:val="00E50CBC"/>
    <w:rsid w:val="00E51089"/>
    <w:rsid w:val="00E5146C"/>
    <w:rsid w:val="00E514B5"/>
    <w:rsid w:val="00E514B9"/>
    <w:rsid w:val="00E51974"/>
    <w:rsid w:val="00E51B9D"/>
    <w:rsid w:val="00E51E15"/>
    <w:rsid w:val="00E5251D"/>
    <w:rsid w:val="00E52827"/>
    <w:rsid w:val="00E53654"/>
    <w:rsid w:val="00E537E2"/>
    <w:rsid w:val="00E539BE"/>
    <w:rsid w:val="00E53A73"/>
    <w:rsid w:val="00E53AC5"/>
    <w:rsid w:val="00E5446D"/>
    <w:rsid w:val="00E556AA"/>
    <w:rsid w:val="00E55732"/>
    <w:rsid w:val="00E558B0"/>
    <w:rsid w:val="00E55D57"/>
    <w:rsid w:val="00E561EE"/>
    <w:rsid w:val="00E56BF7"/>
    <w:rsid w:val="00E56F2E"/>
    <w:rsid w:val="00E57096"/>
    <w:rsid w:val="00E574B6"/>
    <w:rsid w:val="00E579BB"/>
    <w:rsid w:val="00E579D4"/>
    <w:rsid w:val="00E57DAD"/>
    <w:rsid w:val="00E6037E"/>
    <w:rsid w:val="00E605AF"/>
    <w:rsid w:val="00E606C0"/>
    <w:rsid w:val="00E60AD0"/>
    <w:rsid w:val="00E6142F"/>
    <w:rsid w:val="00E61A32"/>
    <w:rsid w:val="00E620EA"/>
    <w:rsid w:val="00E62D4C"/>
    <w:rsid w:val="00E63A82"/>
    <w:rsid w:val="00E63D05"/>
    <w:rsid w:val="00E64B48"/>
    <w:rsid w:val="00E64DA7"/>
    <w:rsid w:val="00E64E73"/>
    <w:rsid w:val="00E65D93"/>
    <w:rsid w:val="00E65E9D"/>
    <w:rsid w:val="00E6608B"/>
    <w:rsid w:val="00E661DE"/>
    <w:rsid w:val="00E6679B"/>
    <w:rsid w:val="00E66AB0"/>
    <w:rsid w:val="00E6707D"/>
    <w:rsid w:val="00E67313"/>
    <w:rsid w:val="00E67C17"/>
    <w:rsid w:val="00E70097"/>
    <w:rsid w:val="00E7022D"/>
    <w:rsid w:val="00E7081C"/>
    <w:rsid w:val="00E70E7F"/>
    <w:rsid w:val="00E710DD"/>
    <w:rsid w:val="00E716E6"/>
    <w:rsid w:val="00E71A92"/>
    <w:rsid w:val="00E71D1A"/>
    <w:rsid w:val="00E71F97"/>
    <w:rsid w:val="00E72033"/>
    <w:rsid w:val="00E72414"/>
    <w:rsid w:val="00E72910"/>
    <w:rsid w:val="00E729AD"/>
    <w:rsid w:val="00E72D68"/>
    <w:rsid w:val="00E735E9"/>
    <w:rsid w:val="00E73B36"/>
    <w:rsid w:val="00E73E04"/>
    <w:rsid w:val="00E7403E"/>
    <w:rsid w:val="00E743AA"/>
    <w:rsid w:val="00E74DD5"/>
    <w:rsid w:val="00E75691"/>
    <w:rsid w:val="00E75761"/>
    <w:rsid w:val="00E76144"/>
    <w:rsid w:val="00E772CD"/>
    <w:rsid w:val="00E77651"/>
    <w:rsid w:val="00E77BE2"/>
    <w:rsid w:val="00E77FCE"/>
    <w:rsid w:val="00E801DA"/>
    <w:rsid w:val="00E804FD"/>
    <w:rsid w:val="00E813EE"/>
    <w:rsid w:val="00E81691"/>
    <w:rsid w:val="00E824D4"/>
    <w:rsid w:val="00E82803"/>
    <w:rsid w:val="00E82ACD"/>
    <w:rsid w:val="00E82B64"/>
    <w:rsid w:val="00E8312A"/>
    <w:rsid w:val="00E8336E"/>
    <w:rsid w:val="00E833BA"/>
    <w:rsid w:val="00E8362E"/>
    <w:rsid w:val="00E83EAB"/>
    <w:rsid w:val="00E84A17"/>
    <w:rsid w:val="00E84B68"/>
    <w:rsid w:val="00E85898"/>
    <w:rsid w:val="00E85F81"/>
    <w:rsid w:val="00E8609A"/>
    <w:rsid w:val="00E86242"/>
    <w:rsid w:val="00E863E1"/>
    <w:rsid w:val="00E86638"/>
    <w:rsid w:val="00E86B0E"/>
    <w:rsid w:val="00E872FB"/>
    <w:rsid w:val="00E914A9"/>
    <w:rsid w:val="00E9179E"/>
    <w:rsid w:val="00E91AF7"/>
    <w:rsid w:val="00E92364"/>
    <w:rsid w:val="00E924DA"/>
    <w:rsid w:val="00E9263C"/>
    <w:rsid w:val="00E9317A"/>
    <w:rsid w:val="00E9392A"/>
    <w:rsid w:val="00E94484"/>
    <w:rsid w:val="00E9453A"/>
    <w:rsid w:val="00E94C59"/>
    <w:rsid w:val="00E94DB7"/>
    <w:rsid w:val="00E9514D"/>
    <w:rsid w:val="00E9530A"/>
    <w:rsid w:val="00E955CE"/>
    <w:rsid w:val="00E957A9"/>
    <w:rsid w:val="00E95A18"/>
    <w:rsid w:val="00E964FF"/>
    <w:rsid w:val="00E96F4F"/>
    <w:rsid w:val="00E96FB0"/>
    <w:rsid w:val="00E97629"/>
    <w:rsid w:val="00E97676"/>
    <w:rsid w:val="00EA02BB"/>
    <w:rsid w:val="00EA0425"/>
    <w:rsid w:val="00EA07CE"/>
    <w:rsid w:val="00EA09FE"/>
    <w:rsid w:val="00EA0C7B"/>
    <w:rsid w:val="00EA1295"/>
    <w:rsid w:val="00EA193E"/>
    <w:rsid w:val="00EA1FA4"/>
    <w:rsid w:val="00EA21A3"/>
    <w:rsid w:val="00EA225D"/>
    <w:rsid w:val="00EA269B"/>
    <w:rsid w:val="00EA28EC"/>
    <w:rsid w:val="00EA2C23"/>
    <w:rsid w:val="00EA3083"/>
    <w:rsid w:val="00EA3596"/>
    <w:rsid w:val="00EA4CE4"/>
    <w:rsid w:val="00EA5488"/>
    <w:rsid w:val="00EA5C26"/>
    <w:rsid w:val="00EA605B"/>
    <w:rsid w:val="00EA6D7C"/>
    <w:rsid w:val="00EA6F9B"/>
    <w:rsid w:val="00EA711F"/>
    <w:rsid w:val="00EA7171"/>
    <w:rsid w:val="00EA71FA"/>
    <w:rsid w:val="00EA7284"/>
    <w:rsid w:val="00EA77DE"/>
    <w:rsid w:val="00EA796E"/>
    <w:rsid w:val="00EA7CF1"/>
    <w:rsid w:val="00EA7F68"/>
    <w:rsid w:val="00EB018F"/>
    <w:rsid w:val="00EB0439"/>
    <w:rsid w:val="00EB0867"/>
    <w:rsid w:val="00EB0DFB"/>
    <w:rsid w:val="00EB17AB"/>
    <w:rsid w:val="00EB180A"/>
    <w:rsid w:val="00EB1903"/>
    <w:rsid w:val="00EB1958"/>
    <w:rsid w:val="00EB1DB7"/>
    <w:rsid w:val="00EB1FF8"/>
    <w:rsid w:val="00EB207D"/>
    <w:rsid w:val="00EB21BE"/>
    <w:rsid w:val="00EB2227"/>
    <w:rsid w:val="00EB22C8"/>
    <w:rsid w:val="00EB22F5"/>
    <w:rsid w:val="00EB3E80"/>
    <w:rsid w:val="00EB46C9"/>
    <w:rsid w:val="00EB4A94"/>
    <w:rsid w:val="00EB4C7B"/>
    <w:rsid w:val="00EB5096"/>
    <w:rsid w:val="00EB5845"/>
    <w:rsid w:val="00EB5ADF"/>
    <w:rsid w:val="00EB5B2D"/>
    <w:rsid w:val="00EB5B4C"/>
    <w:rsid w:val="00EB604D"/>
    <w:rsid w:val="00EB68E0"/>
    <w:rsid w:val="00EB6CCA"/>
    <w:rsid w:val="00EB6E76"/>
    <w:rsid w:val="00EB6F2D"/>
    <w:rsid w:val="00EB7473"/>
    <w:rsid w:val="00EB7C0D"/>
    <w:rsid w:val="00EB7C9E"/>
    <w:rsid w:val="00EB7ED0"/>
    <w:rsid w:val="00EC0830"/>
    <w:rsid w:val="00EC0A14"/>
    <w:rsid w:val="00EC15F3"/>
    <w:rsid w:val="00EC172F"/>
    <w:rsid w:val="00EC23C8"/>
    <w:rsid w:val="00EC2E79"/>
    <w:rsid w:val="00EC43F2"/>
    <w:rsid w:val="00EC4581"/>
    <w:rsid w:val="00EC472F"/>
    <w:rsid w:val="00EC5229"/>
    <w:rsid w:val="00EC5481"/>
    <w:rsid w:val="00EC5646"/>
    <w:rsid w:val="00EC642A"/>
    <w:rsid w:val="00EC710F"/>
    <w:rsid w:val="00EC71DE"/>
    <w:rsid w:val="00EC73CF"/>
    <w:rsid w:val="00EC7492"/>
    <w:rsid w:val="00EC7A3E"/>
    <w:rsid w:val="00EC7B32"/>
    <w:rsid w:val="00ED03AE"/>
    <w:rsid w:val="00ED0DE1"/>
    <w:rsid w:val="00ED1A93"/>
    <w:rsid w:val="00ED1D81"/>
    <w:rsid w:val="00ED1D9C"/>
    <w:rsid w:val="00ED1F51"/>
    <w:rsid w:val="00ED228A"/>
    <w:rsid w:val="00ED2B93"/>
    <w:rsid w:val="00ED2F56"/>
    <w:rsid w:val="00ED3400"/>
    <w:rsid w:val="00ED3906"/>
    <w:rsid w:val="00ED3AFA"/>
    <w:rsid w:val="00ED4131"/>
    <w:rsid w:val="00ED4988"/>
    <w:rsid w:val="00ED49C2"/>
    <w:rsid w:val="00ED5048"/>
    <w:rsid w:val="00ED5912"/>
    <w:rsid w:val="00ED5F43"/>
    <w:rsid w:val="00ED5F8D"/>
    <w:rsid w:val="00ED6993"/>
    <w:rsid w:val="00ED6FCE"/>
    <w:rsid w:val="00ED75EB"/>
    <w:rsid w:val="00EE03A9"/>
    <w:rsid w:val="00EE08B0"/>
    <w:rsid w:val="00EE0BC5"/>
    <w:rsid w:val="00EE0F32"/>
    <w:rsid w:val="00EE158C"/>
    <w:rsid w:val="00EE161C"/>
    <w:rsid w:val="00EE1981"/>
    <w:rsid w:val="00EE1D8A"/>
    <w:rsid w:val="00EE2131"/>
    <w:rsid w:val="00EE2229"/>
    <w:rsid w:val="00EE27F6"/>
    <w:rsid w:val="00EE2FCB"/>
    <w:rsid w:val="00EE31B8"/>
    <w:rsid w:val="00EE327B"/>
    <w:rsid w:val="00EE3A6D"/>
    <w:rsid w:val="00EE3BB3"/>
    <w:rsid w:val="00EE3D00"/>
    <w:rsid w:val="00EE4590"/>
    <w:rsid w:val="00EE4B77"/>
    <w:rsid w:val="00EE4C01"/>
    <w:rsid w:val="00EE524F"/>
    <w:rsid w:val="00EE53D0"/>
    <w:rsid w:val="00EE5A5B"/>
    <w:rsid w:val="00EE6667"/>
    <w:rsid w:val="00EE67D1"/>
    <w:rsid w:val="00EE6D99"/>
    <w:rsid w:val="00EE6E8A"/>
    <w:rsid w:val="00EE7243"/>
    <w:rsid w:val="00EE7523"/>
    <w:rsid w:val="00EE769D"/>
    <w:rsid w:val="00EE7B0F"/>
    <w:rsid w:val="00EE7CBF"/>
    <w:rsid w:val="00EE7DA7"/>
    <w:rsid w:val="00EE7E65"/>
    <w:rsid w:val="00EF0B6C"/>
    <w:rsid w:val="00EF10FD"/>
    <w:rsid w:val="00EF1460"/>
    <w:rsid w:val="00EF1628"/>
    <w:rsid w:val="00EF1EEE"/>
    <w:rsid w:val="00EF1F21"/>
    <w:rsid w:val="00EF211A"/>
    <w:rsid w:val="00EF2563"/>
    <w:rsid w:val="00EF2D89"/>
    <w:rsid w:val="00EF2F7B"/>
    <w:rsid w:val="00EF32A4"/>
    <w:rsid w:val="00EF370F"/>
    <w:rsid w:val="00EF3EBC"/>
    <w:rsid w:val="00EF4E98"/>
    <w:rsid w:val="00EF503B"/>
    <w:rsid w:val="00EF5129"/>
    <w:rsid w:val="00EF5138"/>
    <w:rsid w:val="00EF5681"/>
    <w:rsid w:val="00EF5884"/>
    <w:rsid w:val="00EF593E"/>
    <w:rsid w:val="00EF5CAA"/>
    <w:rsid w:val="00EF7257"/>
    <w:rsid w:val="00F00294"/>
    <w:rsid w:val="00F00569"/>
    <w:rsid w:val="00F015EB"/>
    <w:rsid w:val="00F01DDB"/>
    <w:rsid w:val="00F0236C"/>
    <w:rsid w:val="00F02521"/>
    <w:rsid w:val="00F02684"/>
    <w:rsid w:val="00F028CF"/>
    <w:rsid w:val="00F02B7D"/>
    <w:rsid w:val="00F02C5A"/>
    <w:rsid w:val="00F030CE"/>
    <w:rsid w:val="00F03534"/>
    <w:rsid w:val="00F03930"/>
    <w:rsid w:val="00F03E66"/>
    <w:rsid w:val="00F05357"/>
    <w:rsid w:val="00F05850"/>
    <w:rsid w:val="00F05AE2"/>
    <w:rsid w:val="00F05FEC"/>
    <w:rsid w:val="00F06434"/>
    <w:rsid w:val="00F06741"/>
    <w:rsid w:val="00F06A9C"/>
    <w:rsid w:val="00F07A29"/>
    <w:rsid w:val="00F07ADD"/>
    <w:rsid w:val="00F07AE7"/>
    <w:rsid w:val="00F07B4D"/>
    <w:rsid w:val="00F07C04"/>
    <w:rsid w:val="00F07C2B"/>
    <w:rsid w:val="00F07CF8"/>
    <w:rsid w:val="00F10345"/>
    <w:rsid w:val="00F10452"/>
    <w:rsid w:val="00F1049B"/>
    <w:rsid w:val="00F104A7"/>
    <w:rsid w:val="00F10B75"/>
    <w:rsid w:val="00F10BF6"/>
    <w:rsid w:val="00F10D4A"/>
    <w:rsid w:val="00F10E7F"/>
    <w:rsid w:val="00F10FCE"/>
    <w:rsid w:val="00F11080"/>
    <w:rsid w:val="00F11398"/>
    <w:rsid w:val="00F11A70"/>
    <w:rsid w:val="00F11ABD"/>
    <w:rsid w:val="00F11FF0"/>
    <w:rsid w:val="00F12C87"/>
    <w:rsid w:val="00F136AA"/>
    <w:rsid w:val="00F13E99"/>
    <w:rsid w:val="00F14292"/>
    <w:rsid w:val="00F1493F"/>
    <w:rsid w:val="00F15236"/>
    <w:rsid w:val="00F15BCD"/>
    <w:rsid w:val="00F15C48"/>
    <w:rsid w:val="00F16236"/>
    <w:rsid w:val="00F178E2"/>
    <w:rsid w:val="00F17E9F"/>
    <w:rsid w:val="00F20243"/>
    <w:rsid w:val="00F20A8A"/>
    <w:rsid w:val="00F20BE1"/>
    <w:rsid w:val="00F20CBB"/>
    <w:rsid w:val="00F20FCD"/>
    <w:rsid w:val="00F2156D"/>
    <w:rsid w:val="00F21982"/>
    <w:rsid w:val="00F21D9F"/>
    <w:rsid w:val="00F22300"/>
    <w:rsid w:val="00F22598"/>
    <w:rsid w:val="00F22764"/>
    <w:rsid w:val="00F2292A"/>
    <w:rsid w:val="00F22B50"/>
    <w:rsid w:val="00F23D46"/>
    <w:rsid w:val="00F23E70"/>
    <w:rsid w:val="00F246FD"/>
    <w:rsid w:val="00F248D4"/>
    <w:rsid w:val="00F2493C"/>
    <w:rsid w:val="00F24CD2"/>
    <w:rsid w:val="00F258DE"/>
    <w:rsid w:val="00F25CE5"/>
    <w:rsid w:val="00F260C1"/>
    <w:rsid w:val="00F26137"/>
    <w:rsid w:val="00F26FCB"/>
    <w:rsid w:val="00F27E0F"/>
    <w:rsid w:val="00F27FBC"/>
    <w:rsid w:val="00F30096"/>
    <w:rsid w:val="00F3010A"/>
    <w:rsid w:val="00F302D0"/>
    <w:rsid w:val="00F31286"/>
    <w:rsid w:val="00F31862"/>
    <w:rsid w:val="00F31B44"/>
    <w:rsid w:val="00F31DD4"/>
    <w:rsid w:val="00F3236B"/>
    <w:rsid w:val="00F329DF"/>
    <w:rsid w:val="00F32E73"/>
    <w:rsid w:val="00F331B3"/>
    <w:rsid w:val="00F335EF"/>
    <w:rsid w:val="00F33DE1"/>
    <w:rsid w:val="00F33EAC"/>
    <w:rsid w:val="00F34230"/>
    <w:rsid w:val="00F342E1"/>
    <w:rsid w:val="00F34405"/>
    <w:rsid w:val="00F34568"/>
    <w:rsid w:val="00F345B7"/>
    <w:rsid w:val="00F34AEE"/>
    <w:rsid w:val="00F34B12"/>
    <w:rsid w:val="00F350EC"/>
    <w:rsid w:val="00F35A55"/>
    <w:rsid w:val="00F35D33"/>
    <w:rsid w:val="00F364A2"/>
    <w:rsid w:val="00F36E28"/>
    <w:rsid w:val="00F37283"/>
    <w:rsid w:val="00F3753B"/>
    <w:rsid w:val="00F37DC0"/>
    <w:rsid w:val="00F40468"/>
    <w:rsid w:val="00F40D0B"/>
    <w:rsid w:val="00F412DB"/>
    <w:rsid w:val="00F412F2"/>
    <w:rsid w:val="00F422C6"/>
    <w:rsid w:val="00F4256C"/>
    <w:rsid w:val="00F42BC5"/>
    <w:rsid w:val="00F4338D"/>
    <w:rsid w:val="00F43738"/>
    <w:rsid w:val="00F43CB6"/>
    <w:rsid w:val="00F440B5"/>
    <w:rsid w:val="00F444D0"/>
    <w:rsid w:val="00F44597"/>
    <w:rsid w:val="00F44D49"/>
    <w:rsid w:val="00F44E6B"/>
    <w:rsid w:val="00F44F53"/>
    <w:rsid w:val="00F451CA"/>
    <w:rsid w:val="00F451E4"/>
    <w:rsid w:val="00F45654"/>
    <w:rsid w:val="00F4576E"/>
    <w:rsid w:val="00F458E1"/>
    <w:rsid w:val="00F45B34"/>
    <w:rsid w:val="00F45F81"/>
    <w:rsid w:val="00F461C4"/>
    <w:rsid w:val="00F4643F"/>
    <w:rsid w:val="00F4660B"/>
    <w:rsid w:val="00F4666F"/>
    <w:rsid w:val="00F46FED"/>
    <w:rsid w:val="00F4707C"/>
    <w:rsid w:val="00F47425"/>
    <w:rsid w:val="00F47619"/>
    <w:rsid w:val="00F47E71"/>
    <w:rsid w:val="00F47FCC"/>
    <w:rsid w:val="00F51462"/>
    <w:rsid w:val="00F51CC1"/>
    <w:rsid w:val="00F51F3B"/>
    <w:rsid w:val="00F52081"/>
    <w:rsid w:val="00F52152"/>
    <w:rsid w:val="00F5219E"/>
    <w:rsid w:val="00F524DD"/>
    <w:rsid w:val="00F526A1"/>
    <w:rsid w:val="00F52820"/>
    <w:rsid w:val="00F53739"/>
    <w:rsid w:val="00F53919"/>
    <w:rsid w:val="00F54E40"/>
    <w:rsid w:val="00F55D81"/>
    <w:rsid w:val="00F5607D"/>
    <w:rsid w:val="00F563AA"/>
    <w:rsid w:val="00F5667D"/>
    <w:rsid w:val="00F5696F"/>
    <w:rsid w:val="00F56CE4"/>
    <w:rsid w:val="00F56E7C"/>
    <w:rsid w:val="00F57405"/>
    <w:rsid w:val="00F5781A"/>
    <w:rsid w:val="00F60469"/>
    <w:rsid w:val="00F61104"/>
    <w:rsid w:val="00F61194"/>
    <w:rsid w:val="00F61F5A"/>
    <w:rsid w:val="00F61F7C"/>
    <w:rsid w:val="00F6243C"/>
    <w:rsid w:val="00F63175"/>
    <w:rsid w:val="00F63527"/>
    <w:rsid w:val="00F63B96"/>
    <w:rsid w:val="00F6426E"/>
    <w:rsid w:val="00F64544"/>
    <w:rsid w:val="00F64B62"/>
    <w:rsid w:val="00F64BB9"/>
    <w:rsid w:val="00F64D26"/>
    <w:rsid w:val="00F64EB6"/>
    <w:rsid w:val="00F658F2"/>
    <w:rsid w:val="00F65949"/>
    <w:rsid w:val="00F65DCF"/>
    <w:rsid w:val="00F663C6"/>
    <w:rsid w:val="00F6702D"/>
    <w:rsid w:val="00F67944"/>
    <w:rsid w:val="00F67E0E"/>
    <w:rsid w:val="00F70435"/>
    <w:rsid w:val="00F708D9"/>
    <w:rsid w:val="00F71975"/>
    <w:rsid w:val="00F71A4F"/>
    <w:rsid w:val="00F71BD2"/>
    <w:rsid w:val="00F72500"/>
    <w:rsid w:val="00F72933"/>
    <w:rsid w:val="00F7438A"/>
    <w:rsid w:val="00F74C06"/>
    <w:rsid w:val="00F7596E"/>
    <w:rsid w:val="00F75A0D"/>
    <w:rsid w:val="00F75E41"/>
    <w:rsid w:val="00F760D7"/>
    <w:rsid w:val="00F7622B"/>
    <w:rsid w:val="00F76D53"/>
    <w:rsid w:val="00F778A2"/>
    <w:rsid w:val="00F77B92"/>
    <w:rsid w:val="00F77E64"/>
    <w:rsid w:val="00F803D6"/>
    <w:rsid w:val="00F808FE"/>
    <w:rsid w:val="00F80CCB"/>
    <w:rsid w:val="00F811DE"/>
    <w:rsid w:val="00F812B5"/>
    <w:rsid w:val="00F814D7"/>
    <w:rsid w:val="00F8168E"/>
    <w:rsid w:val="00F82224"/>
    <w:rsid w:val="00F82573"/>
    <w:rsid w:val="00F829E3"/>
    <w:rsid w:val="00F82BA7"/>
    <w:rsid w:val="00F82D14"/>
    <w:rsid w:val="00F8345A"/>
    <w:rsid w:val="00F83C54"/>
    <w:rsid w:val="00F83EEE"/>
    <w:rsid w:val="00F84345"/>
    <w:rsid w:val="00F84673"/>
    <w:rsid w:val="00F847E5"/>
    <w:rsid w:val="00F856F1"/>
    <w:rsid w:val="00F85B80"/>
    <w:rsid w:val="00F85B9A"/>
    <w:rsid w:val="00F86137"/>
    <w:rsid w:val="00F86182"/>
    <w:rsid w:val="00F86216"/>
    <w:rsid w:val="00F8719A"/>
    <w:rsid w:val="00F8783E"/>
    <w:rsid w:val="00F87B46"/>
    <w:rsid w:val="00F87D87"/>
    <w:rsid w:val="00F9070C"/>
    <w:rsid w:val="00F91570"/>
    <w:rsid w:val="00F9159B"/>
    <w:rsid w:val="00F91A08"/>
    <w:rsid w:val="00F92094"/>
    <w:rsid w:val="00F934CA"/>
    <w:rsid w:val="00F93562"/>
    <w:rsid w:val="00F93E40"/>
    <w:rsid w:val="00F93FE1"/>
    <w:rsid w:val="00F940B0"/>
    <w:rsid w:val="00F943EB"/>
    <w:rsid w:val="00F946ED"/>
    <w:rsid w:val="00F9510C"/>
    <w:rsid w:val="00F95BD6"/>
    <w:rsid w:val="00F964C3"/>
    <w:rsid w:val="00F97E5D"/>
    <w:rsid w:val="00FA0579"/>
    <w:rsid w:val="00FA0829"/>
    <w:rsid w:val="00FA17B1"/>
    <w:rsid w:val="00FA1E3A"/>
    <w:rsid w:val="00FA1FF6"/>
    <w:rsid w:val="00FA2119"/>
    <w:rsid w:val="00FA2548"/>
    <w:rsid w:val="00FA27FA"/>
    <w:rsid w:val="00FA2E79"/>
    <w:rsid w:val="00FA2EE0"/>
    <w:rsid w:val="00FA3023"/>
    <w:rsid w:val="00FA30C1"/>
    <w:rsid w:val="00FA3899"/>
    <w:rsid w:val="00FA38E1"/>
    <w:rsid w:val="00FA44AE"/>
    <w:rsid w:val="00FA45B8"/>
    <w:rsid w:val="00FA4606"/>
    <w:rsid w:val="00FA4847"/>
    <w:rsid w:val="00FA4B2F"/>
    <w:rsid w:val="00FA4BCD"/>
    <w:rsid w:val="00FA4E5C"/>
    <w:rsid w:val="00FA4EDB"/>
    <w:rsid w:val="00FA5332"/>
    <w:rsid w:val="00FA574B"/>
    <w:rsid w:val="00FA5A79"/>
    <w:rsid w:val="00FA5D56"/>
    <w:rsid w:val="00FA64D7"/>
    <w:rsid w:val="00FA660E"/>
    <w:rsid w:val="00FA774D"/>
    <w:rsid w:val="00FA7934"/>
    <w:rsid w:val="00FA7C9F"/>
    <w:rsid w:val="00FB04CD"/>
    <w:rsid w:val="00FB12BA"/>
    <w:rsid w:val="00FB196D"/>
    <w:rsid w:val="00FB19F1"/>
    <w:rsid w:val="00FB1EAA"/>
    <w:rsid w:val="00FB2A2F"/>
    <w:rsid w:val="00FB2D05"/>
    <w:rsid w:val="00FB2FB6"/>
    <w:rsid w:val="00FB3001"/>
    <w:rsid w:val="00FB302A"/>
    <w:rsid w:val="00FB366D"/>
    <w:rsid w:val="00FB3B6D"/>
    <w:rsid w:val="00FB4389"/>
    <w:rsid w:val="00FB506A"/>
    <w:rsid w:val="00FB507D"/>
    <w:rsid w:val="00FB5519"/>
    <w:rsid w:val="00FB670A"/>
    <w:rsid w:val="00FB6EC7"/>
    <w:rsid w:val="00FB79EB"/>
    <w:rsid w:val="00FC00FB"/>
    <w:rsid w:val="00FC0714"/>
    <w:rsid w:val="00FC09C6"/>
    <w:rsid w:val="00FC0DAA"/>
    <w:rsid w:val="00FC0EB2"/>
    <w:rsid w:val="00FC2564"/>
    <w:rsid w:val="00FC26E8"/>
    <w:rsid w:val="00FC27EF"/>
    <w:rsid w:val="00FC2D05"/>
    <w:rsid w:val="00FC3457"/>
    <w:rsid w:val="00FC3700"/>
    <w:rsid w:val="00FC3828"/>
    <w:rsid w:val="00FC3D4B"/>
    <w:rsid w:val="00FC3DA0"/>
    <w:rsid w:val="00FC4063"/>
    <w:rsid w:val="00FC40AD"/>
    <w:rsid w:val="00FC46E0"/>
    <w:rsid w:val="00FC47E5"/>
    <w:rsid w:val="00FC48EB"/>
    <w:rsid w:val="00FC4C3B"/>
    <w:rsid w:val="00FC4C67"/>
    <w:rsid w:val="00FC4DA8"/>
    <w:rsid w:val="00FC4E29"/>
    <w:rsid w:val="00FC5A28"/>
    <w:rsid w:val="00FC5A45"/>
    <w:rsid w:val="00FC66B5"/>
    <w:rsid w:val="00FC7088"/>
    <w:rsid w:val="00FC7E61"/>
    <w:rsid w:val="00FD0A3F"/>
    <w:rsid w:val="00FD0BC8"/>
    <w:rsid w:val="00FD0C5C"/>
    <w:rsid w:val="00FD0EB1"/>
    <w:rsid w:val="00FD150F"/>
    <w:rsid w:val="00FD1637"/>
    <w:rsid w:val="00FD17CA"/>
    <w:rsid w:val="00FD1980"/>
    <w:rsid w:val="00FD1BE6"/>
    <w:rsid w:val="00FD2600"/>
    <w:rsid w:val="00FD2AE8"/>
    <w:rsid w:val="00FD2B64"/>
    <w:rsid w:val="00FD2F35"/>
    <w:rsid w:val="00FD31FE"/>
    <w:rsid w:val="00FD3ACB"/>
    <w:rsid w:val="00FD3C5D"/>
    <w:rsid w:val="00FD3FDC"/>
    <w:rsid w:val="00FD4494"/>
    <w:rsid w:val="00FD5A07"/>
    <w:rsid w:val="00FD61D0"/>
    <w:rsid w:val="00FD6911"/>
    <w:rsid w:val="00FD6D5B"/>
    <w:rsid w:val="00FD6F6B"/>
    <w:rsid w:val="00FD7808"/>
    <w:rsid w:val="00FE01C4"/>
    <w:rsid w:val="00FE0A4B"/>
    <w:rsid w:val="00FE0B2D"/>
    <w:rsid w:val="00FE1574"/>
    <w:rsid w:val="00FE15C0"/>
    <w:rsid w:val="00FE169F"/>
    <w:rsid w:val="00FE16D4"/>
    <w:rsid w:val="00FE18C9"/>
    <w:rsid w:val="00FE1B6B"/>
    <w:rsid w:val="00FE1BE2"/>
    <w:rsid w:val="00FE28AA"/>
    <w:rsid w:val="00FE296A"/>
    <w:rsid w:val="00FE2B6F"/>
    <w:rsid w:val="00FE32A7"/>
    <w:rsid w:val="00FE367F"/>
    <w:rsid w:val="00FE36DB"/>
    <w:rsid w:val="00FE3B6D"/>
    <w:rsid w:val="00FE3BB5"/>
    <w:rsid w:val="00FE3C24"/>
    <w:rsid w:val="00FE554B"/>
    <w:rsid w:val="00FE57EE"/>
    <w:rsid w:val="00FE5B46"/>
    <w:rsid w:val="00FE616D"/>
    <w:rsid w:val="00FE62C1"/>
    <w:rsid w:val="00FE63BE"/>
    <w:rsid w:val="00FE6947"/>
    <w:rsid w:val="00FE6AFA"/>
    <w:rsid w:val="00FE7565"/>
    <w:rsid w:val="00FE7750"/>
    <w:rsid w:val="00FE7AD5"/>
    <w:rsid w:val="00FF01B7"/>
    <w:rsid w:val="00FF0377"/>
    <w:rsid w:val="00FF0779"/>
    <w:rsid w:val="00FF08CE"/>
    <w:rsid w:val="00FF110C"/>
    <w:rsid w:val="00FF1325"/>
    <w:rsid w:val="00FF17AE"/>
    <w:rsid w:val="00FF1A78"/>
    <w:rsid w:val="00FF21C9"/>
    <w:rsid w:val="00FF2543"/>
    <w:rsid w:val="00FF2E88"/>
    <w:rsid w:val="00FF3024"/>
    <w:rsid w:val="00FF3AA6"/>
    <w:rsid w:val="00FF3B70"/>
    <w:rsid w:val="00FF47D6"/>
    <w:rsid w:val="00FF4909"/>
    <w:rsid w:val="00FF510B"/>
    <w:rsid w:val="00FF51E1"/>
    <w:rsid w:val="00FF5CAA"/>
    <w:rsid w:val="00FF5D55"/>
    <w:rsid w:val="00FF603A"/>
    <w:rsid w:val="00FF70C1"/>
    <w:rsid w:val="00FF727A"/>
    <w:rsid w:val="00FF7FE7"/>
    <w:rsid w:val="0408041E"/>
    <w:rsid w:val="094C1F67"/>
    <w:rsid w:val="09DD2E50"/>
    <w:rsid w:val="0A261E09"/>
    <w:rsid w:val="0EA1230A"/>
    <w:rsid w:val="101116EC"/>
    <w:rsid w:val="117D2F87"/>
    <w:rsid w:val="11960B7B"/>
    <w:rsid w:val="11A3410D"/>
    <w:rsid w:val="16BE6B9D"/>
    <w:rsid w:val="17524500"/>
    <w:rsid w:val="17834A41"/>
    <w:rsid w:val="18190A67"/>
    <w:rsid w:val="18F84692"/>
    <w:rsid w:val="19EA7B8E"/>
    <w:rsid w:val="1A9D5A82"/>
    <w:rsid w:val="1ACE114B"/>
    <w:rsid w:val="1B4E0786"/>
    <w:rsid w:val="1C863FB5"/>
    <w:rsid w:val="1CD7502F"/>
    <w:rsid w:val="1CEA0FCC"/>
    <w:rsid w:val="1EF42CA6"/>
    <w:rsid w:val="207D45C3"/>
    <w:rsid w:val="22C36221"/>
    <w:rsid w:val="24231B56"/>
    <w:rsid w:val="25226B9B"/>
    <w:rsid w:val="2529301A"/>
    <w:rsid w:val="27C42945"/>
    <w:rsid w:val="293B5BE4"/>
    <w:rsid w:val="308F7A2E"/>
    <w:rsid w:val="34010A74"/>
    <w:rsid w:val="35F8756F"/>
    <w:rsid w:val="362614EC"/>
    <w:rsid w:val="36951D71"/>
    <w:rsid w:val="36C3628D"/>
    <w:rsid w:val="36DE7BD9"/>
    <w:rsid w:val="389759F3"/>
    <w:rsid w:val="3BF431F7"/>
    <w:rsid w:val="3CE60259"/>
    <w:rsid w:val="3F9A0CB0"/>
    <w:rsid w:val="40D97EE7"/>
    <w:rsid w:val="41086943"/>
    <w:rsid w:val="417551E3"/>
    <w:rsid w:val="45DE1AF1"/>
    <w:rsid w:val="45F2624B"/>
    <w:rsid w:val="46E255FF"/>
    <w:rsid w:val="479A722A"/>
    <w:rsid w:val="481E325E"/>
    <w:rsid w:val="4836171E"/>
    <w:rsid w:val="483B7CEA"/>
    <w:rsid w:val="488B3BD2"/>
    <w:rsid w:val="48D9761F"/>
    <w:rsid w:val="498123E4"/>
    <w:rsid w:val="4BB615C1"/>
    <w:rsid w:val="512865B1"/>
    <w:rsid w:val="515E2727"/>
    <w:rsid w:val="54856E82"/>
    <w:rsid w:val="5AA86BC0"/>
    <w:rsid w:val="5D7C2C07"/>
    <w:rsid w:val="605109D2"/>
    <w:rsid w:val="60A86204"/>
    <w:rsid w:val="623375B9"/>
    <w:rsid w:val="623753B4"/>
    <w:rsid w:val="6299602D"/>
    <w:rsid w:val="67451CF5"/>
    <w:rsid w:val="687F29C7"/>
    <w:rsid w:val="68ED28AA"/>
    <w:rsid w:val="6AAB66F0"/>
    <w:rsid w:val="6FF87622"/>
    <w:rsid w:val="733F4C14"/>
    <w:rsid w:val="73737D0F"/>
    <w:rsid w:val="741D5D36"/>
    <w:rsid w:val="76DA3636"/>
    <w:rsid w:val="792C3AD5"/>
    <w:rsid w:val="7C5834EC"/>
    <w:rsid w:val="7CE6330C"/>
    <w:rsid w:val="7FC871BF"/>
  </w:rsids>
  <m:mathPr>
    <m:mathFont m:val="Cambria Math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qFormat="1"/>
    <w:lsdException w:name="footnote text"/>
    <w:lsdException w:name="annotation text" w:semiHidden="0" w:uiPriority="0" w:unhideWhenUsed="0" w:qFormat="1"/>
    <w:lsdException w:name="header" w:semiHidden="0" w:uiPriority="0" w:qFormat="1"/>
    <w:lsdException w:name="footer" w:semiHidden="0" w:qFormat="1"/>
    <w:lsdException w:name="index heading"/>
    <w:lsdException w:name="caption" w:semiHidden="0" w:uiPriority="0" w:unhideWhenUsed="0" w:qFormat="1"/>
    <w:lsdException w:name="table of figures" w:uiPriority="0" w:qFormat="1"/>
    <w:lsdException w:name="envelope address"/>
    <w:lsdException w:name="envelope return"/>
    <w:lsdException w:name="footnote reference"/>
    <w:lsdException w:name="annotation reference" w:uiPriority="0" w:unhideWhenUsed="0" w:qFormat="1"/>
    <w:lsdException w:name="line number"/>
    <w:lsdException w:name="page number" w:semiHidden="0" w:uiPriority="0" w:unhideWhenUsed="0" w:qFormat="1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 w:uiPriority="0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 w:semiHidden="0" w:uiPriority="0" w:unhideWhenUsed="0" w:qFormat="1"/>
    <w:lsdException w:name="Body Text Indent" w:semiHidden="0" w:uiPriority="0" w:qFormat="1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 w:semiHidden="0" w:uiPriority="0" w:qFormat="1"/>
    <w:lsdException w:name="Body Text First Indent" w:semiHidden="0" w:uiPriority="0" w:qFormat="1"/>
    <w:lsdException w:name="Body Text First Indent 2" w:semiHidden="0" w:uiPriority="0" w:qFormat="1"/>
    <w:lsdException w:name="Note Heading"/>
    <w:lsdException w:name="Body Text 2" w:semiHidden="0" w:qFormat="1"/>
    <w:lsdException w:name="Body Text 3"/>
    <w:lsdException w:name="Body Text Indent 2" w:semiHidden="0" w:uiPriority="0" w:unhideWhenUsed="0" w:qFormat="1"/>
    <w:lsdException w:name="Body Text Indent 3"/>
    <w:lsdException w:name="Block Text"/>
    <w:lsdException w:name="Hyperlink" w:semiHidden="0" w:qFormat="1"/>
    <w:lsdException w:name="FollowedHyperlink"/>
    <w:lsdException w:name="Strong" w:semiHidden="0" w:uiPriority="0" w:unhideWhenUsed="0" w:qFormat="1"/>
    <w:lsdException w:name="Emphasis" w:semiHidden="0" w:uiPriority="20" w:unhideWhenUsed="0" w:qFormat="1"/>
    <w:lsdException w:name="Document Map" w:semiHidden="0" w:qFormat="1"/>
    <w:lsdException w:name="Plain Text" w:semiHidden="0" w:uiPriority="0" w:unhideWhenUsed="0" w:qFormat="1"/>
    <w:lsdException w:name="E-mail Signature"/>
    <w:lsdException w:name="Normal (Web)" w:semiHidden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 w:uiPriority="0" w:unhideWhenUsed="0" w:qFormat="1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uiPriority="0" w:unhideWhenUsed="0" w:qFormat="1"/>
    <w:lsdException w:name="Table Grid" w:semiHidden="0" w:uiPriority="59" w:unhideWhenUsed="0" w:qFormat="1"/>
    <w:lsdException w:name="Table Theme"/>
    <w:lsdException w:name="Placeholder Text" w:semiHidden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" w:eastAsia="宋体" w:hAnsi="Times" w:cs="Times New Roman"/>
      <w:sz w:val="24"/>
      <w:szCs w:val="24"/>
      <w:lang w:val="en-US" w:eastAsia="zh-CN" w:bidi="ar-SA"/>
    </w:rPr>
  </w:style>
  <w:style w:type="paragraph" w:styleId="Heading1">
    <w:name w:val="heading 1"/>
    <w:basedOn w:val="Normal"/>
    <w:next w:val="Normal"/>
    <w:link w:val="13"/>
    <w:uiPriority w:val="99"/>
    <w:qFormat/>
    <w:pPr>
      <w:keepNext/>
      <w:widowControl w:val="0"/>
      <w:overflowPunct w:val="0"/>
      <w:snapToGrid w:val="0"/>
      <w:spacing w:before="120" w:after="160" w:line="259" w:lineRule="auto"/>
      <w:ind w:left="432" w:hanging="432"/>
      <w:jc w:val="both"/>
      <w:outlineLvl w:val="0"/>
    </w:pPr>
    <w:rPr>
      <w:rFonts w:ascii="Times New Roman" w:eastAsia="黑体" w:hAnsi="Times New Roman"/>
      <w:b/>
      <w:bCs/>
      <w:color w:val="000000"/>
      <w:kern w:val="44"/>
      <w:sz w:val="30"/>
      <w:szCs w:val="30"/>
    </w:rPr>
  </w:style>
  <w:style w:type="paragraph" w:styleId="Heading2">
    <w:name w:val="heading 2"/>
    <w:basedOn w:val="Normal"/>
    <w:next w:val="Normal"/>
    <w:link w:val="2"/>
    <w:qFormat/>
    <w:pPr>
      <w:keepNext/>
      <w:keepLines/>
      <w:widowControl w:val="0"/>
      <w:spacing w:before="260" w:after="260" w:line="416" w:lineRule="auto"/>
      <w:jc w:val="both"/>
      <w:outlineLvl w:val="1"/>
    </w:pPr>
    <w:rPr>
      <w:rFonts w:ascii="Arial" w:eastAsia="黑体" w:hAnsi="Arial"/>
      <w:b/>
      <w:bCs/>
      <w:kern w:val="2"/>
      <w:sz w:val="32"/>
      <w:szCs w:val="32"/>
      <w:lang w:bidi="bo-CN"/>
    </w:rPr>
  </w:style>
  <w:style w:type="paragraph" w:styleId="Heading3">
    <w:name w:val="heading 3"/>
    <w:basedOn w:val="Normal"/>
    <w:next w:val="Normal"/>
    <w:link w:val="3"/>
    <w:uiPriority w:val="9"/>
    <w:qFormat/>
    <w:pPr>
      <w:keepNext/>
      <w:keepLines/>
      <w:widowControl w:val="0"/>
      <w:spacing w:before="260" w:after="260" w:line="416" w:lineRule="auto"/>
      <w:jc w:val="both"/>
      <w:outlineLvl w:val="2"/>
    </w:pPr>
    <w:rPr>
      <w:rFonts w:ascii="Times New Roman" w:hAnsi="Times New Roman"/>
      <w:b/>
      <w:bCs/>
      <w:kern w:val="2"/>
      <w:sz w:val="32"/>
      <w:szCs w:val="32"/>
      <w:lang w:bidi="bo-CN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40"/>
    </w:rPr>
  </w:style>
  <w:style w:type="paragraph" w:styleId="Heading5">
    <w:name w:val="heading 5"/>
    <w:basedOn w:val="Normal"/>
    <w:next w:val="Normal"/>
    <w:link w:val="5"/>
    <w:uiPriority w:val="9"/>
    <w:qFormat/>
    <w:pPr>
      <w:keepNext/>
      <w:keepLines/>
      <w:widowControl w:val="0"/>
      <w:spacing w:before="280" w:after="290" w:line="376" w:lineRule="auto"/>
      <w:jc w:val="both"/>
      <w:outlineLvl w:val="4"/>
    </w:pPr>
    <w:rPr>
      <w:rFonts w:ascii="Times New Roman" w:hAnsi="Times New Roman"/>
      <w:b/>
      <w:bCs/>
      <w:kern w:val="2"/>
      <w:sz w:val="28"/>
      <w:szCs w:val="28"/>
      <w:lang w:bidi="bo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link w:val="a"/>
    <w:unhideWhenUsed/>
    <w:qFormat/>
    <w:pPr>
      <w:ind w:firstLine="420" w:firstLineChars="200"/>
    </w:pPr>
    <w:rPr>
      <w:rFonts w:ascii="Times New Roman" w:hAnsi="Times New Roman" w:cs="宋体"/>
      <w:color w:val="000000"/>
      <w:szCs w:val="20"/>
      <w:u w:color="000000"/>
      <w:lang w:bidi="bo-CN"/>
    </w:rPr>
  </w:style>
  <w:style w:type="paragraph" w:styleId="Caption">
    <w:name w:val="caption"/>
    <w:basedOn w:val="Normal"/>
    <w:next w:val="Normal"/>
    <w:qFormat/>
    <w:pPr>
      <w:widowControl w:val="0"/>
      <w:jc w:val="both"/>
    </w:pPr>
    <w:rPr>
      <w:rFonts w:ascii="Arial" w:eastAsia="黑体" w:hAnsi="Arial" w:cs="Arial"/>
      <w:kern w:val="2"/>
      <w:sz w:val="20"/>
      <w:szCs w:val="20"/>
      <w:lang w:bidi="bo-CN"/>
    </w:rPr>
  </w:style>
  <w:style w:type="paragraph" w:styleId="DocumentMap">
    <w:name w:val="Document Map"/>
    <w:basedOn w:val="Normal"/>
    <w:link w:val="a0"/>
    <w:uiPriority w:val="99"/>
    <w:unhideWhenUsed/>
    <w:qFormat/>
    <w:pPr>
      <w:widowControl w:val="0"/>
      <w:jc w:val="both"/>
    </w:pPr>
    <w:rPr>
      <w:rFonts w:ascii="Times New Roman" w:hAnsi="Times New Roman"/>
      <w:kern w:val="2"/>
      <w:sz w:val="18"/>
      <w:szCs w:val="18"/>
      <w:lang w:bidi="bo-CN"/>
    </w:rPr>
  </w:style>
  <w:style w:type="paragraph" w:styleId="CommentText">
    <w:name w:val="annotation text"/>
    <w:basedOn w:val="Normal"/>
    <w:link w:val="a1"/>
    <w:qFormat/>
    <w:pPr>
      <w:widowControl w:val="0"/>
    </w:pPr>
    <w:rPr>
      <w:rFonts w:ascii="Times New Roman" w:hAnsi="Times New Roman"/>
      <w:kern w:val="2"/>
      <w:sz w:val="21"/>
      <w:szCs w:val="22"/>
      <w:lang w:bidi="bo-CN"/>
    </w:rPr>
  </w:style>
  <w:style w:type="paragraph" w:styleId="BodyText">
    <w:name w:val="Body Text"/>
    <w:basedOn w:val="Normal"/>
    <w:link w:val="a2"/>
    <w:qFormat/>
    <w:pPr>
      <w:widowControl w:val="0"/>
      <w:spacing w:after="120"/>
      <w:jc w:val="both"/>
    </w:pPr>
    <w:rPr>
      <w:rFonts w:ascii="Times New Roman" w:hAnsi="Times New Roman"/>
      <w:kern w:val="2"/>
      <w:sz w:val="21"/>
      <w:lang w:bidi="bo-CN"/>
    </w:rPr>
  </w:style>
  <w:style w:type="paragraph" w:styleId="BodyTextIndent">
    <w:name w:val="Body Text Indent"/>
    <w:basedOn w:val="Normal"/>
    <w:link w:val="a3"/>
    <w:unhideWhenUsed/>
    <w:qFormat/>
    <w:pPr>
      <w:widowControl w:val="0"/>
      <w:spacing w:after="120"/>
      <w:ind w:left="420" w:leftChars="200"/>
      <w:jc w:val="both"/>
    </w:pPr>
    <w:rPr>
      <w:rFonts w:ascii="Times New Roman" w:hAnsi="Times New Roman"/>
      <w:kern w:val="2"/>
      <w:sz w:val="21"/>
      <w:szCs w:val="22"/>
      <w:lang w:bidi="bo-CN"/>
    </w:rPr>
  </w:style>
  <w:style w:type="paragraph" w:styleId="PlainText">
    <w:name w:val="Plain Text"/>
    <w:basedOn w:val="Normal"/>
    <w:link w:val="a22"/>
    <w:qFormat/>
    <w:pPr>
      <w:widowControl w:val="0"/>
      <w:jc w:val="both"/>
    </w:pPr>
    <w:rPr>
      <w:rFonts w:ascii="宋体" w:hAnsi="Courier New"/>
      <w:kern w:val="2"/>
      <w:sz w:val="21"/>
      <w:szCs w:val="20"/>
    </w:rPr>
  </w:style>
  <w:style w:type="paragraph" w:styleId="Date">
    <w:name w:val="Date"/>
    <w:basedOn w:val="Normal"/>
    <w:next w:val="Normal"/>
    <w:link w:val="a4"/>
    <w:unhideWhenUsed/>
    <w:qFormat/>
    <w:pPr>
      <w:widowControl w:val="0"/>
      <w:jc w:val="both"/>
    </w:pPr>
    <w:rPr>
      <w:rFonts w:ascii="Times New Roman" w:hAnsi="Times New Roman"/>
      <w:kern w:val="2"/>
      <w:sz w:val="28"/>
      <w:lang w:bidi="bo-CN"/>
    </w:rPr>
  </w:style>
  <w:style w:type="paragraph" w:styleId="BodyTextIndent2">
    <w:name w:val="Body Text Indent 2"/>
    <w:basedOn w:val="Normal"/>
    <w:link w:val="20"/>
    <w:qFormat/>
    <w:pPr>
      <w:widowControl w:val="0"/>
      <w:ind w:firstLine="538" w:firstLineChars="192"/>
      <w:jc w:val="both"/>
    </w:pPr>
    <w:rPr>
      <w:rFonts w:ascii="Times New Roman" w:hAnsi="Times New Roman"/>
      <w:kern w:val="2"/>
      <w:sz w:val="28"/>
      <w:lang w:bidi="bo-CN"/>
    </w:rPr>
  </w:style>
  <w:style w:type="paragraph" w:styleId="BalloonText">
    <w:name w:val="Balloon Text"/>
    <w:basedOn w:val="Normal"/>
    <w:link w:val="a5"/>
    <w:semiHidden/>
    <w:qFormat/>
    <w:pPr>
      <w:widowControl w:val="0"/>
      <w:jc w:val="both"/>
    </w:pPr>
    <w:rPr>
      <w:rFonts w:ascii="Times New Roman" w:hAnsi="Times New Roman"/>
      <w:kern w:val="2"/>
      <w:sz w:val="18"/>
      <w:szCs w:val="18"/>
    </w:rPr>
  </w:style>
  <w:style w:type="paragraph" w:styleId="Footer">
    <w:name w:val="footer"/>
    <w:basedOn w:val="Normal"/>
    <w:link w:val="a6"/>
    <w:uiPriority w:val="99"/>
    <w:unhideWhenUsed/>
    <w:qFormat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/>
      <w:kern w:val="2"/>
      <w:sz w:val="18"/>
      <w:szCs w:val="18"/>
      <w:lang w:bidi="bo-CN"/>
    </w:rPr>
  </w:style>
  <w:style w:type="paragraph" w:styleId="Header">
    <w:name w:val="header"/>
    <w:basedOn w:val="Normal"/>
    <w:link w:val="a7"/>
    <w:unhideWhenUsed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2"/>
      <w:sz w:val="18"/>
      <w:szCs w:val="18"/>
      <w:lang w:bidi="bo-CN"/>
    </w:rPr>
  </w:style>
  <w:style w:type="paragraph" w:styleId="BodyText2">
    <w:name w:val="Body Text 2"/>
    <w:basedOn w:val="Normal"/>
    <w:link w:val="21"/>
    <w:uiPriority w:val="99"/>
    <w:unhideWhenUsed/>
    <w:qFormat/>
    <w:pPr>
      <w:widowControl w:val="0"/>
      <w:spacing w:after="120" w:line="480" w:lineRule="auto"/>
      <w:jc w:val="both"/>
    </w:pPr>
    <w:rPr>
      <w:rFonts w:ascii="Times New Roman" w:hAnsi="Times New Roman"/>
      <w:kern w:val="2"/>
      <w:sz w:val="21"/>
      <w:szCs w:val="22"/>
      <w:lang w:bidi="bo-CN"/>
    </w:rPr>
  </w:style>
  <w:style w:type="paragraph" w:styleId="NormalWeb">
    <w:name w:val="Normal (Web)"/>
    <w:basedOn w:val="Normal"/>
    <w:link w:val="a8"/>
    <w:uiPriority w:val="99"/>
    <w:unhideWhenUsed/>
    <w:qFormat/>
    <w:pPr>
      <w:spacing w:before="100" w:beforeAutospacing="1" w:after="100" w:afterAutospacing="1"/>
    </w:pPr>
    <w:rPr>
      <w:rFonts w:ascii="Times New Roman" w:hAnsi="Times New Roman" w:cs="宋体"/>
      <w:lang w:bidi="bo-CN"/>
    </w:rPr>
  </w:style>
  <w:style w:type="paragraph" w:styleId="CommentSubject">
    <w:name w:val="annotation subject"/>
    <w:basedOn w:val="CommentText"/>
    <w:next w:val="CommentText"/>
    <w:link w:val="a9"/>
    <w:semiHidden/>
    <w:qFormat/>
    <w:rPr>
      <w:b/>
      <w:bCs/>
    </w:rPr>
  </w:style>
  <w:style w:type="paragraph" w:styleId="BodyTextFirstIndent">
    <w:name w:val="Body Text First Indent"/>
    <w:basedOn w:val="BodyText"/>
    <w:link w:val="a10"/>
    <w:unhideWhenUsed/>
    <w:qFormat/>
    <w:pPr>
      <w:ind w:firstLine="420" w:firstLineChars="100"/>
    </w:pPr>
    <w:rPr>
      <w:rFonts w:ascii="Calibri" w:hAnsi="Calibri"/>
      <w:szCs w:val="22"/>
    </w:rPr>
  </w:style>
  <w:style w:type="paragraph" w:styleId="BodyTextFirstIndent2">
    <w:name w:val="Body Text First Indent 2"/>
    <w:basedOn w:val="BodyTextIndent"/>
    <w:link w:val="22"/>
    <w:unhideWhenUsed/>
    <w:qFormat/>
    <w:pPr>
      <w:ind w:firstLine="420" w:firstLineChars="200"/>
    </w:p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Hyperlink">
    <w:name w:val="Hyperlink"/>
    <w:uiPriority w:val="99"/>
    <w:unhideWhenUsed/>
    <w:qFormat/>
    <w:rPr>
      <w:color w:val="3F88BF"/>
      <w:u w:val="none"/>
    </w:rPr>
  </w:style>
  <w:style w:type="character" w:styleId="CommentReference">
    <w:name w:val="annotation reference"/>
    <w:semiHidden/>
    <w:qFormat/>
    <w:rPr>
      <w:sz w:val="21"/>
      <w:szCs w:val="21"/>
    </w:rPr>
  </w:style>
  <w:style w:type="character" w:customStyle="1" w:styleId="2">
    <w:name w:val="标题 2字符"/>
    <w:link w:val="Heading2"/>
    <w:qFormat/>
    <w:rPr>
      <w:rFonts w:ascii="Arial" w:eastAsia="黑体" w:hAnsi="Arial"/>
      <w:b/>
      <w:bCs/>
      <w:kern w:val="2"/>
      <w:sz w:val="32"/>
      <w:szCs w:val="32"/>
    </w:rPr>
  </w:style>
  <w:style w:type="character" w:customStyle="1" w:styleId="3">
    <w:name w:val="标题 3字符"/>
    <w:link w:val="Heading3"/>
    <w:uiPriority w:val="9"/>
    <w:qFormat/>
    <w:rPr>
      <w:b/>
      <w:bCs/>
      <w:kern w:val="2"/>
      <w:sz w:val="32"/>
      <w:szCs w:val="32"/>
    </w:rPr>
  </w:style>
  <w:style w:type="character" w:customStyle="1" w:styleId="4">
    <w:name w:val="标题 4字符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sz w:val="28"/>
      <w:szCs w:val="40"/>
    </w:rPr>
  </w:style>
  <w:style w:type="character" w:customStyle="1" w:styleId="5">
    <w:name w:val="标题 5字符"/>
    <w:link w:val="Heading5"/>
    <w:uiPriority w:val="9"/>
    <w:semiHidden/>
    <w:qFormat/>
    <w:rPr>
      <w:b/>
      <w:bCs/>
      <w:kern w:val="2"/>
      <w:sz w:val="28"/>
      <w:szCs w:val="28"/>
    </w:rPr>
  </w:style>
  <w:style w:type="character" w:customStyle="1" w:styleId="a">
    <w:name w:val="正文缩进字符"/>
    <w:link w:val="NormalIndent"/>
    <w:qFormat/>
    <w:locked/>
    <w:rPr>
      <w:rFonts w:ascii="宋体" w:hAnsi="宋体" w:cs="宋体"/>
      <w:color w:val="000000"/>
      <w:sz w:val="24"/>
      <w:u w:color="000000"/>
    </w:rPr>
  </w:style>
  <w:style w:type="character" w:customStyle="1" w:styleId="a0">
    <w:name w:val="文档结构图字符"/>
    <w:link w:val="DocumentMap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a1">
    <w:name w:val="批注文字字符"/>
    <w:link w:val="CommentText"/>
    <w:qFormat/>
    <w:locked/>
    <w:rPr>
      <w:kern w:val="2"/>
      <w:sz w:val="21"/>
      <w:szCs w:val="22"/>
    </w:rPr>
  </w:style>
  <w:style w:type="character" w:customStyle="1" w:styleId="a2">
    <w:name w:val="正文文本字符"/>
    <w:link w:val="BodyText"/>
    <w:qFormat/>
    <w:rPr>
      <w:rFonts w:ascii="Times New Roman" w:hAnsi="Times New Roman"/>
      <w:kern w:val="2"/>
      <w:sz w:val="21"/>
      <w:szCs w:val="24"/>
    </w:rPr>
  </w:style>
  <w:style w:type="character" w:customStyle="1" w:styleId="a3">
    <w:name w:val="正文文本缩进字符"/>
    <w:link w:val="BodyTextIndent"/>
    <w:semiHidden/>
    <w:qFormat/>
    <w:rPr>
      <w:kern w:val="2"/>
      <w:sz w:val="21"/>
      <w:szCs w:val="22"/>
    </w:rPr>
  </w:style>
  <w:style w:type="character" w:customStyle="1" w:styleId="a4">
    <w:name w:val="日期字符"/>
    <w:link w:val="Date"/>
    <w:qFormat/>
    <w:rPr>
      <w:rFonts w:ascii="Times New Roman" w:hAnsi="Times New Roman"/>
      <w:kern w:val="2"/>
      <w:sz w:val="28"/>
      <w:szCs w:val="24"/>
    </w:rPr>
  </w:style>
  <w:style w:type="character" w:customStyle="1" w:styleId="20">
    <w:name w:val="正文文本缩进 2字符"/>
    <w:link w:val="BodyTextIndent2"/>
    <w:qFormat/>
    <w:rPr>
      <w:rFonts w:ascii="宋体" w:hAnsi="宋体"/>
      <w:kern w:val="2"/>
      <w:sz w:val="28"/>
      <w:szCs w:val="24"/>
    </w:rPr>
  </w:style>
  <w:style w:type="character" w:customStyle="1" w:styleId="a5">
    <w:name w:val="批注框文本字符"/>
    <w:link w:val="BalloonText"/>
    <w:semiHidden/>
    <w:qFormat/>
    <w:locked/>
    <w:rPr>
      <w:kern w:val="2"/>
      <w:sz w:val="18"/>
      <w:szCs w:val="18"/>
    </w:rPr>
  </w:style>
  <w:style w:type="character" w:customStyle="1" w:styleId="a6">
    <w:name w:val="页脚字符"/>
    <w:link w:val="Footer"/>
    <w:uiPriority w:val="99"/>
    <w:qFormat/>
    <w:rPr>
      <w:kern w:val="2"/>
      <w:sz w:val="18"/>
      <w:szCs w:val="18"/>
    </w:rPr>
  </w:style>
  <w:style w:type="character" w:customStyle="1" w:styleId="a7">
    <w:name w:val="页眉字符"/>
    <w:link w:val="Header"/>
    <w:uiPriority w:val="99"/>
    <w:qFormat/>
    <w:rPr>
      <w:kern w:val="2"/>
      <w:sz w:val="18"/>
      <w:szCs w:val="18"/>
    </w:rPr>
  </w:style>
  <w:style w:type="character" w:customStyle="1" w:styleId="21">
    <w:name w:val="正文文本 2字符"/>
    <w:link w:val="BodyText2"/>
    <w:uiPriority w:val="99"/>
    <w:semiHidden/>
    <w:qFormat/>
    <w:rPr>
      <w:kern w:val="2"/>
      <w:sz w:val="21"/>
      <w:szCs w:val="22"/>
    </w:rPr>
  </w:style>
  <w:style w:type="character" w:customStyle="1" w:styleId="a8">
    <w:name w:val="普通(网站)字符"/>
    <w:link w:val="NormalWeb"/>
    <w:qFormat/>
    <w:locked/>
    <w:rPr>
      <w:rFonts w:cs="宋体"/>
      <w:sz w:val="24"/>
      <w:szCs w:val="24"/>
    </w:rPr>
  </w:style>
  <w:style w:type="character" w:customStyle="1" w:styleId="a9">
    <w:name w:val="批注主题字符"/>
    <w:link w:val="CommentSubject"/>
    <w:semiHidden/>
    <w:qFormat/>
    <w:locked/>
    <w:rPr>
      <w:b/>
      <w:bCs/>
      <w:kern w:val="2"/>
      <w:sz w:val="21"/>
      <w:szCs w:val="22"/>
    </w:rPr>
  </w:style>
  <w:style w:type="character" w:customStyle="1" w:styleId="a10">
    <w:name w:val="正文首行缩进字符"/>
    <w:link w:val="BodyTextFirstIndent"/>
    <w:uiPriority w:val="99"/>
    <w:qFormat/>
    <w:rPr>
      <w:rFonts w:ascii="Times New Roman" w:hAnsi="Times New Roman"/>
      <w:kern w:val="2"/>
      <w:sz w:val="21"/>
      <w:szCs w:val="22"/>
    </w:rPr>
  </w:style>
  <w:style w:type="character" w:customStyle="1" w:styleId="22">
    <w:name w:val="正文首行缩进 2字符"/>
    <w:basedOn w:val="a3"/>
    <w:link w:val="BodyTextFirstIndent2"/>
    <w:uiPriority w:val="99"/>
    <w:semiHidden/>
    <w:qFormat/>
    <w:rPr>
      <w:kern w:val="2"/>
      <w:sz w:val="21"/>
      <w:szCs w:val="22"/>
    </w:rPr>
  </w:style>
  <w:style w:type="character" w:customStyle="1" w:styleId="a11">
    <w:name w:val="页脚 字符"/>
    <w:uiPriority w:val="99"/>
    <w:qFormat/>
    <w:rPr>
      <w:kern w:val="2"/>
      <w:sz w:val="18"/>
      <w:szCs w:val="18"/>
    </w:rPr>
  </w:style>
  <w:style w:type="character" w:customStyle="1" w:styleId="CharChar">
    <w:name w:val="报告正文 Char Char"/>
    <w:link w:val="a12"/>
    <w:qFormat/>
    <w:rPr>
      <w:color w:val="000000"/>
      <w:kern w:val="2"/>
      <w:sz w:val="24"/>
      <w:szCs w:val="24"/>
    </w:rPr>
  </w:style>
  <w:style w:type="paragraph" w:customStyle="1" w:styleId="a12">
    <w:name w:val="报告正文"/>
    <w:basedOn w:val="Normal"/>
    <w:link w:val="CharChar"/>
    <w:qFormat/>
    <w:pPr>
      <w:widowControl w:val="0"/>
      <w:spacing w:line="480" w:lineRule="exact"/>
      <w:ind w:firstLine="200" w:firstLineChars="200"/>
      <w:jc w:val="both"/>
    </w:pPr>
    <w:rPr>
      <w:rFonts w:ascii="Times New Roman" w:hAnsi="Times New Roman"/>
      <w:color w:val="000000"/>
      <w:kern w:val="2"/>
      <w:lang w:bidi="bo-CN"/>
    </w:rPr>
  </w:style>
  <w:style w:type="character" w:customStyle="1" w:styleId="1">
    <w:name w:val="书籍标题1"/>
    <w:uiPriority w:val="33"/>
    <w:qFormat/>
    <w:rPr>
      <w:b/>
      <w:bCs/>
      <w:smallCaps/>
      <w:spacing w:val="5"/>
    </w:rPr>
  </w:style>
  <w:style w:type="character" w:customStyle="1" w:styleId="251Char">
    <w:name w:val="样式 小四 黑色 行距: 固定值 25 磅1 Char"/>
    <w:link w:val="251"/>
    <w:qFormat/>
    <w:rPr>
      <w:rFonts w:ascii="Times New Roman" w:hAnsi="Times New Roman" w:cs="宋体"/>
      <w:color w:val="000000"/>
      <w:kern w:val="2"/>
      <w:sz w:val="24"/>
    </w:rPr>
  </w:style>
  <w:style w:type="paragraph" w:customStyle="1" w:styleId="251">
    <w:name w:val="样式 小四 黑色 行距: 固定值 25 磅1"/>
    <w:basedOn w:val="Normal"/>
    <w:link w:val="251Char"/>
    <w:qFormat/>
    <w:pPr>
      <w:widowControl w:val="0"/>
      <w:spacing w:line="500" w:lineRule="exact"/>
      <w:ind w:firstLine="480" w:firstLineChars="200"/>
      <w:jc w:val="both"/>
    </w:pPr>
    <w:rPr>
      <w:rFonts w:ascii="Times New Roman" w:hAnsi="Times New Roman" w:cs="宋体"/>
      <w:color w:val="000000"/>
      <w:kern w:val="2"/>
      <w:szCs w:val="20"/>
      <w:lang w:bidi="bo-CN"/>
    </w:rPr>
  </w:style>
  <w:style w:type="character" w:customStyle="1" w:styleId="Char">
    <w:name w:val="表格文字 Char"/>
    <w:link w:val="a13"/>
    <w:qFormat/>
    <w:rPr>
      <w:rFonts w:ascii="仿宋_GB2312" w:eastAsia="仿宋_GB2312" w:hAnsi="Arial Black"/>
      <w:kern w:val="44"/>
      <w:sz w:val="24"/>
      <w:szCs w:val="24"/>
    </w:rPr>
  </w:style>
  <w:style w:type="paragraph" w:customStyle="1" w:styleId="a13">
    <w:name w:val="表格文字"/>
    <w:basedOn w:val="Normal"/>
    <w:link w:val="Char"/>
    <w:qFormat/>
    <w:pPr>
      <w:widowControl w:val="0"/>
      <w:jc w:val="center"/>
    </w:pPr>
    <w:rPr>
      <w:rFonts w:ascii="仿宋_GB2312" w:eastAsia="仿宋_GB2312" w:hAnsi="Arial Black"/>
      <w:kern w:val="44"/>
      <w:lang w:bidi="bo-CN"/>
    </w:rPr>
  </w:style>
  <w:style w:type="character" w:customStyle="1" w:styleId="a14">
    <w:name w:val="页眉 字符"/>
    <w:qFormat/>
    <w:rPr>
      <w:kern w:val="2"/>
      <w:sz w:val="18"/>
      <w:szCs w:val="18"/>
    </w:rPr>
  </w:style>
  <w:style w:type="character" w:customStyle="1" w:styleId="-lsChar">
    <w:name w:val="正文-ls Char"/>
    <w:link w:val="-ls"/>
    <w:qFormat/>
    <w:rPr>
      <w:rFonts w:ascii="Times New Roman" w:hAnsi="宋体" w:cs="宋体"/>
      <w:kern w:val="2"/>
      <w:sz w:val="24"/>
    </w:rPr>
  </w:style>
  <w:style w:type="paragraph" w:customStyle="1" w:styleId="-ls">
    <w:name w:val="正文-ls"/>
    <w:basedOn w:val="Normal"/>
    <w:link w:val="-lsChar"/>
    <w:qFormat/>
    <w:pPr>
      <w:widowControl w:val="0"/>
      <w:spacing w:line="360" w:lineRule="auto"/>
      <w:ind w:firstLine="200" w:firstLineChars="200"/>
      <w:jc w:val="both"/>
    </w:pPr>
    <w:rPr>
      <w:rFonts w:ascii="Times New Roman" w:hAnsi="Times New Roman" w:cs="宋体"/>
      <w:kern w:val="2"/>
      <w:szCs w:val="20"/>
      <w:lang w:bidi="bo-CN"/>
    </w:rPr>
  </w:style>
  <w:style w:type="character" w:customStyle="1" w:styleId="hjstyle2">
    <w:name w:val="hj style2"/>
    <w:basedOn w:val="DefaultParagraphFont"/>
    <w:qFormat/>
  </w:style>
  <w:style w:type="character" w:customStyle="1" w:styleId="Char0">
    <w:name w:val="表格字体 Char"/>
    <w:link w:val="a15"/>
    <w:qFormat/>
    <w:rPr>
      <w:rFonts w:ascii="宋体" w:hAnsi="宋体"/>
      <w:color w:val="000000"/>
      <w:kern w:val="2"/>
      <w:sz w:val="18"/>
      <w:szCs w:val="18"/>
    </w:rPr>
  </w:style>
  <w:style w:type="paragraph" w:customStyle="1" w:styleId="a15">
    <w:name w:val="表格字体"/>
    <w:basedOn w:val="a12"/>
    <w:link w:val="Char0"/>
    <w:qFormat/>
    <w:pPr>
      <w:adjustRightInd w:val="0"/>
      <w:spacing w:line="300" w:lineRule="exact"/>
      <w:ind w:firstLine="0" w:firstLineChars="0"/>
      <w:jc w:val="center"/>
    </w:pPr>
    <w:rPr>
      <w:rFonts w:ascii="宋体" w:hAnsi="宋体"/>
      <w:sz w:val="18"/>
      <w:szCs w:val="18"/>
    </w:rPr>
  </w:style>
  <w:style w:type="paragraph" w:customStyle="1" w:styleId="a16">
    <w:name w:val="正文内容"/>
    <w:basedOn w:val="Normal"/>
    <w:qFormat/>
    <w:pPr>
      <w:widowControl w:val="0"/>
      <w:spacing w:line="360" w:lineRule="auto"/>
      <w:ind w:firstLine="200" w:firstLineChars="200"/>
      <w:jc w:val="both"/>
    </w:pPr>
    <w:rPr>
      <w:rFonts w:ascii="Times New Roman" w:hAnsi="Times New Roman"/>
      <w:kern w:val="2"/>
      <w:lang w:bidi="bo-CN"/>
    </w:rPr>
  </w:style>
  <w:style w:type="paragraph" w:customStyle="1" w:styleId="23">
    <w:name w:val="列出段落2"/>
    <w:basedOn w:val="Normal"/>
    <w:uiPriority w:val="34"/>
    <w:qFormat/>
    <w:pPr>
      <w:widowControl w:val="0"/>
      <w:ind w:firstLine="420" w:firstLineChars="200"/>
      <w:jc w:val="both"/>
    </w:pPr>
    <w:rPr>
      <w:rFonts w:ascii="Times New Roman" w:hAnsi="Times New Roman"/>
      <w:kern w:val="2"/>
      <w:sz w:val="21"/>
      <w:szCs w:val="20"/>
      <w:lang w:bidi="bo-CN"/>
    </w:rPr>
  </w:style>
  <w:style w:type="paragraph" w:customStyle="1" w:styleId="24">
    <w:name w:val="正文 首行缩进:  2 字符"/>
    <w:basedOn w:val="Normal"/>
    <w:qFormat/>
    <w:pPr>
      <w:widowControl w:val="0"/>
      <w:adjustRightInd w:val="0"/>
      <w:snapToGrid w:val="0"/>
      <w:spacing w:line="360" w:lineRule="auto"/>
      <w:ind w:firstLine="480" w:firstLineChars="200"/>
      <w:jc w:val="both"/>
    </w:pPr>
    <w:rPr>
      <w:rFonts w:ascii="Times New Roman" w:hAnsi="Times New Roman"/>
      <w:bCs/>
      <w:color w:val="000000"/>
      <w:lang w:bidi="bo-CN"/>
    </w:rPr>
  </w:style>
  <w:style w:type="paragraph" w:customStyle="1" w:styleId="a17">
    <w:name w:val="新格式表"/>
    <w:basedOn w:val="Normal"/>
    <w:qFormat/>
    <w:pPr>
      <w:widowControl w:val="0"/>
      <w:adjustRightInd w:val="0"/>
      <w:snapToGrid w:val="0"/>
      <w:spacing w:line="0" w:lineRule="atLeast"/>
      <w:jc w:val="center"/>
    </w:pPr>
    <w:rPr>
      <w:rFonts w:ascii="Times New Roman" w:hAnsi="Times New Roman"/>
      <w:color w:val="000000"/>
      <w:sz w:val="21"/>
      <w:szCs w:val="21"/>
      <w:lang w:bidi="bo-CN"/>
    </w:rPr>
  </w:style>
  <w:style w:type="paragraph" w:customStyle="1" w:styleId="12152">
    <w:name w:val="样式 样式 样式 首行缩进:  1 字符 + 首行缩进:  2 字符 行距: 1.5 倍行距 + 首行缩进:  2 字符"/>
    <w:basedOn w:val="Normal"/>
    <w:qFormat/>
    <w:pPr>
      <w:widowControl w:val="0"/>
      <w:adjustRightInd w:val="0"/>
      <w:snapToGrid w:val="0"/>
      <w:spacing w:line="360" w:lineRule="auto"/>
      <w:ind w:firstLine="480" w:firstLineChars="200"/>
      <w:jc w:val="both"/>
    </w:pPr>
    <w:rPr>
      <w:rFonts w:ascii="Times New Roman" w:hAnsi="Times New Roman" w:cs="宋体"/>
      <w:kern w:val="2"/>
      <w:szCs w:val="20"/>
      <w:lang w:bidi="bo-CN"/>
    </w:rPr>
  </w:style>
  <w:style w:type="paragraph" w:customStyle="1" w:styleId="CharCharChar1Char">
    <w:name w:val="Char Char Char1 Char"/>
    <w:basedOn w:val="Normal"/>
    <w:next w:val="Normal"/>
    <w:qFormat/>
    <w:pPr>
      <w:widowControl w:val="0"/>
      <w:spacing w:line="360" w:lineRule="auto"/>
      <w:ind w:firstLine="200" w:firstLineChars="200"/>
      <w:jc w:val="both"/>
    </w:pPr>
    <w:rPr>
      <w:rFonts w:ascii="Times New Roman" w:eastAsia="汉鼎简书宋" w:hAnsi="Times New Roman" w:cs="宋体"/>
      <w:kern w:val="2"/>
      <w:lang w:bidi="bo-CN"/>
    </w:rPr>
  </w:style>
  <w:style w:type="paragraph" w:customStyle="1" w:styleId="10">
    <w:name w:val="1文章正文"/>
    <w:basedOn w:val="Normal"/>
    <w:qFormat/>
    <w:pPr>
      <w:widowControl w:val="0"/>
      <w:spacing w:line="360" w:lineRule="auto"/>
      <w:ind w:firstLine="200" w:firstLineChars="200"/>
      <w:jc w:val="both"/>
    </w:pPr>
    <w:rPr>
      <w:rFonts w:ascii="Times New Roman" w:hAnsi="Times New Roman"/>
      <w:kern w:val="2"/>
      <w:lang w:bidi="bo-CN"/>
    </w:rPr>
  </w:style>
  <w:style w:type="paragraph" w:customStyle="1" w:styleId="CharChar0">
    <w:name w:val="Char Char"/>
    <w:basedOn w:val="Normal"/>
    <w:qFormat/>
    <w:pPr>
      <w:widowControl w:val="0"/>
      <w:jc w:val="both"/>
    </w:pPr>
    <w:rPr>
      <w:rFonts w:ascii="Times New Roman" w:hAnsi="Times New Roman"/>
      <w:kern w:val="2"/>
      <w:sz w:val="21"/>
      <w:lang w:bidi="bo-CN"/>
    </w:r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  <w:lang w:val="en-US" w:eastAsia="zh-CN" w:bidi="ar-SA"/>
    </w:rPr>
  </w:style>
  <w:style w:type="paragraph" w:customStyle="1" w:styleId="p0">
    <w:name w:val="p0"/>
    <w:basedOn w:val="Normal"/>
    <w:qFormat/>
    <w:pPr>
      <w:jc w:val="both"/>
    </w:pPr>
    <w:rPr>
      <w:rFonts w:ascii="Times New Roman" w:hAnsi="Times New Roman"/>
      <w:sz w:val="21"/>
      <w:szCs w:val="21"/>
      <w:lang w:bidi="bo-CN"/>
    </w:rPr>
  </w:style>
  <w:style w:type="paragraph" w:customStyle="1" w:styleId="a18">
    <w:name w:val="表文"/>
    <w:basedOn w:val="Normal"/>
    <w:qFormat/>
    <w:pPr>
      <w:widowControl w:val="0"/>
      <w:tabs>
        <w:tab w:val="left" w:pos="1021"/>
      </w:tabs>
      <w:spacing w:line="300" w:lineRule="auto"/>
      <w:jc w:val="center"/>
    </w:pPr>
    <w:rPr>
      <w:rFonts w:ascii="Times New Roman" w:hAnsi="Times New Roman"/>
      <w:position w:val="-24"/>
      <w:szCs w:val="21"/>
      <w:lang w:bidi="bo-CN"/>
    </w:rPr>
  </w:style>
  <w:style w:type="paragraph" w:customStyle="1" w:styleId="11">
    <w:name w:val="无间隔1"/>
    <w:uiPriority w:val="1"/>
    <w:qFormat/>
    <w:pPr>
      <w:widowControl w:val="0"/>
      <w:spacing w:line="360" w:lineRule="auto"/>
      <w:ind w:firstLine="200" w:firstLineChars="200"/>
      <w:jc w:val="both"/>
    </w:pPr>
    <w:rPr>
      <w:rFonts w:ascii="Times New Roman" w:eastAsia="宋体" w:hAnsi="Times New Roman" w:cs="Times New Roman"/>
      <w:kern w:val="2"/>
      <w:sz w:val="24"/>
      <w:lang w:val="en-US" w:eastAsia="zh-CN" w:bidi="ar-SA"/>
    </w:rPr>
  </w:style>
  <w:style w:type="paragraph" w:customStyle="1" w:styleId="2006">
    <w:name w:val="2006表格标题"/>
    <w:basedOn w:val="Normal"/>
    <w:qFormat/>
    <w:pPr>
      <w:widowControl w:val="0"/>
      <w:spacing w:before="160"/>
      <w:ind w:firstLine="200" w:firstLineChars="200"/>
      <w:jc w:val="both"/>
    </w:pPr>
    <w:rPr>
      <w:rFonts w:ascii="Times New Roman" w:eastAsia="黑体" w:hAnsi="Times New Roman"/>
      <w:kern w:val="2"/>
      <w:sz w:val="21"/>
      <w:lang w:bidi="bo-CN"/>
    </w:rPr>
  </w:style>
  <w:style w:type="paragraph" w:customStyle="1" w:styleId="2-21">
    <w:name w:val="中等深浅列表 2 - 着色 21"/>
    <w:uiPriority w:val="99"/>
    <w:unhideWhenUsed/>
    <w:qFormat/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paragraph" w:customStyle="1" w:styleId="a19">
    <w:name w:val="中文报告书样式"/>
    <w:basedOn w:val="Normal"/>
    <w:qFormat/>
    <w:pPr>
      <w:widowControl w:val="0"/>
      <w:adjustRightInd w:val="0"/>
      <w:spacing w:line="480" w:lineRule="atLeast"/>
      <w:ind w:firstLine="482"/>
      <w:jc w:val="both"/>
      <w:textAlignment w:val="baseline"/>
    </w:pPr>
    <w:rPr>
      <w:rFonts w:ascii="Times New Roman" w:hAnsi="Times New Roman"/>
      <w:kern w:val="24"/>
      <w:szCs w:val="20"/>
      <w:lang w:bidi="bo-CN"/>
    </w:rPr>
  </w:style>
  <w:style w:type="paragraph" w:customStyle="1" w:styleId="CharCharCharChar">
    <w:name w:val="Char Char Char Char"/>
    <w:basedOn w:val="Normal"/>
    <w:next w:val="Normal"/>
    <w:qFormat/>
    <w:pPr>
      <w:widowControl w:val="0"/>
      <w:pBdr>
        <w:right w:val="single" w:sz="12" w:space="4" w:color="auto"/>
      </w:pBdr>
      <w:spacing w:line="360" w:lineRule="auto"/>
      <w:ind w:firstLine="200" w:firstLineChars="200"/>
      <w:jc w:val="both"/>
    </w:pPr>
    <w:rPr>
      <w:rFonts w:ascii="Times New Roman" w:hAnsi="Times New Roman"/>
      <w:kern w:val="2"/>
      <w:sz w:val="21"/>
      <w:szCs w:val="20"/>
      <w:lang w:bidi="bo-CN"/>
    </w:rPr>
  </w:style>
  <w:style w:type="paragraph" w:customStyle="1" w:styleId="WPSOffice2">
    <w:name w:val="WPSOffice手动目录 2"/>
    <w:qFormat/>
    <w:pPr>
      <w:ind w:left="200" w:leftChars="200"/>
    </w:pPr>
    <w:rPr>
      <w:rFonts w:ascii="Calibri" w:eastAsia="宋体" w:hAnsi="Calibri" w:cs="Times New Roman"/>
      <w:lang w:val="en-US" w:eastAsia="zh-CN" w:bidi="ar-SA"/>
    </w:rPr>
  </w:style>
  <w:style w:type="paragraph" w:customStyle="1" w:styleId="WPSOffice1">
    <w:name w:val="WPSOffice手动目录 1"/>
    <w:qFormat/>
    <w:rPr>
      <w:rFonts w:ascii="Calibri" w:eastAsia="宋体" w:hAnsi="Calibri" w:cs="Times New Roman"/>
      <w:lang w:val="en-US" w:eastAsia="zh-CN" w:bidi="ar-SA"/>
    </w:rPr>
  </w:style>
  <w:style w:type="paragraph" w:customStyle="1" w:styleId="25">
    <w:name w:val="普通(网站)2"/>
    <w:basedOn w:val="Normal"/>
    <w:qFormat/>
    <w:pPr>
      <w:spacing w:before="100" w:beforeAutospacing="1" w:after="100" w:afterAutospacing="1"/>
    </w:pPr>
    <w:rPr>
      <w:rFonts w:ascii="Times New Roman" w:hAnsi="Times New Roman" w:hint="eastAsia"/>
      <w:kern w:val="2"/>
      <w:szCs w:val="20"/>
      <w:lang w:bidi="bo-CN"/>
    </w:rPr>
  </w:style>
  <w:style w:type="character" w:styleId="PlaceholderText">
    <w:name w:val="Placeholder Text"/>
    <w:basedOn w:val="DefaultParagraphFont"/>
    <w:uiPriority w:val="99"/>
    <w:unhideWhenUsed/>
    <w:qFormat/>
    <w:rPr>
      <w:color w:val="808080"/>
    </w:rPr>
  </w:style>
  <w:style w:type="paragraph" w:styleId="ListParagraph">
    <w:name w:val="List Paragraph"/>
    <w:basedOn w:val="Normal"/>
    <w:uiPriority w:val="34"/>
    <w:qFormat/>
    <w:pPr>
      <w:widowControl w:val="0"/>
      <w:ind w:left="720"/>
      <w:contextualSpacing/>
      <w:jc w:val="both"/>
    </w:pPr>
    <w:rPr>
      <w:rFonts w:ascii="Times New Roman" w:hAnsi="Times New Roman"/>
      <w:kern w:val="2"/>
      <w:sz w:val="21"/>
      <w:szCs w:val="22"/>
      <w:lang w:bidi="bo-CN"/>
    </w:rPr>
  </w:style>
  <w:style w:type="paragraph" w:customStyle="1" w:styleId="333">
    <w:name w:val="333"/>
    <w:basedOn w:val="Normal"/>
    <w:qFormat/>
    <w:pPr>
      <w:widowControl w:val="0"/>
      <w:ind w:firstLine="562"/>
      <w:jc w:val="both"/>
    </w:pPr>
    <w:rPr>
      <w:rFonts w:ascii="Calibri" w:hAnsi="Calibri"/>
      <w:b/>
      <w:kern w:val="2"/>
      <w:sz w:val="28"/>
      <w:szCs w:val="28"/>
    </w:rPr>
  </w:style>
  <w:style w:type="paragraph" w:customStyle="1" w:styleId="CM5">
    <w:name w:val="CM5"/>
    <w:basedOn w:val="Default"/>
    <w:next w:val="Default"/>
    <w:uiPriority w:val="99"/>
    <w:qFormat/>
    <w:pPr>
      <w:spacing w:line="468" w:lineRule="atLeast"/>
    </w:pPr>
    <w:rPr>
      <w:rFonts w:cs="Times New Roman"/>
      <w:color w:val="auto"/>
    </w:rPr>
  </w:style>
  <w:style w:type="paragraph" w:customStyle="1" w:styleId="12">
    <w:name w:val="正文1"/>
    <w:qFormat/>
    <w:pPr>
      <w:jc w:val="both"/>
    </w:pPr>
    <w:rPr>
      <w:rFonts w:ascii="Times New Roman" w:eastAsia="宋体" w:hAnsi="Times New Roman" w:cs="Times New Roman"/>
      <w:kern w:val="2"/>
      <w:sz w:val="21"/>
      <w:szCs w:val="21"/>
      <w:lang w:val="en-US" w:eastAsia="zh-CN" w:bidi="ar-SA"/>
    </w:rPr>
  </w:style>
  <w:style w:type="paragraph" w:customStyle="1" w:styleId="a20">
    <w:name w:val="居中四号"/>
    <w:qFormat/>
    <w:pPr>
      <w:spacing w:line="300" w:lineRule="auto"/>
      <w:jc w:val="center"/>
    </w:pPr>
    <w:rPr>
      <w:rFonts w:ascii="Times New Roman" w:eastAsia="宋体" w:hAnsi="Times New Roman" w:cs="Times New Roman"/>
      <w:sz w:val="28"/>
      <w:lang w:val="en-US" w:eastAsia="zh-CN" w:bidi="ar-SA"/>
    </w:rPr>
  </w:style>
  <w:style w:type="paragraph" w:customStyle="1" w:styleId="20060">
    <w:name w:val="2006正文"/>
    <w:basedOn w:val="Normal"/>
    <w:qFormat/>
    <w:pPr>
      <w:widowControl w:val="0"/>
      <w:spacing w:line="520" w:lineRule="exact"/>
      <w:ind w:firstLine="200" w:firstLineChars="200"/>
      <w:jc w:val="both"/>
    </w:pPr>
    <w:rPr>
      <w:rFonts w:ascii="宋体" w:hAnsi="宋体"/>
      <w:kern w:val="2"/>
      <w:szCs w:val="20"/>
    </w:rPr>
  </w:style>
  <w:style w:type="character" w:customStyle="1" w:styleId="13">
    <w:name w:val="标题 1字符"/>
    <w:basedOn w:val="DefaultParagraphFont"/>
    <w:link w:val="Heading1"/>
    <w:uiPriority w:val="99"/>
    <w:qFormat/>
    <w:rPr>
      <w:rFonts w:eastAsia="黑体"/>
      <w:b/>
      <w:bCs/>
      <w:color w:val="000000"/>
      <w:kern w:val="44"/>
      <w:sz w:val="30"/>
      <w:szCs w:val="30"/>
      <w:lang w:bidi="ar-SA"/>
    </w:rPr>
  </w:style>
  <w:style w:type="character" w:customStyle="1" w:styleId="Char1">
    <w:name w:val="表格 Char"/>
    <w:link w:val="a21"/>
    <w:qFormat/>
    <w:locked/>
    <w:rPr>
      <w:rFonts w:ascii="宋体"/>
      <w:sz w:val="21"/>
    </w:rPr>
  </w:style>
  <w:style w:type="paragraph" w:customStyle="1" w:styleId="a21">
    <w:name w:val="表格"/>
    <w:basedOn w:val="Normal"/>
    <w:next w:val="Normal"/>
    <w:link w:val="Char1"/>
    <w:qFormat/>
    <w:pPr>
      <w:widowControl w:val="0"/>
      <w:adjustRightInd w:val="0"/>
      <w:snapToGrid w:val="0"/>
      <w:spacing w:beforeLines="10" w:afterLines="10" w:line="259" w:lineRule="auto"/>
      <w:jc w:val="center"/>
    </w:pPr>
    <w:rPr>
      <w:rFonts w:ascii="宋体" w:hAnsi="Times New Roman"/>
      <w:sz w:val="21"/>
      <w:szCs w:val="20"/>
      <w:lang w:bidi="bo-CN"/>
    </w:rPr>
  </w:style>
  <w:style w:type="character" w:customStyle="1" w:styleId="a22">
    <w:name w:val="纯文本字符"/>
    <w:basedOn w:val="DefaultParagraphFont"/>
    <w:link w:val="PlainText"/>
    <w:qFormat/>
    <w:rPr>
      <w:rFonts w:ascii="宋体" w:hAnsi="Courier New"/>
      <w:kern w:val="2"/>
      <w:sz w:val="21"/>
      <w:lang w:bidi="ar-SA"/>
    </w:rPr>
  </w:style>
  <w:style w:type="paragraph" w:customStyle="1" w:styleId="a23">
    <w:name w:val="图表名"/>
    <w:basedOn w:val="Normal"/>
    <w:qFormat/>
    <w:pPr>
      <w:widowControl w:val="0"/>
      <w:spacing w:before="50" w:beforeLines="50" w:after="50" w:afterLines="50"/>
      <w:jc w:val="center"/>
    </w:pPr>
    <w:rPr>
      <w:rFonts w:ascii="Times New Roman" w:hAnsi="Times New Roman"/>
      <w:b/>
      <w:kern w:val="2"/>
      <w:sz w:val="21"/>
    </w:rPr>
  </w:style>
  <w:style w:type="paragraph" w:customStyle="1" w:styleId="a24">
    <w:name w:val="正式海油文字"/>
    <w:basedOn w:val="Normal"/>
    <w:qFormat/>
    <w:pPr>
      <w:widowControl w:val="0"/>
      <w:adjustRightInd w:val="0"/>
      <w:snapToGrid w:val="0"/>
      <w:spacing w:line="500" w:lineRule="exact"/>
      <w:ind w:firstLine="200" w:firstLineChars="200"/>
    </w:pPr>
    <w:rPr>
      <w:rFonts w:ascii="Times New Roman" w:hAnsi="Times New Roman"/>
      <w:color w:val="000000"/>
      <w:kern w:val="2"/>
      <w:szCs w:val="28"/>
    </w:rPr>
  </w:style>
  <w:style w:type="character" w:customStyle="1" w:styleId="14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leGrid0">
    <w:name w:val="Table Grid_0"/>
    <w:basedOn w:val="TableNormal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_1"/>
    <w:basedOn w:val="TableNormal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_2"/>
    <w:basedOn w:val="TableNormal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header" Target="header6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footer" Target="footer8.xml" /><Relationship Id="rId22" Type="http://schemas.openxmlformats.org/officeDocument/2006/relationships/header" Target="header9.xml" /><Relationship Id="rId23" Type="http://schemas.openxmlformats.org/officeDocument/2006/relationships/footer" Target="footer9.xml" /><Relationship Id="rId24" Type="http://schemas.openxmlformats.org/officeDocument/2006/relationships/header" Target="header10.xml" /><Relationship Id="rId25" Type="http://schemas.openxmlformats.org/officeDocument/2006/relationships/footer" Target="footer10.xml" /><Relationship Id="rId26" Type="http://schemas.openxmlformats.org/officeDocument/2006/relationships/header" Target="header11.xml" /><Relationship Id="rId27" Type="http://schemas.openxmlformats.org/officeDocument/2006/relationships/footer" Target="footer11.xml" /><Relationship Id="rId28" Type="http://schemas.openxmlformats.org/officeDocument/2006/relationships/hyperlink" Target="http://baike.baidu.com/view/15690.htm" TargetMode="External" /><Relationship Id="rId29" Type="http://schemas.openxmlformats.org/officeDocument/2006/relationships/hyperlink" Target="http://baike.baidu.com/view/861510.htm" TargetMode="External" /><Relationship Id="rId3" Type="http://schemas.openxmlformats.org/officeDocument/2006/relationships/fontTable" Target="fontTable.xml" /><Relationship Id="rId30" Type="http://schemas.openxmlformats.org/officeDocument/2006/relationships/hyperlink" Target="http://baike.baidu.com/view/8033261.htm" TargetMode="External" /><Relationship Id="rId31" Type="http://schemas.openxmlformats.org/officeDocument/2006/relationships/hyperlink" Target="https://baike.baidu.com/item/%E6%9D%90%E6%96%99" TargetMode="External" /><Relationship Id="rId32" Type="http://schemas.openxmlformats.org/officeDocument/2006/relationships/hyperlink" Target="https://baike.baidu.com/item/%E7%9D%80%E8%89%B2%E5%89%82/2531263" TargetMode="External" /><Relationship Id="rId33" Type="http://schemas.openxmlformats.org/officeDocument/2006/relationships/hyperlink" Target="https://baike.baidu.com/item/%E9%A2%9C%E6%96%99/465850" TargetMode="External" /><Relationship Id="rId34" Type="http://schemas.openxmlformats.org/officeDocument/2006/relationships/hyperlink" Target="https://baike.baidu.com/item/%E6%A0%91%E8%84%82/281282" TargetMode="External" /><Relationship Id="rId35" Type="http://schemas.openxmlformats.org/officeDocument/2006/relationships/hyperlink" Target="https://baike.baidu.com/item/%E6%99%B6%E4%BD%93/944670" TargetMode="External" /><Relationship Id="rId36" Type="http://schemas.openxmlformats.org/officeDocument/2006/relationships/hyperlink" Target="https://baike.baidu.com/item/%E6%B0%A7%E5%8C%96%E9%95%81/3475285" TargetMode="External" /><Relationship Id="rId37" Type="http://schemas.openxmlformats.org/officeDocument/2006/relationships/header" Target="header12.xml" /><Relationship Id="rId38" Type="http://schemas.openxmlformats.org/officeDocument/2006/relationships/footer" Target="footer12.xml" /><Relationship Id="rId39" Type="http://schemas.openxmlformats.org/officeDocument/2006/relationships/hyperlink" Target="https://d.book118.com/218000053137006046" TargetMode="External" /><Relationship Id="rId4" Type="http://schemas.openxmlformats.org/officeDocument/2006/relationships/customXml" Target="../customXml/item1.xml" /><Relationship Id="rId40" Type="http://schemas.openxmlformats.org/officeDocument/2006/relationships/header" Target="header13.xml" /><Relationship Id="rId41" Type="http://schemas.openxmlformats.org/officeDocument/2006/relationships/footer" Target="footer13.xml" /><Relationship Id="rId42" Type="http://schemas.openxmlformats.org/officeDocument/2006/relationships/theme" Target="theme/theme1.xml" /><Relationship Id="rId43" Type="http://schemas.openxmlformats.org/officeDocument/2006/relationships/styles" Target="styles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1B2ED3-CC7F-8142-B11D-833922D7DE9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5136</Words>
  <Characters>29279</Characters>
  <Application>Microsoft Office Word</Application>
  <DocSecurity>0</DocSecurity>
  <Lines>243</Lines>
  <Paragraphs>68</Paragraphs>
  <ScaleCrop>false</ScaleCrop>
  <Company>Microsoft</Company>
  <LinksUpToDate>false</LinksUpToDate>
  <CharactersWithSpaces>34347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WPS_1559717548</cp:lastModifiedBy>
  <cp:revision>3</cp:revision>
  <cp:lastPrinted>2021-12-22T06:57:00Z</cp:lastPrinted>
  <dcterms:created xsi:type="dcterms:W3CDTF">2022-03-15T02:32:00Z</dcterms:created>
  <dcterms:modified xsi:type="dcterms:W3CDTF">2024-03-18T07:32:00Z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D2DD21699E9447C492F0794A86E99DC6</vt:lpwstr>
  </property>
  <property fmtid="{D5CDD505-2E9C-101B-9397-08002B2CF9AE}" pid="3" name="KSOProductBuildVer">
    <vt:lpwstr>2052-11.1.0.10009</vt:lpwstr>
  </property>
</Properties>
</file>