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86" w:lineRule="auto"/>
        <w:rPr>
          <w:rFonts w:ascii="Arial"/>
          <w:sz w:val="21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612648</wp:posOffset>
            </wp:positionH>
            <wp:positionV relativeFrom="page">
              <wp:posOffset>1799971</wp:posOffset>
            </wp:positionV>
            <wp:extent cx="4428109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2810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88.5pt;height:36.65pt;margin-top:17.53pt;margin-left:488.67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444" w:lineRule="exact"/>
                    <w:ind w:right="19"/>
                    <w:jc w:val="right"/>
                  </w:pPr>
                  <w:r>
                    <w:rPr>
                      <w:spacing w:val="-1"/>
                      <w:position w:val="18"/>
                    </w:rPr>
                    <w:t>证券研究报告</w:t>
                  </w:r>
                </w:p>
                <w:p>
                  <w:pPr>
                    <w:pStyle w:val="BodyText"/>
                    <w:spacing w:line="218" w:lineRule="auto"/>
                    <w:jc w:val="right"/>
                  </w:pPr>
                  <w:r>
                    <w:rPr>
                      <w:spacing w:val="-8"/>
                    </w:rPr>
                    <w:t>2024</w:t>
                  </w:r>
                  <w:r>
                    <w:rPr>
                      <w:spacing w:val="-44"/>
                    </w:rPr>
                    <w:t xml:space="preserve"> </w:t>
                  </w:r>
                  <w:r>
                    <w:rPr>
                      <w:spacing w:val="-8"/>
                    </w:rPr>
                    <w:t>年</w:t>
                  </w:r>
                  <w:r>
                    <w:rPr>
                      <w:spacing w:val="-45"/>
                    </w:rPr>
                    <w:t xml:space="preserve"> </w:t>
                  </w:r>
                  <w:r>
                    <w:rPr>
                      <w:spacing w:val="-8"/>
                    </w:rPr>
                    <w:t>03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:spacing w:val="-8"/>
                    </w:rPr>
                    <w:t>月</w:t>
                  </w:r>
                  <w:r>
                    <w:rPr>
                      <w:spacing w:val="-45"/>
                    </w:rPr>
                    <w:t xml:space="preserve"> </w:t>
                  </w:r>
                  <w:r>
                    <w:rPr>
                      <w:spacing w:val="-8"/>
                    </w:rPr>
                    <w:t>05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rPr>
                      <w:spacing w:val="-8"/>
                    </w:rPr>
                    <w:t>日</w:t>
                  </w:r>
                </w:p>
              </w:txbxContent>
            </v:textbox>
          </v:shape>
        </w:pict>
      </w:r>
      <w:r>
        <w:pict>
          <v:shape id="_x0000_s1026" type="#_x0000_t202" style="width:34pt;height:841.85pt;margin-top:0;margin-left:0;mso-position-horizontal-relative:page;mso-position-vertical-relative:page;position:absolute;z-index:251658240" o:allowincell="f" filled="t" fillcolor="#c00000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87" w:line="210" w:lineRule="auto"/>
                    <w:ind w:left="710"/>
                    <w:rPr>
                      <w:sz w:val="24"/>
                      <w:szCs w:val="24"/>
                    </w:rPr>
                  </w:pPr>
                  <w:r>
                    <w:rPr>
                      <w:color w:val="FFFFFF"/>
                      <w:spacing w:val="-4"/>
                      <w:sz w:val="24"/>
                      <w:szCs w:val="24"/>
                      <w14:textOutline w14:w="435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行业报告│行业专题研究</w:t>
                  </w:r>
                </w:p>
              </w:txbxContent>
            </v:textbox>
          </v:shape>
        </w:pict>
      </w:r>
    </w:p>
    <w:p>
      <w:pPr>
        <w:spacing w:line="795" w:lineRule="exact"/>
        <w:ind w:firstLine="1071"/>
      </w:pPr>
      <w:r>
        <w:rPr>
          <w:position w:val="-15"/>
        </w:rPr>
        <w:drawing>
          <wp:inline distT="0" distB="0" distL="0" distR="0">
            <wp:extent cx="2046604" cy="50482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6604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4" w:lineRule="exact"/>
      </w:pPr>
    </w:p>
    <w:p>
      <w:pPr>
        <w:spacing w:line="64" w:lineRule="exact"/>
        <w:sectPr>
          <w:pgSz w:w="11907" w:h="16839"/>
          <w:pgMar w:top="0" w:right="278" w:bottom="0" w:left="0" w:header="0" w:footer="0" w:gutter="0"/>
          <w:cols w:num="1" w:space="708" w:equalWidth="0">
            <w:col w:w="11629" w:space="0"/>
          </w:cols>
        </w:sectPr>
      </w:pPr>
    </w:p>
    <w:p>
      <w:pPr>
        <w:spacing w:line="28" w:lineRule="exact"/>
        <w:ind w:firstLine="964"/>
      </w:pPr>
      <w:r>
        <w:drawing>
          <wp:inline distT="0" distB="0" distL="0" distR="0">
            <wp:extent cx="4428109" cy="1828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28109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01" w:line="220" w:lineRule="auto"/>
        <w:ind w:left="1107"/>
        <w:rPr>
          <w:sz w:val="36"/>
          <w:szCs w:val="36"/>
        </w:rPr>
      </w:pPr>
      <w:r>
        <w:rPr>
          <w:spacing w:val="-9"/>
          <w:sz w:val="36"/>
          <w:szCs w:val="36"/>
          <w14:textOutline w14:w="6531">
            <w14:solidFill>
              <w14:srgbClr w14:val="000000"/>
            </w14:solidFill>
            <w14:prstDash w14:val="solid"/>
            <w14:miter w14:lim="10"/>
          </w14:textOutline>
        </w:rPr>
        <w:t>汽车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97" w:line="216" w:lineRule="auto"/>
        <w:ind w:left="4268"/>
        <w:rPr>
          <w:sz w:val="30"/>
          <w:szCs w:val="30"/>
        </w:rPr>
      </w:pPr>
      <w:r>
        <w:rPr>
          <w:spacing w:val="-4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以旧换新政策助推内需向上</w:t>
      </w:r>
    </w:p>
    <w:p>
      <w:pPr>
        <w:pStyle w:val="BodyText"/>
        <w:spacing w:before="280" w:line="217" w:lineRule="auto"/>
        <w:ind w:left="1090"/>
      </w:pPr>
      <w:r>
        <w:rPr>
          <w:rFonts w:ascii="Wingdings" w:eastAsia="Wingdings" w:hAnsi="Wingdings" w:cs="Wingdings"/>
          <w:spacing w:val="-3"/>
        </w:rPr>
        <w:t>&gt;</w:t>
      </w:r>
      <w:r>
        <w:rPr>
          <w:rFonts w:ascii="Wingdings" w:eastAsia="Wingdings" w:hAnsi="Wingdings" w:cs="Wingdings"/>
          <w:spacing w:val="51"/>
        </w:rPr>
        <w:t xml:space="preserve">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政策鼓励消费品以旧换新</w:t>
      </w:r>
    </w:p>
    <w:p>
      <w:pPr>
        <w:pStyle w:val="BodyText"/>
        <w:spacing w:before="51" w:line="254" w:lineRule="auto"/>
        <w:ind w:left="1074" w:right="288" w:firstLine="4"/>
      </w:pPr>
      <w:r>
        <w:rPr>
          <w:spacing w:val="-3"/>
        </w:rPr>
        <w:t>2024</w:t>
      </w:r>
      <w:r>
        <w:rPr>
          <w:spacing w:val="-10"/>
        </w:rPr>
        <w:t xml:space="preserve"> </w:t>
      </w:r>
      <w:r>
        <w:rPr>
          <w:spacing w:val="-3"/>
        </w:rPr>
        <w:t>年</w:t>
      </w:r>
      <w:r>
        <w:rPr>
          <w:spacing w:val="-29"/>
        </w:rPr>
        <w:t xml:space="preserve"> </w:t>
      </w:r>
      <w:r>
        <w:rPr>
          <w:spacing w:val="-3"/>
        </w:rPr>
        <w:t>2</w:t>
      </w:r>
      <w:r>
        <w:rPr>
          <w:spacing w:val="-3"/>
        </w:rPr>
        <w:t xml:space="preserve"> </w:t>
      </w:r>
      <w:r>
        <w:rPr>
          <w:spacing w:val="-3"/>
        </w:rPr>
        <w:t>月</w:t>
      </w:r>
      <w:r>
        <w:rPr>
          <w:spacing w:val="-29"/>
        </w:rPr>
        <w:t xml:space="preserve"> </w:t>
      </w:r>
      <w:r>
        <w:rPr>
          <w:spacing w:val="-3"/>
        </w:rPr>
        <w:t>23</w:t>
      </w:r>
      <w:r>
        <w:rPr>
          <w:spacing w:val="-3"/>
        </w:rPr>
        <w:t xml:space="preserve"> </w:t>
      </w:r>
      <w:r>
        <w:rPr>
          <w:spacing w:val="-3"/>
        </w:rPr>
        <w:t>日中央财经委员会第四次会议召开，研究大规模设备更新</w:t>
      </w:r>
      <w:r>
        <w:t xml:space="preserve"> </w:t>
      </w:r>
      <w:r>
        <w:rPr>
          <w:spacing w:val="1"/>
        </w:rPr>
        <w:t>和消费品以旧换新问题，研究有效降低全社会物流成本问题。习近平在会</w:t>
      </w:r>
      <w:r>
        <w:rPr>
          <w:spacing w:val="5"/>
        </w:rPr>
        <w:t xml:space="preserve"> </w:t>
      </w:r>
      <w:r>
        <w:rPr>
          <w:spacing w:val="1"/>
        </w:rPr>
        <w:t>上发表重要讲话强调，加快产品更新换代是推动高质量发展的重要举措，</w:t>
      </w:r>
      <w:r>
        <w:rPr>
          <w:spacing w:val="2"/>
        </w:rPr>
        <w:t xml:space="preserve"> </w:t>
      </w:r>
      <w:r>
        <w:rPr>
          <w:spacing w:val="1"/>
        </w:rPr>
        <w:t>要鼓励引导新一轮大规模设备更新和消费品以旧换新。必须有效降低全社</w:t>
      </w:r>
      <w:r>
        <w:rPr>
          <w:spacing w:val="5"/>
        </w:rPr>
        <w:t xml:space="preserve"> </w:t>
      </w:r>
      <w:r>
        <w:rPr>
          <w:spacing w:val="-3"/>
        </w:rPr>
        <w:t>会物流成本，增强产业核心竞争力，</w:t>
      </w:r>
      <w:r>
        <w:rPr>
          <w:spacing w:val="-28"/>
        </w:rPr>
        <w:t xml:space="preserve"> </w:t>
      </w:r>
      <w:r>
        <w:rPr>
          <w:spacing w:val="-3"/>
        </w:rPr>
        <w:t>提高经济运行效率。</w:t>
      </w:r>
    </w:p>
    <w:p>
      <w:pPr>
        <w:pStyle w:val="BodyText"/>
        <w:spacing w:before="57" w:line="217" w:lineRule="auto"/>
        <w:ind w:left="1090"/>
      </w:pPr>
      <w:r>
        <w:rPr>
          <w:rFonts w:ascii="Wingdings" w:eastAsia="Wingdings" w:hAnsi="Wingdings" w:cs="Wingdings"/>
          <w:spacing w:val="-4"/>
        </w:rPr>
        <w:t>&gt;</w:t>
      </w:r>
      <w:r>
        <w:rPr>
          <w:rFonts w:ascii="Wingdings" w:eastAsia="Wingdings" w:hAnsi="Wingdings" w:cs="Wingdings"/>
          <w:spacing w:val="76"/>
        </w:rP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汽车行业重点受益以旧换新政策</w:t>
      </w:r>
    </w:p>
    <w:p>
      <w:pPr>
        <w:pStyle w:val="BodyText"/>
        <w:spacing w:before="56" w:line="255" w:lineRule="auto"/>
        <w:ind w:left="1078" w:right="211" w:hanging="3"/>
      </w:pPr>
      <w:r>
        <w:rPr>
          <w:spacing w:val="-3"/>
        </w:rPr>
        <w:t>历史上国家多次出台相关政策拉动汽车消费，</w:t>
      </w:r>
      <w:r>
        <w:rPr>
          <w:spacing w:val="-18"/>
        </w:rPr>
        <w:t xml:space="preserve"> </w:t>
      </w:r>
      <w:r>
        <w:rPr>
          <w:spacing w:val="-3"/>
        </w:rPr>
        <w:t>如</w:t>
      </w:r>
      <w:r>
        <w:rPr>
          <w:spacing w:val="-26"/>
        </w:rPr>
        <w:t xml:space="preserve"> </w:t>
      </w:r>
      <w:r>
        <w:rPr>
          <w:spacing w:val="-3"/>
        </w:rPr>
        <w:t>2009-2010</w:t>
      </w:r>
      <w:r>
        <w:rPr>
          <w:spacing w:val="-24"/>
        </w:rPr>
        <w:t xml:space="preserve"> </w:t>
      </w:r>
      <w:r>
        <w:rPr>
          <w:spacing w:val="-3"/>
        </w:rPr>
        <w:t>年，刺激汽车</w:t>
      </w:r>
      <w:r>
        <w:rPr>
          <w:spacing w:val="-3"/>
        </w:rPr>
        <w:t xml:space="preserve"> </w:t>
      </w:r>
      <w:r>
        <w:rPr>
          <w:spacing w:val="-5"/>
        </w:rPr>
        <w:t>消费推出以旧换新政策；2013-2017</w:t>
      </w:r>
      <w:r>
        <w:rPr>
          <w:spacing w:val="-45"/>
        </w:rPr>
        <w:t xml:space="preserve"> </w:t>
      </w:r>
      <w:r>
        <w:rPr>
          <w:spacing w:val="-5"/>
        </w:rPr>
        <w:t>年，</w:t>
      </w:r>
      <w:r>
        <w:rPr>
          <w:spacing w:val="-40"/>
        </w:rPr>
        <w:t xml:space="preserve"> </w:t>
      </w:r>
      <w:r>
        <w:rPr>
          <w:spacing w:val="-5"/>
        </w:rPr>
        <w:t>国务院印</w:t>
      </w:r>
      <w:r>
        <w:rPr>
          <w:spacing w:val="-6"/>
        </w:rPr>
        <w:t>发《大气污染防治行动计</w:t>
      </w:r>
      <w:r>
        <w:rPr>
          <w:spacing w:val="-6"/>
        </w:rPr>
        <w:t xml:space="preserve"> </w:t>
      </w:r>
      <w:r>
        <w:rPr>
          <w:spacing w:val="-5"/>
        </w:rPr>
        <w:t>划》，其中对机动车要求加快淘汰黄标车和老旧车</w:t>
      </w:r>
      <w:r>
        <w:rPr>
          <w:spacing w:val="-6"/>
        </w:rPr>
        <w:t>辆，各地方政府也配套推</w:t>
      </w:r>
      <w:r>
        <w:rPr>
          <w:spacing w:val="-6"/>
        </w:rPr>
        <w:t xml:space="preserve"> </w:t>
      </w:r>
      <w:r>
        <w:rPr>
          <w:spacing w:val="-1"/>
        </w:rPr>
        <w:t>出相应政策；2019</w:t>
      </w:r>
      <w:r>
        <w:rPr>
          <w:spacing w:val="-42"/>
        </w:rPr>
        <w:t xml:space="preserve"> </w:t>
      </w:r>
      <w:r>
        <w:rPr>
          <w:spacing w:val="-1"/>
        </w:rPr>
        <w:t>年，发改委印发《进一步优化供给推动消费平稳增长促</w:t>
      </w:r>
      <w:r>
        <w:rPr>
          <w:spacing w:val="-1"/>
        </w:rPr>
        <w:t xml:space="preserve"> </w:t>
      </w:r>
      <w:r>
        <w:rPr>
          <w:spacing w:val="-10"/>
        </w:rPr>
        <w:t>进形成强大国内市场的实施方案（2019</w:t>
      </w:r>
      <w:r>
        <w:rPr>
          <w:spacing w:val="-43"/>
        </w:rPr>
        <w:t xml:space="preserve"> </w:t>
      </w:r>
      <w:r>
        <w:rPr>
          <w:spacing w:val="-10"/>
        </w:rPr>
        <w:t>年）》，提出多措</w:t>
      </w:r>
      <w:r>
        <w:rPr>
          <w:spacing w:val="-11"/>
        </w:rPr>
        <w:t>并举促进汽车消费。</w:t>
      </w:r>
      <w:r>
        <w:t xml:space="preserve"> </w:t>
      </w:r>
      <w:r>
        <w:t>本次会议鼓励消费品以旧换新，汽车行业重点受益。</w:t>
      </w:r>
    </w:p>
    <w:p>
      <w:pPr>
        <w:pStyle w:val="BodyText"/>
        <w:spacing w:before="58" w:line="217" w:lineRule="auto"/>
        <w:ind w:left="1090"/>
      </w:pPr>
      <w:r>
        <w:rPr>
          <w:rFonts w:ascii="Wingdings" w:eastAsia="Wingdings" w:hAnsi="Wingdings" w:cs="Wingdings"/>
          <w:spacing w:val="-4"/>
        </w:rPr>
        <w:t>&gt;</w:t>
      </w:r>
      <w:r>
        <w:rPr>
          <w:rFonts w:ascii="Wingdings" w:eastAsia="Wingdings" w:hAnsi="Wingdings" w:cs="Wingdings"/>
          <w:spacing w:val="87"/>
        </w:rP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以旧换新政策有望全面提升汽车消费</w:t>
      </w:r>
    </w:p>
    <w:p>
      <w:pPr>
        <w:pStyle w:val="BodyText"/>
        <w:spacing w:before="55" w:line="255" w:lineRule="auto"/>
        <w:ind w:left="1077" w:right="288" w:firstLine="2"/>
      </w:pPr>
      <w:r>
        <w:rPr>
          <w:spacing w:val="-4"/>
        </w:rPr>
        <w:t>2024</w:t>
      </w:r>
      <w:r>
        <w:rPr>
          <w:spacing w:val="-31"/>
        </w:rPr>
        <w:t xml:space="preserve"> </w:t>
      </w:r>
      <w:r>
        <w:rPr>
          <w:spacing w:val="-4"/>
        </w:rPr>
        <w:t>年</w:t>
      </w:r>
      <w:r>
        <w:rPr>
          <w:spacing w:val="-21"/>
        </w:rPr>
        <w:t xml:space="preserve"> </w:t>
      </w:r>
      <w:r>
        <w:rPr>
          <w:spacing w:val="-4"/>
        </w:rPr>
        <w:t>1</w:t>
      </w:r>
      <w:r>
        <w:rPr>
          <w:spacing w:val="-22"/>
        </w:rPr>
        <w:t xml:space="preserve"> </w:t>
      </w:r>
      <w:r>
        <w:rPr>
          <w:spacing w:val="-4"/>
        </w:rPr>
        <w:t>月乘用车销量</w:t>
      </w:r>
      <w:r>
        <w:rPr>
          <w:spacing w:val="-34"/>
        </w:rPr>
        <w:t xml:space="preserve"> </w:t>
      </w:r>
      <w:r>
        <w:rPr>
          <w:spacing w:val="-4"/>
        </w:rPr>
        <w:t>211.5</w:t>
      </w:r>
      <w:r>
        <w:rPr>
          <w:spacing w:val="-24"/>
        </w:rPr>
        <w:t xml:space="preserve"> </w:t>
      </w:r>
      <w:r>
        <w:rPr>
          <w:spacing w:val="-4"/>
        </w:rPr>
        <w:t>万辆，</w:t>
      </w:r>
      <w:r>
        <w:rPr>
          <w:spacing w:val="-4"/>
        </w:rPr>
        <w:t xml:space="preserve"> </w:t>
      </w:r>
      <w:r>
        <w:rPr>
          <w:spacing w:val="-4"/>
        </w:rPr>
        <w:t>同比增长</w:t>
      </w:r>
      <w:r>
        <w:rPr>
          <w:spacing w:val="-38"/>
        </w:rPr>
        <w:t xml:space="preserve"> </w:t>
      </w:r>
      <w:r>
        <w:rPr>
          <w:spacing w:val="-5"/>
        </w:rPr>
        <w:t>44.0%，环比下滑</w:t>
      </w:r>
      <w:r>
        <w:rPr>
          <w:spacing w:val="-36"/>
        </w:rPr>
        <w:t xml:space="preserve"> </w:t>
      </w:r>
      <w:r>
        <w:rPr>
          <w:spacing w:val="-5"/>
        </w:rPr>
        <w:t>24.2%，</w:t>
      </w:r>
      <w:r>
        <w:t xml:space="preserve"> </w:t>
      </w:r>
      <w:r>
        <w:rPr>
          <w:spacing w:val="-4"/>
        </w:rPr>
        <w:t>实现开门红，主要系去年同期低基数以及节前消费需求提升</w:t>
      </w:r>
      <w:r>
        <w:rPr>
          <w:spacing w:val="-5"/>
        </w:rPr>
        <w:t>所致。</w:t>
      </w:r>
      <w:r>
        <w:rPr>
          <w:spacing w:val="65"/>
        </w:rPr>
        <w:t xml:space="preserve"> </w:t>
      </w:r>
      <w:r>
        <w:rPr>
          <w:spacing w:val="-5"/>
        </w:rPr>
        <w:t>以旧换</w:t>
      </w:r>
      <w:r>
        <w:t xml:space="preserve"> </w:t>
      </w:r>
      <w:r>
        <w:rPr>
          <w:spacing w:val="-4"/>
        </w:rPr>
        <w:t>新政策出台后，</w:t>
      </w:r>
      <w:r>
        <w:rPr>
          <w:spacing w:val="58"/>
        </w:rPr>
        <w:t xml:space="preserve"> </w:t>
      </w:r>
      <w:r>
        <w:rPr>
          <w:spacing w:val="-4"/>
        </w:rPr>
        <w:t>上海已推出地方性政策支持汽车消费，其他省市有望陆续</w:t>
      </w:r>
      <w:r>
        <w:t xml:space="preserve"> </w:t>
      </w:r>
      <w:r>
        <w:rPr>
          <w:spacing w:val="-2"/>
        </w:rPr>
        <w:t>跟进，</w:t>
      </w:r>
      <w:r>
        <w:rPr>
          <w:spacing w:val="-2"/>
        </w:rPr>
        <w:t xml:space="preserve"> </w:t>
      </w:r>
      <w:r>
        <w:rPr>
          <w:spacing w:val="-2"/>
        </w:rPr>
        <w:t>从而拉动全年汽车内需。政策有望提升汽车行业整体报废率</w:t>
      </w:r>
      <w:r>
        <w:rPr>
          <w:spacing w:val="-3"/>
        </w:rPr>
        <w:t>，经我</w:t>
      </w:r>
      <w:r>
        <w:t xml:space="preserve"> </w:t>
      </w:r>
      <w:r>
        <w:rPr>
          <w:spacing w:val="-4"/>
        </w:rPr>
        <w:t>们测算</w:t>
      </w:r>
      <w:r>
        <w:rPr>
          <w:spacing w:val="-33"/>
        </w:rPr>
        <w:t xml:space="preserve"> </w:t>
      </w:r>
      <w:r>
        <w:rPr>
          <w:spacing w:val="-4"/>
        </w:rPr>
        <w:t>10</w:t>
      </w:r>
      <w:r>
        <w:rPr>
          <w:spacing w:val="-45"/>
        </w:rPr>
        <w:t xml:space="preserve"> </w:t>
      </w:r>
      <w:r>
        <w:rPr>
          <w:spacing w:val="-4"/>
        </w:rPr>
        <w:t>年及以上国四车保有量</w:t>
      </w:r>
      <w:r>
        <w:rPr>
          <w:spacing w:val="-45"/>
        </w:rPr>
        <w:t xml:space="preserve"> </w:t>
      </w:r>
      <w:r>
        <w:rPr>
          <w:spacing w:val="-4"/>
        </w:rPr>
        <w:t>6250</w:t>
      </w:r>
      <w:r>
        <w:rPr>
          <w:spacing w:val="-36"/>
        </w:rPr>
        <w:t xml:space="preserve"> </w:t>
      </w:r>
      <w:r>
        <w:rPr>
          <w:spacing w:val="-5"/>
        </w:rPr>
        <w:t>万辆，</w:t>
      </w:r>
      <w:r>
        <w:rPr>
          <w:spacing w:val="-25"/>
        </w:rPr>
        <w:t xml:space="preserve"> </w:t>
      </w:r>
      <w:r>
        <w:rPr>
          <w:spacing w:val="-5"/>
        </w:rPr>
        <w:t>10</w:t>
      </w:r>
      <w:r>
        <w:rPr>
          <w:spacing w:val="-44"/>
        </w:rPr>
        <w:t xml:space="preserve"> </w:t>
      </w:r>
      <w:r>
        <w:rPr>
          <w:spacing w:val="-5"/>
        </w:rPr>
        <w:t>年以上国三及以下车保有</w:t>
      </w:r>
      <w:r>
        <w:t xml:space="preserve"> </w:t>
      </w:r>
      <w:r>
        <w:rPr>
          <w:spacing w:val="-3"/>
        </w:rPr>
        <w:t>量</w:t>
      </w:r>
      <w:r>
        <w:rPr>
          <w:spacing w:val="-24"/>
        </w:rPr>
        <w:t xml:space="preserve"> </w:t>
      </w:r>
      <w:r>
        <w:rPr>
          <w:spacing w:val="-3"/>
        </w:rPr>
        <w:t>1243</w:t>
      </w:r>
      <w:r>
        <w:rPr>
          <w:spacing w:val="-37"/>
        </w:rPr>
        <w:t xml:space="preserve"> </w:t>
      </w:r>
      <w:r>
        <w:rPr>
          <w:spacing w:val="-3"/>
        </w:rPr>
        <w:t>万辆，我们预计可拉动</w:t>
      </w:r>
      <w:r>
        <w:rPr>
          <w:spacing w:val="-45"/>
        </w:rPr>
        <w:t xml:space="preserve"> </w:t>
      </w:r>
      <w:r>
        <w:rPr>
          <w:spacing w:val="-3"/>
        </w:rPr>
        <w:t>2024</w:t>
      </w:r>
      <w:r>
        <w:rPr>
          <w:spacing w:val="-46"/>
        </w:rPr>
        <w:t xml:space="preserve"> </w:t>
      </w:r>
      <w:r>
        <w:rPr>
          <w:spacing w:val="-3"/>
        </w:rPr>
        <w:t>年</w:t>
      </w:r>
      <w:r>
        <w:rPr>
          <w:spacing w:val="-45"/>
        </w:rPr>
        <w:t xml:space="preserve"> </w:t>
      </w:r>
      <w:r>
        <w:rPr>
          <w:spacing w:val="-3"/>
        </w:rPr>
        <w:t>68.6</w:t>
      </w:r>
      <w:r>
        <w:rPr>
          <w:spacing w:val="-36"/>
        </w:rPr>
        <w:t xml:space="preserve"> </w:t>
      </w:r>
      <w:r>
        <w:rPr>
          <w:spacing w:val="-3"/>
        </w:rPr>
        <w:t>万辆的更换需求。</w:t>
      </w:r>
    </w:p>
    <w:p>
      <w:pPr>
        <w:pStyle w:val="BodyText"/>
        <w:spacing w:before="58" w:line="213" w:lineRule="auto"/>
        <w:ind w:left="1090"/>
      </w:pPr>
      <w:r>
        <w:rPr>
          <w:rFonts w:ascii="Wingdings" w:eastAsia="Wingdings" w:hAnsi="Wingdings" w:cs="Wingdings"/>
          <w:spacing w:val="-10"/>
        </w:rPr>
        <w:t>&gt;</w:t>
      </w:r>
      <w:r>
        <w:rPr>
          <w:rFonts w:ascii="Wingdings" w:eastAsia="Wingdings" w:hAnsi="Wingdings" w:cs="Wingdings"/>
          <w:spacing w:val="64"/>
        </w:rPr>
        <w:t xml:space="preserve"> </w:t>
      </w:r>
      <w:r>
        <w:rPr>
          <w:spacing w:val="-10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提前淘汰国Ⅳ车辆，</w:t>
      </w:r>
      <w:r>
        <w:rPr>
          <w:spacing w:val="53"/>
        </w:rPr>
        <w:t xml:space="preserve"> </w:t>
      </w:r>
      <w:r>
        <w:rPr>
          <w:spacing w:val="-10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有望带动重卡内需增长</w:t>
      </w:r>
    </w:p>
    <w:p>
      <w:pPr>
        <w:pStyle w:val="BodyText"/>
        <w:spacing w:before="60" w:line="255" w:lineRule="auto"/>
        <w:ind w:left="1083" w:right="286" w:hanging="4"/>
      </w:pPr>
      <w:r>
        <w:rPr>
          <w:spacing w:val="-4"/>
        </w:rPr>
        <w:t>2022</w:t>
      </w:r>
      <w:r>
        <w:rPr>
          <w:spacing w:val="-46"/>
        </w:rPr>
        <w:t xml:space="preserve"> </w:t>
      </w:r>
      <w:r>
        <w:rPr>
          <w:spacing w:val="-4"/>
        </w:rPr>
        <w:t>年</w:t>
      </w:r>
      <w:r>
        <w:rPr>
          <w:spacing w:val="-33"/>
        </w:rPr>
        <w:t xml:space="preserve"> </w:t>
      </w:r>
      <w:r>
        <w:rPr>
          <w:spacing w:val="-4"/>
        </w:rPr>
        <w:t>11</w:t>
      </w:r>
      <w:r>
        <w:rPr>
          <w:spacing w:val="-37"/>
        </w:rPr>
        <w:t xml:space="preserve"> </w:t>
      </w:r>
      <w:r>
        <w:rPr>
          <w:spacing w:val="-4"/>
        </w:rPr>
        <w:t>月，</w:t>
      </w:r>
      <w:r>
        <w:rPr>
          <w:spacing w:val="-35"/>
        </w:rPr>
        <w:t xml:space="preserve"> </w:t>
      </w:r>
      <w:r>
        <w:rPr>
          <w:spacing w:val="-4"/>
        </w:rPr>
        <w:t>污染治理攻坚行动方案提出到</w:t>
      </w:r>
      <w:r>
        <w:rPr>
          <w:spacing w:val="-45"/>
        </w:rPr>
        <w:t xml:space="preserve"> </w:t>
      </w:r>
      <w:r>
        <w:rPr>
          <w:spacing w:val="-4"/>
        </w:rPr>
        <w:t>2025</w:t>
      </w:r>
      <w:r>
        <w:rPr>
          <w:spacing w:val="-46"/>
        </w:rPr>
        <w:t xml:space="preserve"> </w:t>
      </w:r>
      <w:r>
        <w:rPr>
          <w:spacing w:val="-4"/>
        </w:rPr>
        <w:t>年新能源和国六排放标</w:t>
      </w:r>
      <w:r>
        <w:t xml:space="preserve"> </w:t>
      </w:r>
      <w:r>
        <w:rPr>
          <w:spacing w:val="-3"/>
        </w:rPr>
        <w:t>准货车保有量占比力争超过</w:t>
      </w:r>
      <w:r>
        <w:rPr>
          <w:spacing w:val="-24"/>
        </w:rPr>
        <w:t xml:space="preserve"> </w:t>
      </w:r>
      <w:r>
        <w:rPr>
          <w:spacing w:val="-3"/>
        </w:rPr>
        <w:t>40%。2023</w:t>
      </w:r>
      <w:r>
        <w:rPr>
          <w:spacing w:val="-26"/>
        </w:rPr>
        <w:t xml:space="preserve"> </w:t>
      </w:r>
      <w:r>
        <w:rPr>
          <w:spacing w:val="-3"/>
        </w:rPr>
        <w:t>年开始，</w:t>
      </w:r>
      <w:r>
        <w:rPr>
          <w:spacing w:val="-24"/>
        </w:rPr>
        <w:t xml:space="preserve"> </w:t>
      </w:r>
      <w:r>
        <w:rPr>
          <w:spacing w:val="-3"/>
        </w:rPr>
        <w:t>部分地区如北京、浙江、</w:t>
      </w:r>
      <w:r>
        <w:t xml:space="preserve"> </w:t>
      </w:r>
      <w:r>
        <w:rPr>
          <w:spacing w:val="-3"/>
        </w:rPr>
        <w:t>山东等地加快推进国Ⅳ排放标准营运柴油货车淘汰。截至</w:t>
      </w:r>
      <w:r>
        <w:rPr>
          <w:spacing w:val="-32"/>
        </w:rPr>
        <w:t xml:space="preserve"> </w:t>
      </w:r>
      <w:r>
        <w:rPr>
          <w:spacing w:val="-3"/>
        </w:rPr>
        <w:t>2022</w:t>
      </w:r>
      <w:r>
        <w:rPr>
          <w:spacing w:val="-43"/>
        </w:rPr>
        <w:t xml:space="preserve"> </w:t>
      </w:r>
      <w:r>
        <w:rPr>
          <w:spacing w:val="-3"/>
        </w:rPr>
        <w:t>年年底，全</w:t>
      </w:r>
      <w:r>
        <w:t xml:space="preserve"> </w:t>
      </w:r>
      <w:r>
        <w:rPr>
          <w:spacing w:val="-3"/>
        </w:rPr>
        <w:t>国重卡保有量为</w:t>
      </w:r>
      <w:r>
        <w:rPr>
          <w:spacing w:val="-47"/>
        </w:rPr>
        <w:t xml:space="preserve"> </w:t>
      </w:r>
      <w:r>
        <w:rPr>
          <w:spacing w:val="-3"/>
        </w:rPr>
        <w:t>894</w:t>
      </w:r>
      <w:r>
        <w:rPr>
          <w:spacing w:val="-39"/>
        </w:rPr>
        <w:t xml:space="preserve"> </w:t>
      </w:r>
      <w:r>
        <w:rPr>
          <w:spacing w:val="-3"/>
        </w:rPr>
        <w:t>万辆，扣除</w:t>
      </w:r>
      <w:r>
        <w:rPr>
          <w:spacing w:val="-46"/>
        </w:rPr>
        <w:t xml:space="preserve"> </w:t>
      </w:r>
      <w:r>
        <w:rPr>
          <w:spacing w:val="-3"/>
        </w:rPr>
        <w:t>2017</w:t>
      </w:r>
      <w:r>
        <w:rPr>
          <w:spacing w:val="-46"/>
        </w:rPr>
        <w:t xml:space="preserve"> </w:t>
      </w:r>
      <w:r>
        <w:rPr>
          <w:spacing w:val="-3"/>
        </w:rPr>
        <w:t>年以来国五、国六和新能源销量，则</w:t>
      </w:r>
      <w:r>
        <w:t xml:space="preserve"> </w:t>
      </w:r>
      <w:r>
        <w:rPr>
          <w:spacing w:val="-1"/>
        </w:rPr>
        <w:t>剩余</w:t>
      </w:r>
      <w:r>
        <w:rPr>
          <w:spacing w:val="-22"/>
        </w:rPr>
        <w:t xml:space="preserve"> </w:t>
      </w:r>
      <w:r>
        <w:rPr>
          <w:spacing w:val="-1"/>
        </w:rPr>
        <w:t>222</w:t>
      </w:r>
      <w:r>
        <w:rPr>
          <w:spacing w:val="-20"/>
        </w:rPr>
        <w:t xml:space="preserve"> </w:t>
      </w:r>
      <w:r>
        <w:rPr>
          <w:spacing w:val="-1"/>
        </w:rPr>
        <w:t>万为国Ⅳ及以下待淘汰车辆。如果国Ⅳ车辆有序淘汰，有望带动</w:t>
      </w:r>
      <w:r>
        <w:t xml:space="preserve"> </w:t>
      </w:r>
      <w:r>
        <w:rPr>
          <w:spacing w:val="-5"/>
        </w:rPr>
        <w:t>重卡内需增长，</w:t>
      </w:r>
      <w:r>
        <w:rPr>
          <w:spacing w:val="-5"/>
        </w:rPr>
        <w:t xml:space="preserve"> </w:t>
      </w:r>
      <w:r>
        <w:rPr>
          <w:spacing w:val="-5"/>
        </w:rPr>
        <w:t>预计</w:t>
      </w:r>
      <w:r>
        <w:rPr>
          <w:spacing w:val="-46"/>
        </w:rPr>
        <w:t xml:space="preserve"> </w:t>
      </w:r>
      <w:r>
        <w:rPr>
          <w:spacing w:val="-5"/>
        </w:rPr>
        <w:t>2024</w:t>
      </w:r>
      <w:r>
        <w:rPr>
          <w:spacing w:val="-46"/>
        </w:rPr>
        <w:t xml:space="preserve"> </w:t>
      </w:r>
      <w:r>
        <w:rPr>
          <w:spacing w:val="-5"/>
        </w:rPr>
        <w:t>年全年销量</w:t>
      </w:r>
      <w:r>
        <w:rPr>
          <w:spacing w:val="-33"/>
        </w:rPr>
        <w:t xml:space="preserve"> </w:t>
      </w:r>
      <w:r>
        <w:rPr>
          <w:spacing w:val="-5"/>
        </w:rPr>
        <w:t>110</w:t>
      </w:r>
      <w:r>
        <w:rPr>
          <w:spacing w:val="-39"/>
        </w:rPr>
        <w:t xml:space="preserve"> </w:t>
      </w:r>
      <w:r>
        <w:rPr>
          <w:spacing w:val="-5"/>
        </w:rPr>
        <w:t>万辆，同比增长</w:t>
      </w:r>
      <w:r>
        <w:rPr>
          <w:spacing w:val="-45"/>
        </w:rPr>
        <w:t xml:space="preserve"> </w:t>
      </w:r>
      <w:r>
        <w:rPr>
          <w:spacing w:val="-5"/>
        </w:rPr>
        <w:t>21%。</w:t>
      </w:r>
    </w:p>
    <w:p>
      <w:pPr>
        <w:pStyle w:val="BodyText"/>
        <w:spacing w:before="57" w:line="219" w:lineRule="auto"/>
        <w:ind w:left="1090"/>
      </w:pPr>
      <w:r>
        <w:rPr>
          <w:rFonts w:ascii="Wingdings" w:eastAsia="Wingdings" w:hAnsi="Wingdings" w:cs="Wingdings"/>
          <w:spacing w:val="-8"/>
        </w:rPr>
        <w:t>&gt;</w:t>
      </w:r>
      <w:r>
        <w:rPr>
          <w:rFonts w:ascii="Wingdings" w:eastAsia="Wingdings" w:hAnsi="Wingdings" w:cs="Wingdings"/>
          <w:spacing w:val="52"/>
        </w:rPr>
        <w:t xml:space="preserve"> 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投资建议</w:t>
      </w:r>
    </w:p>
    <w:p>
      <w:pPr>
        <w:pStyle w:val="BodyText"/>
        <w:spacing w:before="55" w:line="256" w:lineRule="auto"/>
        <w:ind w:left="1077" w:right="211" w:firstLine="14"/>
      </w:pPr>
      <w:r>
        <w:rPr>
          <w:spacing w:val="-3"/>
        </w:rPr>
        <w:t>1）乘用车：以旧换新政策政策有望助推头部车企销量向上，重点受益企业</w:t>
      </w:r>
      <w:r>
        <w:rPr>
          <w:spacing w:val="-3"/>
        </w:rPr>
        <w:t xml:space="preserve"> </w:t>
      </w:r>
      <w:r>
        <w:rPr>
          <w:spacing w:val="-2"/>
        </w:rPr>
        <w:t>如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长安汽车、比亚迪、长城汽车，</w:t>
      </w:r>
      <w:r>
        <w:rPr>
          <w:spacing w:val="-2"/>
        </w:rPr>
        <w:t>技术领先+销量兑现的车</w:t>
      </w:r>
      <w:r>
        <w:rPr>
          <w:spacing w:val="-3"/>
        </w:rPr>
        <w:t>企如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赛力斯、理</w:t>
      </w:r>
      <w:r>
        <w:rPr>
          <w:spacing w:val="-3"/>
        </w:rP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想汽车、小鹏汽车</w:t>
      </w:r>
      <w:r>
        <w:rPr>
          <w:spacing w:val="-2"/>
        </w:rPr>
        <w:t>。2）汽车零部件：优质创新型汽零公司</w:t>
      </w:r>
      <w:r>
        <w:rPr>
          <w:spacing w:val="-3"/>
        </w:rPr>
        <w:t>如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电连技术、星</w:t>
      </w:r>
      <w:r>
        <w:rPr>
          <w:spacing w:val="-3"/>
        </w:rP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宇股份、伯特利、拓普集团、新泉股份、银轮股份、凌云股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份</w:t>
      </w:r>
      <w:r>
        <w:rPr>
          <w:spacing w:val="-3"/>
        </w:rPr>
        <w:t>等。3）商用</w:t>
      </w:r>
      <w:r>
        <w:rPr>
          <w:spacing w:val="-3"/>
        </w:rPr>
        <w:t xml:space="preserve"> </w:t>
      </w:r>
      <w:r>
        <w:rPr>
          <w:spacing w:val="-6"/>
        </w:rPr>
        <w:t>车：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潍柴动力、中国重汽</w:t>
      </w:r>
      <w:r>
        <w:rPr>
          <w:spacing w:val="-6"/>
        </w:rPr>
        <w:t>有望重点受益以旧</w:t>
      </w:r>
      <w:r>
        <w:rPr>
          <w:spacing w:val="-7"/>
        </w:rPr>
        <w:t>换新政策，内需向上+出口增长，</w:t>
      </w:r>
      <w:r>
        <w:t xml:space="preserve"> </w:t>
      </w:r>
      <w:r>
        <w:rPr>
          <w:spacing w:val="-6"/>
        </w:rPr>
        <w:t>估值处于历史低位，</w:t>
      </w:r>
      <w:r>
        <w:rPr>
          <w:spacing w:val="-46"/>
        </w:rPr>
        <w:t xml:space="preserve"> </w:t>
      </w:r>
      <w:r>
        <w:rPr>
          <w:spacing w:val="-6"/>
        </w:rPr>
        <w:t>龙头公司分红比例提升，</w:t>
      </w:r>
      <w:r>
        <w:rPr>
          <w:spacing w:val="-52"/>
        </w:rPr>
        <w:t xml:space="preserve"> </w:t>
      </w:r>
      <w:r>
        <w:rPr>
          <w:spacing w:val="-6"/>
        </w:rPr>
        <w:t>股息率</w:t>
      </w:r>
      <w:r>
        <w:rPr>
          <w:spacing w:val="-7"/>
        </w:rPr>
        <w:t>可观，如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宇通客车</w:t>
      </w:r>
      <w:r>
        <w:rPr>
          <w:spacing w:val="-7"/>
        </w:rPr>
        <w:t>等。</w:t>
      </w:r>
      <w:r>
        <w:t xml:space="preserve"> </w:t>
      </w:r>
      <w:r>
        <w:rPr>
          <w:spacing w:val="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风险提示：</w:t>
      </w:r>
      <w:r>
        <w:rPr>
          <w:spacing w:val="1"/>
        </w:rPr>
        <w:t>政策刺激效果不及预期，宏观经济恢复不及预期，销量</w:t>
      </w:r>
      <w:r>
        <w:t>预测偏</w:t>
      </w:r>
      <w:r>
        <w:t xml:space="preserve"> </w:t>
      </w:r>
      <w:r>
        <w:rPr>
          <w:spacing w:val="-1"/>
        </w:rPr>
        <w:t>差风险。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"/>
        <w:tblW w:w="340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676"/>
        <w:gridCol w:w="1725"/>
      </w:tblGrid>
      <w:tr>
        <w:tblPrEx>
          <w:tblW w:w="340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055"/>
        </w:trPr>
        <w:tc>
          <w:tcPr>
            <w:tcW w:w="1676" w:type="dxa"/>
            <w:vAlign w:val="top"/>
          </w:tcPr>
          <w:p>
            <w:pPr>
              <w:pStyle w:val="TableText"/>
              <w:spacing w:line="312" w:lineRule="exact"/>
              <w:ind w:left="116"/>
            </w:pPr>
            <w:r>
              <w:rPr>
                <w:spacing w:val="-7"/>
                <w:position w:val="10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投资建议：</w:t>
            </w:r>
          </w:p>
          <w:p>
            <w:pPr>
              <w:pStyle w:val="TableText"/>
              <w:spacing w:line="226" w:lineRule="auto"/>
              <w:ind w:left="116"/>
            </w:pPr>
            <w:r>
              <w:rPr>
                <w:spacing w:val="-1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上次建议：</w:t>
            </w:r>
          </w:p>
          <w:p>
            <w:pPr>
              <w:pStyle w:val="TableText"/>
              <w:spacing w:before="294" w:line="191" w:lineRule="auto"/>
              <w:ind w:left="117"/>
              <w:rPr>
                <w:sz w:val="21"/>
                <w:szCs w:val="21"/>
              </w:rPr>
            </w:pPr>
            <w:r>
              <w:rPr>
                <w:color w:val="C00000"/>
                <w:spacing w:val="-1"/>
                <w:sz w:val="21"/>
                <w:szCs w:val="21"/>
                <w14:textOutline w14:w="3831">
                  <w14:solidFill>
                    <w14:srgbClr w14:val="C00000"/>
                  </w14:solidFill>
                  <w14:prstDash w14:val="solid"/>
                  <w14:miter w14:lim="10"/>
                </w14:textOutline>
              </w:rPr>
              <w:t>相对大盘走势</w:t>
            </w:r>
          </w:p>
        </w:tc>
        <w:tc>
          <w:tcPr>
            <w:tcW w:w="1725" w:type="dxa"/>
            <w:vAlign w:val="top"/>
          </w:tcPr>
          <w:p>
            <w:pPr>
              <w:pStyle w:val="TableText"/>
              <w:spacing w:before="1" w:line="269" w:lineRule="auto"/>
              <w:ind w:left="911" w:right="17" w:hanging="611"/>
            </w:pPr>
            <w:r>
              <w:rPr>
                <w:spacing w:val="-5"/>
              </w:rPr>
              <w:t>强于大市（维持）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强于大市</w:t>
            </w:r>
          </w:p>
        </w:tc>
      </w:tr>
      <w:tr>
        <w:tblPrEx>
          <w:tblW w:w="3401" w:type="dxa"/>
          <w:tblInd w:w="0" w:type="dxa"/>
          <w:tblLayout w:type="fixed"/>
        </w:tblPrEx>
        <w:trPr>
          <w:trHeight w:val="2261"/>
        </w:trPr>
        <w:tc>
          <w:tcPr>
            <w:tcW w:w="3401" w:type="dxa"/>
            <w:gridSpan w:val="2"/>
            <w:vAlign w:val="top"/>
          </w:tcPr>
          <w:p>
            <w:pPr>
              <w:spacing w:line="66" w:lineRule="exact"/>
            </w:pPr>
            <w:r>
              <w:pict>
                <v:rect id="_x0000_s1027" style="width:170.1pt;height:0.5pt;margin-top:0.84pt;margin-left:-170.05pt;mso-position-horizontal-relative:right-margin-area;mso-position-vertical-relative:top-margin-area;position:absolute;z-index:251662336" filled="t" fillcolor="#c00000" stroked="f"/>
              </w:pict>
            </w:r>
          </w:p>
          <w:tbl>
            <w:tblPr>
              <w:tblStyle w:val="TableNormal"/>
              <w:tblW w:w="3344" w:type="dxa"/>
              <w:tblInd w:w="26" w:type="dxa"/>
              <w:tblBorders>
                <w:top w:val="single" w:sz="2" w:space="0" w:color="D9D9D9"/>
                <w:left w:val="single" w:sz="6" w:space="0" w:color="D9D9D9"/>
                <w:bottom w:val="single" w:sz="2" w:space="0" w:color="D9D9D9"/>
                <w:right w:val="single" w:sz="6" w:space="0" w:color="D9D9D9"/>
              </w:tblBorders>
              <w:tblLayout w:type="fixed"/>
            </w:tblPr>
            <w:tblGrid>
              <w:gridCol w:w="3344"/>
            </w:tblGrid>
            <w:tr>
              <w:tblPrEx>
                <w:tblW w:w="3344" w:type="dxa"/>
                <w:tblInd w:w="26" w:type="dxa"/>
                <w:tblBorders>
                  <w:top w:val="single" w:sz="2" w:space="0" w:color="D9D9D9"/>
                  <w:left w:val="single" w:sz="6" w:space="0" w:color="D9D9D9"/>
                  <w:bottom w:val="single" w:sz="2" w:space="0" w:color="D9D9D9"/>
                  <w:right w:val="single" w:sz="6" w:space="0" w:color="D9D9D9"/>
                </w:tblBorders>
                <w:tblLayout w:type="fixed"/>
              </w:tblPrEx>
              <w:trPr>
                <w:trHeight w:val="2030"/>
              </w:trPr>
              <w:tc>
                <w:tcPr>
                  <w:tcW w:w="3344" w:type="dxa"/>
                  <w:vAlign w:val="top"/>
                </w:tcPr>
                <w:p>
                  <w:pPr>
                    <w:pStyle w:val="TableText"/>
                    <w:spacing w:before="54" w:line="220" w:lineRule="auto"/>
                    <w:ind w:left="687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drawing>
                      <wp:anchor distT="0" distB="0" distL="0" distR="0" simplePos="0" relativeHeight="251661312" behindDoc="0" locked="0" layoutInCell="1" allowOverlap="1">
                        <wp:simplePos x="0" y="0"/>
                        <wp:positionH relativeFrom="rightMargin">
                          <wp:posOffset>-1845627</wp:posOffset>
                        </wp:positionH>
                        <wp:positionV relativeFrom="topMargin">
                          <wp:posOffset>193039</wp:posOffset>
                        </wp:positionV>
                        <wp:extent cx="1628140" cy="949833"/>
                        <wp:effectExtent l="0" t="0" r="0" b="0"/>
                        <wp:wrapNone/>
                        <wp:docPr id="8" name="IM 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28140" cy="94983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color w:val="595959"/>
                      <w:position w:val="4"/>
                      <w:sz w:val="16"/>
                      <w:szCs w:val="16"/>
                    </w:rPr>
                    <w:drawing>
                      <wp:inline distT="0" distB="0" distL="0" distR="0">
                        <wp:extent cx="256539" cy="12700"/>
                        <wp:effectExtent l="0" t="0" r="0" b="0"/>
                        <wp:docPr id="10" name="IM 1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IM 10"/>
                                <pic:cNvPicPr/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6539" cy="127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595959"/>
                      <w:spacing w:val="-30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595959"/>
                      <w:spacing w:val="-4"/>
                      <w:sz w:val="16"/>
                      <w:szCs w:val="16"/>
                    </w:rPr>
                    <w:t>汽车</w:t>
                  </w:r>
                  <w:r>
                    <w:rPr>
                      <w:color w:val="595959"/>
                      <w:spacing w:val="17"/>
                      <w:sz w:val="16"/>
                      <w:szCs w:val="16"/>
                    </w:rPr>
                    <w:t xml:space="preserve">   </w:t>
                  </w:r>
                  <w:r>
                    <w:rPr>
                      <w:position w:val="4"/>
                      <w:sz w:val="16"/>
                      <w:szCs w:val="16"/>
                    </w:rPr>
                    <w:drawing>
                      <wp:inline distT="0" distB="0" distL="0" distR="0">
                        <wp:extent cx="256540" cy="12700"/>
                        <wp:effectExtent l="0" t="0" r="0" b="0"/>
                        <wp:docPr id="12" name="IM 1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6540" cy="127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595959"/>
                      <w:spacing w:val="-27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595959"/>
                      <w:spacing w:val="-4"/>
                      <w:sz w:val="16"/>
                      <w:szCs w:val="16"/>
                    </w:rPr>
                    <w:t>沪深</w:t>
                  </w:r>
                  <w:r>
                    <w:rPr>
                      <w:rFonts w:ascii="SimSun" w:eastAsia="SimSun" w:hAnsi="SimSun" w:cs="SimSun"/>
                      <w:color w:val="595959"/>
                      <w:spacing w:val="-4"/>
                      <w:sz w:val="16"/>
                      <w:szCs w:val="16"/>
                    </w:rPr>
                    <w:t>300</w:t>
                  </w:r>
                </w:p>
                <w:p>
                  <w:pPr>
                    <w:spacing w:before="14" w:line="183" w:lineRule="auto"/>
                    <w:ind w:left="122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color w:val="595959"/>
                      <w:spacing w:val="-6"/>
                      <w:sz w:val="16"/>
                      <w:szCs w:val="16"/>
                    </w:rPr>
                    <w:t>10%</w:t>
                  </w:r>
                </w:p>
                <w:p>
                  <w:pPr>
                    <w:spacing w:line="26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82" w:lineRule="auto"/>
                    <w:ind w:left="109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color w:val="595959"/>
                      <w:spacing w:val="-2"/>
                      <w:sz w:val="16"/>
                      <w:szCs w:val="16"/>
                    </w:rPr>
                    <w:t>-3%</w:t>
                  </w:r>
                </w:p>
                <w:p>
                  <w:pPr>
                    <w:spacing w:line="26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83" w:lineRule="auto"/>
                    <w:ind w:left="2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color w:val="595959"/>
                      <w:spacing w:val="-1"/>
                      <w:sz w:val="16"/>
                      <w:szCs w:val="16"/>
                    </w:rPr>
                    <w:t>-17%</w:t>
                  </w:r>
                </w:p>
                <w:p>
                  <w:pPr>
                    <w:spacing w:line="26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67" w:lineRule="auto"/>
                    <w:ind w:left="2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color w:val="595959"/>
                      <w:spacing w:val="-1"/>
                      <w:sz w:val="16"/>
                      <w:szCs w:val="16"/>
                    </w:rPr>
                    <w:t>-30%</w:t>
                  </w:r>
                </w:p>
                <w:p>
                  <w:pPr>
                    <w:spacing w:before="1" w:line="201" w:lineRule="auto"/>
                    <w:ind w:left="238"/>
                    <w:rPr>
                      <w:rFonts w:ascii="SimSun" w:eastAsia="SimSun" w:hAnsi="SimSun" w:cs="SimSun"/>
                      <w:sz w:val="16"/>
                      <w:szCs w:val="16"/>
                    </w:rPr>
                  </w:pPr>
                  <w:r>
                    <w:rPr>
                      <w:rFonts w:ascii="SimSun" w:eastAsia="SimSun" w:hAnsi="SimSun" w:cs="SimSun"/>
                      <w:color w:val="595959"/>
                      <w:spacing w:val="-1"/>
                      <w:sz w:val="16"/>
                      <w:szCs w:val="16"/>
                    </w:rPr>
                    <w:t>2023/3</w:t>
                  </w:r>
                  <w:r>
                    <w:rPr>
                      <w:rFonts w:ascii="SimSun" w:eastAsia="SimSun" w:hAnsi="SimSun" w:cs="SimSun"/>
                      <w:color w:val="595959"/>
                      <w:spacing w:val="11"/>
                      <w:sz w:val="16"/>
                      <w:szCs w:val="16"/>
                    </w:rPr>
                    <w:t xml:space="preserve">    </w:t>
                  </w:r>
                  <w:r>
                    <w:rPr>
                      <w:rFonts w:ascii="SimSun" w:eastAsia="SimSun" w:hAnsi="SimSun" w:cs="SimSun"/>
                      <w:color w:val="595959"/>
                      <w:spacing w:val="-1"/>
                      <w:sz w:val="16"/>
                      <w:szCs w:val="16"/>
                    </w:rPr>
                    <w:t>2023/7    2023/11    2024/2</w:t>
                  </w:r>
                </w:p>
              </w:tc>
            </w:tr>
          </w:tbl>
          <w:p>
            <w:pPr>
              <w:spacing w:line="144" w:lineRule="exact"/>
              <w:rPr>
                <w:rFonts w:ascii="Arial"/>
                <w:sz w:val="12"/>
              </w:rPr>
            </w:pPr>
          </w:p>
        </w:tc>
      </w:tr>
      <w:tr>
        <w:tblPrEx>
          <w:tblW w:w="3401" w:type="dxa"/>
          <w:tblInd w:w="0" w:type="dxa"/>
          <w:tblLayout w:type="fixed"/>
        </w:tblPrEx>
        <w:trPr>
          <w:trHeight w:val="402"/>
        </w:trPr>
        <w:tc>
          <w:tcPr>
            <w:tcW w:w="3401" w:type="dxa"/>
            <w:gridSpan w:val="2"/>
            <w:tcBorders>
              <w:bottom w:val="single" w:sz="2" w:space="0" w:color="C00000"/>
            </w:tcBorders>
            <w:vAlign w:val="top"/>
          </w:tcPr>
          <w:p>
            <w:pPr>
              <w:pStyle w:val="TableText"/>
              <w:spacing w:before="156" w:line="207" w:lineRule="auto"/>
              <w:ind w:left="111"/>
              <w:rPr>
                <w:sz w:val="21"/>
                <w:szCs w:val="21"/>
              </w:rPr>
            </w:pPr>
            <w:r>
              <w:rPr>
                <w:color w:val="C00000"/>
                <w:spacing w:val="-1"/>
                <w:sz w:val="21"/>
                <w:szCs w:val="21"/>
                <w14:textOutline w14:w="3831">
                  <w14:solidFill>
                    <w14:srgbClr w14:val="C00000"/>
                  </w14:solidFill>
                  <w14:prstDash w14:val="solid"/>
                  <w14:miter w14:lim="10"/>
                </w14:textOutline>
              </w:rPr>
              <w:t>作者</w:t>
            </w:r>
          </w:p>
        </w:tc>
      </w:tr>
      <w:tr>
        <w:tblPrEx>
          <w:tblW w:w="3401" w:type="dxa"/>
          <w:tblInd w:w="0" w:type="dxa"/>
          <w:tblLayout w:type="fixed"/>
        </w:tblPrEx>
        <w:trPr>
          <w:trHeight w:val="6635"/>
        </w:trPr>
        <w:tc>
          <w:tcPr>
            <w:tcW w:w="3401" w:type="dxa"/>
            <w:gridSpan w:val="2"/>
            <w:tcBorders>
              <w:top w:val="single" w:sz="2" w:space="0" w:color="C00000"/>
            </w:tcBorders>
            <w:vAlign w:val="top"/>
          </w:tcPr>
          <w:p>
            <w:pPr>
              <w:pStyle w:val="TableText"/>
              <w:spacing w:before="67" w:line="217" w:lineRule="auto"/>
              <w:ind w:left="114"/>
            </w:pPr>
            <w:r>
              <w:rPr>
                <w:spacing w:val="-2"/>
              </w:rPr>
              <w:t>分析师：高登</w:t>
            </w:r>
          </w:p>
          <w:p>
            <w:pPr>
              <w:pStyle w:val="TableText"/>
              <w:spacing w:before="72" w:line="217" w:lineRule="auto"/>
              <w:ind w:left="114"/>
            </w:pPr>
            <w:r>
              <w:rPr>
                <w:spacing w:val="-7"/>
              </w:rPr>
              <w:t>执业证书编号：</w:t>
            </w:r>
            <w:r>
              <w:rPr>
                <w:spacing w:val="49"/>
              </w:rPr>
              <w:t xml:space="preserve"> </w:t>
            </w:r>
            <w:r>
              <w:rPr>
                <w:spacing w:val="-7"/>
              </w:rPr>
              <w:t>S0590523110004</w:t>
            </w:r>
          </w:p>
          <w:p>
            <w:pPr>
              <w:pStyle w:val="TableText"/>
              <w:spacing w:before="71" w:line="214" w:lineRule="auto"/>
              <w:ind w:left="117"/>
            </w:pPr>
            <w:r>
              <w:rPr>
                <w:spacing w:val="-5"/>
              </w:rPr>
              <w:t>邮箱：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gaodeng@glsc.com.cn</w:t>
            </w:r>
          </w:p>
          <w:p>
            <w:pPr>
              <w:pStyle w:val="TableText"/>
              <w:spacing w:before="98" w:line="217" w:lineRule="auto"/>
              <w:ind w:left="114"/>
            </w:pPr>
            <w:r>
              <w:rPr>
                <w:spacing w:val="-2"/>
              </w:rPr>
              <w:t>分析师：陈斯竹</w:t>
            </w:r>
          </w:p>
          <w:p>
            <w:pPr>
              <w:pStyle w:val="TableText"/>
              <w:spacing w:before="74" w:line="217" w:lineRule="auto"/>
              <w:ind w:left="114"/>
            </w:pPr>
            <w:r>
              <w:rPr>
                <w:spacing w:val="-4"/>
              </w:rPr>
              <w:t>执业证书编号：</w:t>
            </w:r>
            <w:r>
              <w:rPr>
                <w:spacing w:val="-14"/>
              </w:rPr>
              <w:t xml:space="preserve"> </w:t>
            </w:r>
            <w:r>
              <w:rPr>
                <w:spacing w:val="-4"/>
              </w:rPr>
              <w:t>S0590523100009</w:t>
            </w:r>
          </w:p>
          <w:p>
            <w:pPr>
              <w:pStyle w:val="TableText"/>
              <w:spacing w:before="71" w:line="214" w:lineRule="auto"/>
              <w:ind w:left="117"/>
            </w:pPr>
            <w:r>
              <w:rPr>
                <w:spacing w:val="-5"/>
              </w:rPr>
              <w:t>邮箱：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chenszh@glsc.com.cn</w: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5" w:lineRule="auto"/>
              <w:ind w:left="111"/>
            </w:pPr>
            <w:r>
              <w:rPr>
                <w:spacing w:val="-1"/>
              </w:rPr>
              <w:t>联系人：唐嘉俊</w:t>
            </w:r>
          </w:p>
          <w:p>
            <w:pPr>
              <w:pStyle w:val="TableText"/>
              <w:spacing w:before="98" w:line="214" w:lineRule="auto"/>
              <w:ind w:left="117"/>
            </w:pPr>
            <w:r>
              <w:rPr>
                <w:spacing w:val="-6"/>
              </w:rPr>
              <w:t>邮箱：</w:t>
            </w:r>
            <w:r>
              <w:rPr>
                <w:spacing w:val="-6"/>
              </w:rPr>
              <w:t xml:space="preserve"> </w:t>
            </w:r>
            <w:r>
              <w:rPr>
                <w:spacing w:val="-6"/>
              </w:rPr>
              <w:t>tjj@glsc.com.cn</w:t>
            </w:r>
          </w:p>
          <w:p>
            <w:pPr>
              <w:pStyle w:val="TableText"/>
              <w:spacing w:before="98" w:line="215" w:lineRule="auto"/>
              <w:ind w:left="111"/>
            </w:pPr>
            <w:r>
              <w:rPr>
                <w:spacing w:val="-1"/>
              </w:rPr>
              <w:t>联系人：辛鹏</w:t>
            </w:r>
          </w:p>
          <w:p>
            <w:pPr>
              <w:pStyle w:val="TableText"/>
              <w:spacing w:before="96" w:line="214" w:lineRule="auto"/>
              <w:ind w:left="117"/>
            </w:pPr>
            <w:r>
              <w:rPr>
                <w:spacing w:val="-6"/>
              </w:rPr>
              <w:t>邮箱：</w:t>
            </w:r>
            <w:r>
              <w:rPr>
                <w:spacing w:val="-6"/>
              </w:rPr>
              <w:t xml:space="preserve"> </w:t>
            </w:r>
            <w:r>
              <w:rPr>
                <w:spacing w:val="-6"/>
              </w:rPr>
              <w:t>xinp@glsc.com.cn</w:t>
            </w:r>
          </w:p>
        </w:tc>
      </w:tr>
    </w:tbl>
    <w:p>
      <w:pPr>
        <w:sectPr>
          <w:type w:val="continuous"/>
          <w:pgSz w:w="11907" w:h="16839"/>
          <w:pgMar w:top="0" w:right="278" w:bottom="0" w:left="0" w:header="0" w:footer="0" w:gutter="0"/>
          <w:pgNumType w:start="2"/>
          <w:cols w:num="2" w:space="708" w:equalWidth="0">
            <w:col w:w="8124" w:space="100"/>
            <w:col w:w="3405" w:space="0"/>
          </w:cols>
        </w:sectPr>
      </w:pPr>
    </w:p>
    <w:tbl>
      <w:tblPr>
        <w:tblStyle w:val="TableNormal0"/>
        <w:tblW w:w="340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401"/>
      </w:tblGrid>
      <w:tr>
        <w:tblPrEx>
          <w:tblW w:w="340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730"/>
        </w:trPr>
        <w:tc>
          <w:tcPr>
            <w:tcW w:w="34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tabs>
                <w:tab w:val="left" w:pos="116"/>
              </w:tabs>
              <w:spacing w:before="69" w:line="223" w:lineRule="auto"/>
              <w:rPr>
                <w:sz w:val="21"/>
                <w:szCs w:val="21"/>
              </w:rPr>
            </w:pPr>
            <w:r>
              <w:rPr>
                <w:color w:val="C00000"/>
                <w:sz w:val="21"/>
                <w:szCs w:val="21"/>
                <w:u w:val="single" w:color="auto"/>
              </w:rPr>
              <w:tab/>
            </w:r>
            <w:r>
              <w:rPr>
                <w:color w:val="C00000"/>
                <w:spacing w:val="-2"/>
                <w:sz w:val="21"/>
                <w:szCs w:val="21"/>
                <w:u w:val="single" w:color="C00000"/>
                <w14:textOutline w14:w="3831">
                  <w14:solidFill>
                    <w14:srgbClr w14:val="C00000"/>
                  </w14:solidFill>
                  <w14:prstDash w14:val="solid"/>
                  <w14:miter w14:lim="10"/>
                </w14:textOutline>
              </w:rPr>
              <w:t>相关报告</w:t>
            </w:r>
            <w:r>
              <w:rPr>
                <w:color w:val="C00000"/>
                <w:sz w:val="21"/>
                <w:szCs w:val="21"/>
                <w:u w:val="single" w:color="auto"/>
              </w:rPr>
              <w:t xml:space="preserve">                        </w:t>
            </w:r>
          </w:p>
        </w:tc>
      </w:tr>
      <w:tr>
        <w:tblPrEx>
          <w:tblW w:w="3401" w:type="dxa"/>
          <w:tblInd w:w="0" w:type="dxa"/>
          <w:tblLayout w:type="fixed"/>
        </w:tblPrEx>
        <w:trPr>
          <w:trHeight w:val="752"/>
        </w:trPr>
        <w:tc>
          <w:tcPr>
            <w:tcW w:w="3401" w:type="dxa"/>
            <w:vAlign w:val="top"/>
          </w:tcPr>
          <w:p>
            <w:pPr>
              <w:pStyle w:val="TableText"/>
              <w:spacing w:before="19" w:line="226" w:lineRule="auto"/>
              <w:ind w:left="110" w:right="30" w:firstLine="8"/>
              <w:rPr>
                <w:sz w:val="15"/>
                <w:szCs w:val="15"/>
              </w:rPr>
            </w:pPr>
            <w:r>
              <w:rPr>
                <w:spacing w:val="-9"/>
                <w:sz w:val="15"/>
                <w:szCs w:val="15"/>
              </w:rPr>
              <w:t>1、《汽车：</w:t>
            </w:r>
            <w:r>
              <w:rPr>
                <w:spacing w:val="-37"/>
                <w:sz w:val="15"/>
                <w:szCs w:val="15"/>
              </w:rPr>
              <w:t xml:space="preserve"> </w:t>
            </w:r>
            <w:r>
              <w:rPr>
                <w:spacing w:val="-9"/>
                <w:sz w:val="15"/>
                <w:szCs w:val="15"/>
              </w:rPr>
              <w:t>如何看待当下商用车分红水平提升？</w:t>
            </w:r>
            <w:r>
              <w:rPr>
                <w:spacing w:val="-31"/>
                <w:sz w:val="15"/>
                <w:szCs w:val="15"/>
              </w:rPr>
              <w:t xml:space="preserve"> </w:t>
            </w:r>
            <w:r>
              <w:rPr>
                <w:spacing w:val="-9"/>
                <w:sz w:val="15"/>
                <w:szCs w:val="15"/>
              </w:rPr>
              <w:t>》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pacing w:val="-1"/>
                <w:sz w:val="15"/>
                <w:szCs w:val="15"/>
              </w:rPr>
              <w:t>2024.03.02</w:t>
            </w:r>
          </w:p>
          <w:p>
            <w:pPr>
              <w:pStyle w:val="TableText"/>
              <w:spacing w:before="21" w:line="205" w:lineRule="auto"/>
              <w:ind w:left="109" w:right="116" w:firstLine="1"/>
              <w:rPr>
                <w:sz w:val="15"/>
                <w:szCs w:val="15"/>
              </w:rPr>
            </w:pPr>
            <w:r>
              <w:rPr>
                <w:spacing w:val="-9"/>
                <w:sz w:val="15"/>
                <w:szCs w:val="15"/>
              </w:rPr>
              <w:t>2、《汽车：如何看待线控制动的技术演进和格局变</w:t>
            </w:r>
            <w:r>
              <w:rPr>
                <w:spacing w:val="5"/>
                <w:sz w:val="15"/>
                <w:szCs w:val="15"/>
              </w:rPr>
              <w:t xml:space="preserve"> </w:t>
            </w:r>
            <w:r>
              <w:rPr>
                <w:spacing w:val="-1"/>
                <w:sz w:val="15"/>
                <w:szCs w:val="15"/>
              </w:rPr>
              <w:t>化？》2024.02.25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nextPage"/>
          <w:pgSz w:w="11907" w:h="16839"/>
          <w:pgMar w:top="0" w:right="278" w:bottom="0" w:left="0" w:header="0" w:footer="0" w:gutter="0"/>
          <w:pgNumType w:start="3"/>
          <w:cols w:num="2" w:space="708" w:equalWidth="0">
            <w:col w:w="8124" w:space="100"/>
            <w:col w:w="3405" w:space="0"/>
          </w:cols>
          <w:titlePg w:val="0"/>
        </w:sectPr>
      </w:pPr>
    </w:p>
    <w:p>
      <w:pPr>
        <w:spacing w:before="93" w:line="29" w:lineRule="exact"/>
        <w:ind w:firstLine="950"/>
      </w:pPr>
      <w:r>
        <w:pict>
          <v:shape id="_x0000_i1028" style="width:533.9pt;height:1.45pt;mso-position-horizontal-relative:char;mso-position-vertical-relative:line" coordorigin="0,0" coordsize="10678,29" path="m,28l6990,28l6990,l,l,28xem6975,28l7004,28l7004,l6975,l6975,28xem7004,28l7273,28l7273,l7004,l7004,28xem7259,28l7287,28l7287,l7259,l7259,28xem7287,28l10677,28l10677,l7287,l7287,28xe" filled="t" fillcolor="#c00000" stroked="f">
            <w10:wrap type="none"/>
          </v:shape>
        </w:pict>
      </w:r>
    </w:p>
    <w:p>
      <w:pPr>
        <w:pStyle w:val="BodyText"/>
        <w:spacing w:before="159" w:line="185" w:lineRule="auto"/>
        <w:ind w:left="5924"/>
        <w:rPr>
          <w:sz w:val="18"/>
          <w:szCs w:val="18"/>
        </w:rPr>
      </w:pPr>
      <w:r>
        <w:rPr>
          <w:rFonts w:ascii="Arial" w:eastAsia="Arial" w:hAnsi="Arial" w:cs="Arial"/>
          <w:spacing w:val="-1"/>
          <w:position w:val="1"/>
          <w:sz w:val="18"/>
          <w:szCs w:val="18"/>
        </w:rPr>
        <w:t xml:space="preserve">1                                                   </w:t>
      </w:r>
      <w:r>
        <w:rPr>
          <w:spacing w:val="-1"/>
          <w:sz w:val="18"/>
          <w:szCs w:val="18"/>
        </w:rPr>
        <w:t>请务必阅读报告末页的重要声明</w:t>
      </w:r>
    </w:p>
    <w:p>
      <w:pPr>
        <w:spacing w:line="185" w:lineRule="auto"/>
        <w:rPr>
          <w:sz w:val="18"/>
          <w:szCs w:val="18"/>
        </w:rPr>
        <w:sectPr>
          <w:type w:val="continuous"/>
          <w:pgSz w:w="11907" w:h="16839"/>
          <w:pgMar w:top="0" w:right="278" w:bottom="0" w:left="0" w:header="0" w:footer="0" w:gutter="0"/>
          <w:pgNumType w:start="4"/>
          <w:cols w:num="1" w:space="708" w:equalWidth="0">
            <w:col w:w="11629" w:space="0"/>
          </w:cols>
        </w:sectPr>
      </w:pPr>
    </w:p>
    <w:p>
      <w:pPr>
        <w:spacing w:line="421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2593"/>
        <w:rPr>
          <w:sz w:val="28"/>
          <w:szCs w:val="28"/>
        </w:rPr>
      </w:pPr>
      <w:r>
        <w:rPr>
          <w:spacing w:val="-2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正文目录</w:t>
      </w:r>
    </w:p>
    <w:sdt>
      <w:sdtPr>
        <w:rPr>
          <w:rFonts w:ascii="Arial" w:eastAsia="Arial" w:hAnsi="Arial" w:cs="Arial"/>
          <w:sz w:val="21"/>
          <w:szCs w:val="21"/>
        </w:rPr>
        <w:id w:val="1299908303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pStyle w:val="BodyText"/>
            <w:tabs>
              <w:tab w:val="right" w:leader="dot" w:pos="10227"/>
            </w:tabs>
            <w:spacing w:before="205" w:line="213" w:lineRule="auto"/>
            <w:ind w:left="2598"/>
          </w:pPr>
          <w:r>
            <w:rPr>
              <w:rFonts w:ascii="Arial" w:eastAsia="Arial" w:hAnsi="Arial" w:cs="Arial"/>
              <w:b/>
              <w:bCs/>
            </w:rPr>
            <w:t xml:space="preserve">1.   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复盘历史汽车报废，</w:t>
          </w:r>
          <w:r>
            <w:rPr>
              <w:rFonts w:ascii="Arial" w:eastAsia="Arial" w:hAnsi="Arial" w:cs="Arial"/>
              <w:b/>
              <w:bCs/>
            </w:rPr>
            <w:t>“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补贴+行政</w:t>
          </w:r>
          <w:r>
            <w:rPr>
              <w:rFonts w:ascii="Arial" w:eastAsia="Arial" w:hAnsi="Arial" w:cs="Arial"/>
              <w:b/>
              <w:bCs/>
            </w:rPr>
            <w:t>”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双拳出击效果更佳</w:t>
          </w:r>
          <w:r>
            <w:rPr>
              <w:spacing w:val="-4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61"/>
            </w:rPr>
            <w:t xml:space="preserve"> </w:t>
          </w:r>
          <w:hyperlink w:anchor="bookmark1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3</w:t>
            </w:r>
          </w:hyperlink>
        </w:p>
        <w:p>
          <w:pPr>
            <w:pStyle w:val="BodyText"/>
            <w:tabs>
              <w:tab w:val="right" w:leader="dot" w:pos="10235"/>
            </w:tabs>
            <w:spacing w:before="31" w:line="218" w:lineRule="auto"/>
            <w:ind w:left="3025"/>
          </w:pPr>
          <w:r>
            <w:rPr>
              <w:rFonts w:ascii="Arial" w:eastAsia="Arial" w:hAnsi="Arial" w:cs="Arial"/>
              <w:spacing w:val="-3"/>
            </w:rPr>
            <w:t xml:space="preserve">1.1       </w:t>
          </w:r>
          <w:r>
            <w:rPr>
              <w:spacing w:val="-3"/>
            </w:rPr>
            <w:t>《汽车以旧换新实施办法》有效拉动汽车消费</w:t>
          </w:r>
          <w:r>
            <w:rPr>
              <w:spacing w:val="-88"/>
            </w:rPr>
            <w:t xml:space="preserve"> </w:t>
          </w:r>
          <w:r>
            <w:tab/>
          </w:r>
          <w:r>
            <w:rPr>
              <w:spacing w:val="-22"/>
            </w:rPr>
            <w:t xml:space="preserve"> </w:t>
          </w:r>
          <w:hyperlink w:anchor="bookmark2" w:history="1">
            <w:r>
              <w:t>3</w:t>
            </w:r>
          </w:hyperlink>
        </w:p>
        <w:p>
          <w:pPr>
            <w:pStyle w:val="BodyText"/>
            <w:tabs>
              <w:tab w:val="right" w:leader="dot" w:pos="10235"/>
            </w:tabs>
            <w:spacing w:before="23" w:line="218" w:lineRule="auto"/>
            <w:ind w:left="3025"/>
          </w:pPr>
          <w:r>
            <w:rPr>
              <w:rFonts w:ascii="Arial" w:eastAsia="Arial" w:hAnsi="Arial" w:cs="Arial"/>
              <w:spacing w:val="-3"/>
            </w:rPr>
            <w:t xml:space="preserve">1.2       </w:t>
          </w:r>
          <w:r>
            <w:rPr>
              <w:spacing w:val="-3"/>
            </w:rPr>
            <w:t>《大气污染防治行动计划》加速</w:t>
          </w:r>
          <w:r>
            <w:rPr>
              <w:spacing w:val="-4"/>
            </w:rPr>
            <w:t>淘汰旧车</w:t>
          </w:r>
          <w:r>
            <w:rPr>
              <w:spacing w:val="-93"/>
            </w:rPr>
            <w:t xml:space="preserve"> </w:t>
          </w:r>
          <w:r>
            <w:tab/>
          </w:r>
          <w:r>
            <w:rPr>
              <w:spacing w:val="-27"/>
            </w:rPr>
            <w:t xml:space="preserve"> </w:t>
          </w:r>
          <w:hyperlink w:anchor="bookmark3" w:history="1">
            <w:r>
              <w:t>5</w:t>
            </w:r>
          </w:hyperlink>
        </w:p>
        <w:p>
          <w:pPr>
            <w:pStyle w:val="BodyText"/>
            <w:tabs>
              <w:tab w:val="right" w:leader="dot" w:pos="10235"/>
            </w:tabs>
            <w:spacing w:before="25" w:line="217" w:lineRule="auto"/>
            <w:ind w:left="3025"/>
          </w:pPr>
          <w:r>
            <w:rPr>
              <w:rFonts w:ascii="Arial" w:eastAsia="Arial" w:hAnsi="Arial" w:cs="Arial"/>
              <w:spacing w:val="-1"/>
            </w:rPr>
            <w:t>1.3</w:t>
          </w:r>
          <w:r>
            <w:rPr>
              <w:rFonts w:ascii="Arial" w:eastAsia="Arial" w:hAnsi="Arial" w:cs="Arial"/>
              <w:spacing w:val="11"/>
            </w:rPr>
            <w:t xml:space="preserve">     </w:t>
          </w:r>
          <w:r>
            <w:rPr>
              <w:spacing w:val="-1"/>
            </w:rPr>
            <w:t>政策多维度持续加码汽车报废更新</w:t>
          </w:r>
          <w:r>
            <w:rPr>
              <w:spacing w:val="-1"/>
            </w:rPr>
            <w:t xml:space="preserve"> </w:t>
          </w:r>
          <w:r>
            <w:tab/>
          </w:r>
          <w:r>
            <w:rPr>
              <w:spacing w:val="-23"/>
            </w:rPr>
            <w:t xml:space="preserve"> </w:t>
          </w:r>
          <w:hyperlink w:anchor="bookmark4" w:history="1">
            <w:r>
              <w:t>6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4" w:line="217" w:lineRule="auto"/>
            <w:ind w:left="2586"/>
          </w:pPr>
          <w:r>
            <w:rPr>
              <w:rFonts w:ascii="Arial" w:eastAsia="Arial" w:hAnsi="Arial" w:cs="Arial"/>
              <w:b/>
              <w:bCs/>
              <w:spacing w:val="-3"/>
            </w:rPr>
            <w:t>2.</w:t>
          </w:r>
          <w:r>
            <w:rPr>
              <w:rFonts w:ascii="Arial" w:eastAsia="Arial" w:hAnsi="Arial" w:cs="Arial"/>
              <w:b/>
              <w:bCs/>
              <w:spacing w:val="14"/>
            </w:rPr>
            <w:t xml:space="preserve">    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以旧换新政策有望拉动内需</w:t>
          </w:r>
          <w:r>
            <w:rPr>
              <w:spacing w:val="-70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63"/>
            </w:rPr>
            <w:t xml:space="preserve"> </w:t>
          </w:r>
          <w:hyperlink w:anchor="bookmark5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8</w:t>
            </w:r>
          </w:hyperlink>
        </w:p>
        <w:p>
          <w:pPr>
            <w:pStyle w:val="BodyText"/>
            <w:tabs>
              <w:tab w:val="right" w:leader="dot" w:pos="10235"/>
            </w:tabs>
            <w:spacing w:before="24" w:line="214" w:lineRule="auto"/>
            <w:ind w:left="3008"/>
          </w:pPr>
          <w:r>
            <w:rPr>
              <w:rFonts w:ascii="Arial" w:eastAsia="Arial" w:hAnsi="Arial" w:cs="Arial"/>
              <w:spacing w:val="-1"/>
            </w:rPr>
            <w:t xml:space="preserve">2.1      </w:t>
          </w:r>
          <w:r>
            <w:rPr>
              <w:spacing w:val="-1"/>
            </w:rPr>
            <w:t>乘用车市场潜在更换需求较大</w:t>
          </w:r>
          <w:r>
            <w:rPr>
              <w:spacing w:val="-1"/>
            </w:rPr>
            <w:t xml:space="preserve"> </w:t>
          </w:r>
          <w:r>
            <w:tab/>
          </w:r>
          <w:r>
            <w:rPr>
              <w:spacing w:val="-25"/>
            </w:rPr>
            <w:t xml:space="preserve"> </w:t>
          </w:r>
          <w:hyperlink w:anchor="bookmark6" w:history="1">
            <w:r>
              <w:t>8</w:t>
            </w:r>
          </w:hyperlink>
        </w:p>
        <w:p>
          <w:pPr>
            <w:pStyle w:val="BodyText"/>
            <w:tabs>
              <w:tab w:val="right" w:leader="dot" w:pos="10235"/>
            </w:tabs>
            <w:spacing w:before="30" w:line="217" w:lineRule="auto"/>
            <w:ind w:left="3008"/>
          </w:pPr>
          <w:r>
            <w:rPr>
              <w:rFonts w:ascii="Arial" w:eastAsia="Arial" w:hAnsi="Arial" w:cs="Arial"/>
              <w:spacing w:val="-1"/>
            </w:rPr>
            <w:t xml:space="preserve">2.2      </w:t>
          </w:r>
          <w:r>
            <w:rPr>
              <w:spacing w:val="-1"/>
            </w:rPr>
            <w:t>以旧换新政策有望提升全年报废率</w:t>
          </w:r>
          <w:r>
            <w:rPr>
              <w:spacing w:val="20"/>
            </w:rPr>
            <w:t xml:space="preserve"> </w:t>
          </w:r>
          <w:r>
            <w:tab/>
          </w:r>
          <w:r>
            <w:rPr>
              <w:spacing w:val="-28"/>
            </w:rPr>
            <w:t xml:space="preserve"> </w:t>
          </w:r>
          <w:hyperlink w:anchor="bookmark7" w:history="1">
            <w:r>
              <w:t>9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4" w:line="217" w:lineRule="auto"/>
            <w:ind w:left="2589"/>
          </w:pPr>
          <w:r>
            <w:rPr>
              <w:rFonts w:ascii="Arial" w:eastAsia="Arial" w:hAnsi="Arial" w:cs="Arial"/>
              <w:b/>
              <w:bCs/>
            </w:rPr>
            <w:t xml:space="preserve">3.   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环保升级有效刺激重卡终端更换需求</w:t>
          </w:r>
          <w:r>
            <w:rPr>
              <w:spacing w:val="-34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47"/>
            </w:rPr>
            <w:t xml:space="preserve"> </w:t>
          </w:r>
          <w:hyperlink w:anchor="bookmark8" w:history="1"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10</w:t>
            </w:r>
          </w:hyperlink>
        </w:p>
        <w:p>
          <w:pPr>
            <w:pStyle w:val="BodyText"/>
            <w:tabs>
              <w:tab w:val="right" w:leader="dot" w:pos="10235"/>
            </w:tabs>
            <w:spacing w:before="27" w:line="217" w:lineRule="auto"/>
            <w:ind w:left="3011"/>
          </w:pPr>
          <w:r>
            <w:rPr>
              <w:rFonts w:ascii="Arial" w:eastAsia="Arial" w:hAnsi="Arial" w:cs="Arial"/>
              <w:spacing w:val="-1"/>
            </w:rPr>
            <w:t>3.1</w:t>
          </w:r>
          <w:r>
            <w:rPr>
              <w:rFonts w:ascii="Arial" w:eastAsia="Arial" w:hAnsi="Arial" w:cs="Arial"/>
              <w:spacing w:val="12"/>
            </w:rPr>
            <w:t xml:space="preserve">     </w:t>
          </w:r>
          <w:r>
            <w:rPr>
              <w:spacing w:val="-1"/>
            </w:rPr>
            <w:t>环保升级助推重卡销量提升</w:t>
          </w:r>
          <w:r>
            <w:rPr>
              <w:spacing w:val="-1"/>
            </w:rPr>
            <w:t xml:space="preserve"> </w:t>
          </w:r>
          <w:r>
            <w:tab/>
          </w:r>
          <w:r>
            <w:rPr>
              <w:spacing w:val="-12"/>
            </w:rPr>
            <w:t xml:space="preserve"> </w:t>
          </w:r>
          <w:hyperlink w:anchor="bookmark9" w:history="1">
            <w:r>
              <w:rPr>
                <w:spacing w:val="-5"/>
              </w:rPr>
              <w:t>10</w:t>
            </w:r>
          </w:hyperlink>
        </w:p>
        <w:p>
          <w:pPr>
            <w:pStyle w:val="BodyText"/>
            <w:tabs>
              <w:tab w:val="right" w:leader="dot" w:pos="10235"/>
            </w:tabs>
            <w:spacing w:before="25" w:line="217" w:lineRule="auto"/>
            <w:ind w:left="3011"/>
          </w:pPr>
          <w:r>
            <w:rPr>
              <w:rFonts w:ascii="Arial" w:eastAsia="Arial" w:hAnsi="Arial" w:cs="Arial"/>
              <w:spacing w:val="-4"/>
            </w:rPr>
            <w:t>3.2</w:t>
          </w:r>
          <w:r>
            <w:rPr>
              <w:rFonts w:ascii="Arial" w:eastAsia="Arial" w:hAnsi="Arial" w:cs="Arial"/>
              <w:spacing w:val="10"/>
            </w:rPr>
            <w:t xml:space="preserve">     </w:t>
          </w:r>
          <w:r>
            <w:rPr>
              <w:spacing w:val="-4"/>
            </w:rPr>
            <w:t>各地纷纷出台国</w:t>
          </w:r>
          <w:r>
            <w:rPr>
              <w:spacing w:val="-4"/>
            </w:rPr>
            <w:t xml:space="preserve"> </w:t>
          </w:r>
          <w:r>
            <w:rPr>
              <w:spacing w:val="-4"/>
            </w:rPr>
            <w:t>IV</w:t>
          </w:r>
          <w:r>
            <w:rPr>
              <w:spacing w:val="-30"/>
            </w:rPr>
            <w:t xml:space="preserve"> </w:t>
          </w:r>
          <w:r>
            <w:rPr>
              <w:spacing w:val="-4"/>
            </w:rPr>
            <w:t>车辆淘汰补贴政策</w:t>
          </w:r>
          <w:r>
            <w:rPr>
              <w:spacing w:val="-93"/>
            </w:rPr>
            <w:t xml:space="preserve"> </w:t>
          </w:r>
          <w:r>
            <w:tab/>
          </w:r>
          <w:r>
            <w:rPr>
              <w:spacing w:val="-11"/>
            </w:rPr>
            <w:t xml:space="preserve"> </w:t>
          </w:r>
          <w:hyperlink w:anchor="bookmark10" w:history="1">
            <w:r>
              <w:rPr>
                <w:spacing w:val="-5"/>
              </w:rPr>
              <w:t>12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7" w:line="213" w:lineRule="auto"/>
            <w:ind w:left="2585"/>
          </w:pPr>
          <w:r>
            <w:rPr>
              <w:rFonts w:ascii="Arial" w:eastAsia="Arial" w:hAnsi="Arial" w:cs="Arial"/>
              <w:b/>
              <w:bCs/>
              <w:spacing w:val="1"/>
            </w:rPr>
            <w:t xml:space="preserve">4.    </w:t>
          </w:r>
          <w:r>
            <w:rPr>
              <w:spacing w:val="1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投资建议：以旧换新推动消费，龙头重点受益</w:t>
          </w:r>
          <w:r>
            <w:rPr>
              <w:spacing w:val="-32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47"/>
            </w:rPr>
            <w:t xml:space="preserve"> </w:t>
          </w:r>
          <w:hyperlink w:anchor="bookmark11" w:history="1"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13</w:t>
            </w:r>
          </w:hyperlink>
        </w:p>
        <w:p>
          <w:pPr>
            <w:pStyle w:val="BodyText"/>
            <w:tabs>
              <w:tab w:val="right" w:leader="dot" w:pos="10235"/>
            </w:tabs>
            <w:spacing w:before="28" w:line="214" w:lineRule="auto"/>
            <w:ind w:left="3004"/>
          </w:pPr>
          <w:r>
            <w:rPr>
              <w:rFonts w:ascii="Arial" w:eastAsia="Arial" w:hAnsi="Arial" w:cs="Arial"/>
            </w:rPr>
            <w:t xml:space="preserve">4.1      </w:t>
          </w:r>
          <w:r>
            <w:t>乘用车：政策推动主流车企销量向上</w:t>
          </w:r>
          <w:r>
            <w:t xml:space="preserve"> </w:t>
          </w:r>
          <w:r>
            <w:tab/>
          </w:r>
          <w:r>
            <w:rPr>
              <w:spacing w:val="-11"/>
            </w:rPr>
            <w:t xml:space="preserve"> </w:t>
          </w:r>
          <w:hyperlink w:anchor="bookmark12" w:history="1">
            <w:r>
              <w:rPr>
                <w:spacing w:val="-5"/>
              </w:rPr>
              <w:t>13</w:t>
            </w:r>
          </w:hyperlink>
        </w:p>
        <w:p>
          <w:pPr>
            <w:pStyle w:val="BodyText"/>
            <w:tabs>
              <w:tab w:val="right" w:leader="dot" w:pos="10235"/>
            </w:tabs>
            <w:spacing w:before="30" w:line="217" w:lineRule="auto"/>
            <w:ind w:left="3004"/>
          </w:pPr>
          <w:r>
            <w:rPr>
              <w:rFonts w:ascii="Arial" w:eastAsia="Arial" w:hAnsi="Arial" w:cs="Arial"/>
            </w:rPr>
            <w:t>4.2</w:t>
          </w:r>
          <w:r>
            <w:rPr>
              <w:rFonts w:ascii="Arial" w:eastAsia="Arial" w:hAnsi="Arial" w:cs="Arial"/>
              <w:spacing w:val="10"/>
            </w:rPr>
            <w:t xml:space="preserve">     </w:t>
          </w:r>
          <w:r>
            <w:t>零部件：创新打开成长空间</w:t>
          </w:r>
          <w:r>
            <w:t xml:space="preserve"> </w:t>
          </w:r>
          <w:r>
            <w:tab/>
          </w:r>
          <w:r>
            <w:rPr>
              <w:spacing w:val="-12"/>
            </w:rPr>
            <w:t xml:space="preserve"> </w:t>
          </w:r>
          <w:hyperlink w:anchor="bookmark13" w:history="1">
            <w:r>
              <w:rPr>
                <w:spacing w:val="-5"/>
              </w:rPr>
              <w:t>13</w:t>
            </w:r>
          </w:hyperlink>
        </w:p>
        <w:p>
          <w:pPr>
            <w:pStyle w:val="BodyText"/>
            <w:tabs>
              <w:tab w:val="right" w:leader="dot" w:pos="10235"/>
            </w:tabs>
            <w:spacing w:before="25" w:line="217" w:lineRule="auto"/>
            <w:ind w:left="3004"/>
          </w:pPr>
          <w:r>
            <w:rPr>
              <w:rFonts w:ascii="Arial" w:eastAsia="Arial" w:hAnsi="Arial" w:cs="Arial"/>
            </w:rPr>
            <w:t xml:space="preserve">4.3      </w:t>
          </w:r>
          <w:r>
            <w:t>商用车：龙头重点受益以旧换新政策</w:t>
          </w:r>
          <w:r>
            <w:t xml:space="preserve"> </w:t>
          </w:r>
          <w:r>
            <w:tab/>
          </w:r>
          <w:r>
            <w:rPr>
              <w:spacing w:val="-11"/>
            </w:rPr>
            <w:t xml:space="preserve"> </w:t>
          </w:r>
          <w:hyperlink w:anchor="bookmark14" w:history="1">
            <w:r>
              <w:rPr>
                <w:spacing w:val="-5"/>
              </w:rPr>
              <w:t>14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8" w:line="223" w:lineRule="auto"/>
            <w:ind w:left="2590"/>
          </w:pPr>
          <w:r>
            <w:rPr>
              <w:rFonts w:ascii="Arial" w:eastAsia="Arial" w:hAnsi="Arial" w:cs="Arial"/>
              <w:b/>
              <w:bCs/>
              <w:spacing w:val="-3"/>
            </w:rPr>
            <w:t>5.</w:t>
          </w:r>
          <w:r>
            <w:rPr>
              <w:rFonts w:ascii="Arial" w:eastAsia="Arial" w:hAnsi="Arial" w:cs="Arial"/>
              <w:b/>
              <w:bCs/>
              <w:spacing w:val="5"/>
            </w:rPr>
            <w:t xml:space="preserve">    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风险提示</w:t>
          </w:r>
          <w:r>
            <w:rPr>
              <w:spacing w:val="-3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47"/>
            </w:rPr>
            <w:t xml:space="preserve"> </w:t>
          </w:r>
          <w:hyperlink w:anchor="bookmark15" w:history="1"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14</w:t>
            </w:r>
          </w:hyperlink>
        </w:p>
      </w:sdtContent>
    </w:sdt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28"/>
          <w:szCs w:val="28"/>
        </w:rPr>
        <w:id w:val="1870772852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pStyle w:val="BodyText"/>
            <w:spacing w:before="91" w:line="219" w:lineRule="auto"/>
            <w:ind w:left="2626"/>
            <w:rPr>
              <w:sz w:val="28"/>
              <w:szCs w:val="28"/>
            </w:rPr>
          </w:pPr>
          <w:r>
            <w:rPr>
              <w:spacing w:val="-10"/>
              <w:sz w:val="28"/>
              <w:szCs w:val="28"/>
              <w14:textOutline w14:w="5094">
                <w14:solidFill>
                  <w14:srgbClr w14:val="000000"/>
                </w14:solidFill>
                <w14:prstDash w14:val="solid"/>
                <w14:round/>
              </w14:textOutline>
            </w:rPr>
            <w:t>图表目录</w:t>
          </w:r>
        </w:p>
        <w:p>
          <w:pPr>
            <w:pStyle w:val="BodyText"/>
            <w:tabs>
              <w:tab w:val="right" w:leader="dot" w:pos="10227"/>
            </w:tabs>
            <w:spacing w:before="205" w:line="220" w:lineRule="auto"/>
            <w:ind w:left="2615"/>
          </w:pP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34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3"/>
            </w:rPr>
            <w:t>1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3"/>
            </w:rPr>
            <w:t xml:space="preserve"> 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历史车辆报废量情况</w:t>
          </w:r>
          <w:r>
            <w:rPr>
              <w:spacing w:val="-34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61"/>
            </w:rPr>
            <w:t xml:space="preserve"> </w:t>
          </w:r>
          <w:hyperlink w:anchor="bookmark1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3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1" w:line="218" w:lineRule="auto"/>
            <w:ind w:left="2615"/>
          </w:pP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34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3"/>
            </w:rPr>
            <w:t>2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3"/>
            </w:rPr>
            <w:t xml:space="preserve"> 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2010</w:t>
          </w:r>
          <w:r>
            <w:rPr>
              <w:spacing w:val="-44"/>
            </w:rPr>
            <w:t xml:space="preserve"> 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年上调单车补贴金额（单位：元/车）</w:t>
          </w:r>
          <w:r>
            <w:rPr>
              <w:spacing w:val="-3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65"/>
            </w:rPr>
            <w:t xml:space="preserve"> </w:t>
          </w:r>
          <w:hyperlink w:anchor="bookmark16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4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5" w:line="220" w:lineRule="auto"/>
            <w:ind w:left="2615"/>
          </w:pP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38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2"/>
            </w:rPr>
            <w:t>3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2"/>
            </w:rPr>
            <w:t xml:space="preserve"> 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补贴金额环比保持快速增长</w:t>
          </w:r>
          <w:r>
            <w:rPr>
              <w:spacing w:val="-21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66"/>
            </w:rPr>
            <w:t xml:space="preserve"> </w:t>
          </w:r>
          <w:hyperlink w:anchor="bookmark17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4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2" w:line="218" w:lineRule="auto"/>
            <w:ind w:left="2615"/>
          </w:pP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43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3"/>
            </w:rPr>
            <w:t>4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3"/>
            </w:rPr>
            <w:t xml:space="preserve"> 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2010</w:t>
          </w:r>
          <w:r>
            <w:rPr>
              <w:spacing w:val="-44"/>
            </w:rPr>
            <w:t xml:space="preserve"> 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年受理车辆约</w:t>
          </w:r>
          <w:r>
            <w:rPr>
              <w:spacing w:val="-45"/>
            </w:rPr>
            <w:t xml:space="preserve"> 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2009</w:t>
          </w:r>
          <w:r>
            <w:rPr>
              <w:spacing w:val="-43"/>
            </w:rPr>
            <w:t xml:space="preserve"> 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年的</w:t>
          </w:r>
          <w:r>
            <w:rPr>
              <w:spacing w:val="-33"/>
            </w:rPr>
            <w:t xml:space="preserve"> 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12</w:t>
          </w:r>
          <w:r>
            <w:rPr>
              <w:spacing w:val="-48"/>
            </w:rPr>
            <w:t xml:space="preserve"> 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倍</w:t>
          </w:r>
          <w:r>
            <w:rPr>
              <w:spacing w:val="-62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65"/>
            </w:rPr>
            <w:t xml:space="preserve"> </w:t>
          </w:r>
          <w:hyperlink w:anchor="bookmark18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4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5" w:line="220" w:lineRule="auto"/>
            <w:ind w:left="2615"/>
          </w:pPr>
          <w:r>
            <w:rPr>
              <w:spacing w:val="-1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41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1"/>
            </w:rPr>
            <w:t>5</w:t>
          </w:r>
          <w:r>
            <w:rPr>
              <w:spacing w:val="-1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1"/>
            </w:rPr>
            <w:t xml:space="preserve"> </w:t>
          </w:r>
          <w:r>
            <w:rPr>
              <w:spacing w:val="-1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补贴金额前十的省市财政支出占比达到</w:t>
          </w:r>
          <w:r>
            <w:rPr>
              <w:spacing w:val="-49"/>
            </w:rPr>
            <w:t xml:space="preserve"> </w:t>
          </w:r>
          <w:r>
            <w:rPr>
              <w:spacing w:val="-1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45.1%</w:t>
          </w:r>
          <w:r>
            <w:rPr>
              <w:spacing w:val="-35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66"/>
            </w:rPr>
            <w:t xml:space="preserve"> </w:t>
          </w:r>
          <w:hyperlink w:anchor="bookmark19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5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1" w:line="220" w:lineRule="auto"/>
            <w:ind w:left="2615"/>
          </w:pP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27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3"/>
            </w:rPr>
            <w:t>6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3"/>
            </w:rPr>
            <w:t xml:space="preserve"> 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补贴金额前十的省市</w:t>
          </w:r>
          <w:r>
            <w:rPr>
              <w:spacing w:val="-44"/>
            </w:rPr>
            <w:t xml:space="preserve"> 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GDP</w:t>
          </w:r>
          <w:r>
            <w:rPr>
              <w:spacing w:val="-43"/>
            </w:rPr>
            <w:t xml:space="preserve"> 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增长较快</w:t>
          </w:r>
          <w:r>
            <w:rPr>
              <w:spacing w:val="-3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65"/>
            </w:rPr>
            <w:t xml:space="preserve"> </w:t>
          </w:r>
          <w:hyperlink w:anchor="bookmark20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5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4" w:line="217" w:lineRule="auto"/>
            <w:ind w:left="2615"/>
          </w:pP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27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2"/>
            </w:rPr>
            <w:t>7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2"/>
            </w:rPr>
            <w:t xml:space="preserve"> 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2014</w:t>
          </w:r>
          <w:r>
            <w:rPr>
              <w:spacing w:val="-43"/>
            </w:rPr>
            <w:t xml:space="preserve"> 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年政策首年换标车保有量下降</w:t>
          </w:r>
          <w:r>
            <w:rPr>
              <w:spacing w:val="-45"/>
            </w:rPr>
            <w:t xml:space="preserve"> 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27%</w:t>
          </w:r>
          <w:r>
            <w:rPr>
              <w:spacing w:val="-2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65"/>
            </w:rPr>
            <w:t xml:space="preserve"> </w:t>
          </w:r>
          <w:hyperlink w:anchor="bookmark21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5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4" w:line="217" w:lineRule="auto"/>
            <w:ind w:left="2615"/>
          </w:pP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35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2"/>
            </w:rPr>
            <w:t>8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2"/>
            </w:rPr>
            <w:t xml:space="preserve"> 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2014</w:t>
          </w:r>
          <w:r>
            <w:rPr>
              <w:spacing w:val="-43"/>
            </w:rPr>
            <w:t xml:space="preserve"> 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年政策首年淘汰量显著增长</w:t>
          </w:r>
          <w:r>
            <w:rPr>
              <w:spacing w:val="-65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66"/>
            </w:rPr>
            <w:t xml:space="preserve"> </w:t>
          </w:r>
          <w:hyperlink w:anchor="bookmark22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5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7" w:line="216" w:lineRule="auto"/>
            <w:ind w:left="2615"/>
          </w:pP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44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5"/>
            </w:rPr>
            <w:t>9</w:t>
          </w: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5"/>
            </w:rPr>
            <w:t xml:space="preserve">  </w:t>
          </w: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《上海市清洁空气计划行动》主要</w:t>
          </w:r>
          <w:r>
            <w:rPr>
              <w:spacing w:val="-6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政策梳理</w:t>
          </w:r>
          <w:r>
            <w:rPr>
              <w:spacing w:val="-91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61"/>
            </w:rPr>
            <w:t xml:space="preserve"> </w:t>
          </w:r>
          <w:hyperlink w:anchor="bookmark23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6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6" w:line="218" w:lineRule="auto"/>
            <w:ind w:left="2615"/>
          </w:pP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2"/>
            </w:rPr>
            <w:t>10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2"/>
            </w:rPr>
            <w:t xml:space="preserve"> 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2014</w:t>
          </w:r>
          <w:r>
            <w:rPr>
              <w:spacing w:val="-43"/>
            </w:rPr>
            <w:t xml:space="preserve"> 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年上海黄标车保有量降幅显著</w:t>
          </w:r>
          <w:r>
            <w:rPr>
              <w:spacing w:val="-70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61"/>
            </w:rPr>
            <w:t xml:space="preserve"> </w:t>
          </w:r>
          <w:hyperlink w:anchor="bookmark24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6</w:t>
            </w:r>
          </w:hyperlink>
        </w:p>
        <w:p>
          <w:pPr>
            <w:pStyle w:val="BodyText"/>
            <w:spacing w:before="25" w:line="217" w:lineRule="auto"/>
            <w:ind w:right="27"/>
            <w:jc w:val="right"/>
          </w:pP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35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2"/>
            </w:rPr>
            <w:t>11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56"/>
            </w:rPr>
            <w:t xml:space="preserve"> 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《进一步优化供给推动消费平稳增长</w:t>
          </w:r>
          <w:r>
            <w:rPr>
              <w:spacing w:val="-3"/>
            </w:rPr>
            <w:t xml:space="preserve"> </w:t>
          </w:r>
          <w:r>
            <w:rPr>
              <w:spacing w:val="-3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促进形成强大国内市场的实施方案</w:t>
          </w:r>
        </w:p>
        <w:p>
          <w:pPr>
            <w:pStyle w:val="BodyText"/>
            <w:tabs>
              <w:tab w:val="right" w:leader="dot" w:pos="10227"/>
            </w:tabs>
            <w:spacing w:before="25" w:line="218" w:lineRule="auto"/>
            <w:ind w:left="2604"/>
            <w:sectPr>
              <w:headerReference w:type="default" r:id="rId10"/>
              <w:footerReference w:type="default" r:id="rId11"/>
              <w:pgSz w:w="11907" w:h="16839"/>
              <w:pgMar w:top="943" w:right="820" w:bottom="743" w:left="821" w:header="289" w:footer="220" w:gutter="0"/>
              <w:pgNumType w:start="5"/>
              <w:cols w:space="708"/>
            </w:sectPr>
          </w:pPr>
          <w:r>
            <w:rPr>
              <w:spacing w:val="-8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（2019</w:t>
          </w:r>
          <w:r>
            <w:rPr>
              <w:spacing w:val="-39"/>
            </w:rPr>
            <w:t xml:space="preserve"> </w:t>
          </w:r>
          <w:r>
            <w:rPr>
              <w:spacing w:val="-8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年）》汽车行业相关内容</w:t>
          </w:r>
          <w:r>
            <w:rPr>
              <w:spacing w:val="-23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60"/>
            </w:rPr>
            <w:t xml:space="preserve"> </w:t>
          </w:r>
          <w:hyperlink w:anchor="bookmark25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7</w:t>
            </w:r>
          </w:hyperlink>
        </w:p>
      </w:sdtContent>
    </w:sdt>
    <w:sdt>
      <w:sdtPr>
        <w:rPr>
          <w:rFonts w:ascii="KaiTi" w:eastAsia="KaiTi" w:hAnsi="KaiTi" w:cs="KaiTi"/>
          <w:sz w:val="28"/>
          <w:szCs w:val="28"/>
        </w:rPr>
        <w:id w:val="49244412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pStyle w:val="BodyText"/>
            <w:tabs>
              <w:tab w:val="right" w:leader="dot" w:pos="10227"/>
            </w:tabs>
            <w:spacing w:before="25" w:line="216" w:lineRule="auto"/>
            <w:ind w:left="2615"/>
          </w:pP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19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2"/>
            </w:rPr>
            <w:t>12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2"/>
            </w:rPr>
            <w:t xml:space="preserve"> 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2019</w:t>
          </w:r>
          <w:r>
            <w:rPr>
              <w:spacing w:val="-43"/>
            </w:rPr>
            <w:t xml:space="preserve"> 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年报废机动车回收量同比+15.3%</w:t>
          </w:r>
          <w:r>
            <w:rPr>
              <w:spacing w:val="-66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62"/>
            </w:rPr>
            <w:t xml:space="preserve"> </w:t>
          </w:r>
          <w:hyperlink w:anchor="bookmark26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8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6" w:line="216" w:lineRule="auto"/>
            <w:ind w:left="2615"/>
          </w:pP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22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2"/>
            </w:rPr>
            <w:t>13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2"/>
            </w:rPr>
            <w:t xml:space="preserve"> 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2019</w:t>
          </w:r>
          <w:r>
            <w:rPr>
              <w:spacing w:val="-43"/>
            </w:rPr>
            <w:t xml:space="preserve"> 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年报废汽车回收量同比+16.8%</w:t>
          </w:r>
          <w:r>
            <w:rPr>
              <w:spacing w:val="-71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62"/>
            </w:rPr>
            <w:t xml:space="preserve"> </w:t>
          </w:r>
          <w:hyperlink w:anchor="bookmark27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8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8" w:line="214" w:lineRule="auto"/>
            <w:ind w:left="2615"/>
          </w:pP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35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4"/>
            </w:rPr>
            <w:t>14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4"/>
            </w:rPr>
            <w:t xml:space="preserve"> 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乘用车历年保有量、销量和报废</w:t>
          </w: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量（万辆）</w:t>
          </w:r>
          <w:r>
            <w:rPr>
              <w:spacing w:val="81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63"/>
            </w:rPr>
            <w:t xml:space="preserve"> </w:t>
          </w:r>
          <w:hyperlink w:anchor="bookmark28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8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7" w:line="214" w:lineRule="auto"/>
            <w:ind w:left="2615"/>
          </w:pPr>
          <w:r>
            <w:rPr>
              <w:spacing w:val="-8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32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8"/>
            </w:rPr>
            <w:t>15</w:t>
          </w:r>
          <w:r>
            <w:rPr>
              <w:spacing w:val="-8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8"/>
            </w:rPr>
            <w:t xml:space="preserve"> </w:t>
          </w:r>
          <w:r>
            <w:rPr>
              <w:spacing w:val="-8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乘用车潜在更换市场（万辆）</w:t>
          </w:r>
          <w:r>
            <w:rPr>
              <w:spacing w:val="-8"/>
            </w:rPr>
            <w:t xml:space="preserve"> 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63"/>
            </w:rPr>
            <w:t xml:space="preserve"> </w:t>
          </w:r>
          <w:hyperlink w:anchor="bookmark29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8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31" w:line="218" w:lineRule="auto"/>
            <w:ind w:left="2615"/>
          </w:pPr>
          <w:r>
            <w:rPr>
              <w:spacing w:val="-1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35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1"/>
            </w:rPr>
            <w:t>16</w:t>
          </w:r>
          <w:r>
            <w:rPr>
              <w:spacing w:val="-1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1"/>
            </w:rPr>
            <w:t xml:space="preserve"> </w:t>
          </w:r>
          <w:r>
            <w:rPr>
              <w:spacing w:val="-1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广东、山东和河北等省份有大量国四及以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下车型</w:t>
          </w:r>
          <w:r>
            <w:rPr>
              <w:spacing w:val="-90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66"/>
            </w:rPr>
            <w:t xml:space="preserve"> </w:t>
          </w:r>
          <w:hyperlink w:anchor="bookmark30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9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3" w:line="218" w:lineRule="auto"/>
            <w:ind w:left="2615"/>
          </w:pPr>
          <w:r>
            <w:rPr>
              <w:spacing w:val="-1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35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1"/>
            </w:rPr>
            <w:t>17</w:t>
          </w:r>
          <w:r>
            <w:rPr>
              <w:spacing w:val="-1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1"/>
            </w:rPr>
            <w:t xml:space="preserve"> </w:t>
          </w:r>
          <w:r>
            <w:rPr>
              <w:spacing w:val="-1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广东、广西和河南等省份有大量国三及以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下车型</w:t>
          </w:r>
          <w:r>
            <w:rPr>
              <w:spacing w:val="-90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66"/>
            </w:rPr>
            <w:t xml:space="preserve"> </w:t>
          </w:r>
          <w:hyperlink w:anchor="bookmark31" w:history="1"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9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6" w:line="216" w:lineRule="auto"/>
            <w:ind w:left="2615"/>
          </w:pP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2"/>
            </w:rPr>
            <w:t>18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2"/>
            </w:rPr>
            <w:t xml:space="preserve"> 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刺激政策对报废率提升作用显著</w:t>
          </w:r>
          <w:r>
            <w:rPr>
              <w:spacing w:val="-20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46"/>
            </w:rPr>
            <w:t xml:space="preserve"> </w:t>
          </w:r>
          <w:hyperlink w:anchor="bookmark32" w:history="1"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10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6" w:line="218" w:lineRule="auto"/>
            <w:ind w:left="2615"/>
          </w:pP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32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2"/>
            </w:rPr>
            <w:t>19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2"/>
            </w:rPr>
            <w:t xml:space="preserve"> 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2018H1</w:t>
          </w:r>
          <w:r>
            <w:rPr>
              <w:spacing w:val="-38"/>
            </w:rPr>
            <w:t xml:space="preserve"> </w:t>
          </w:r>
          <w:r>
            <w:rPr>
              <w:spacing w:val="-2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重卡保有量测算</w:t>
          </w:r>
          <w:r>
            <w:rPr>
              <w:spacing w:val="-2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47"/>
            </w:rPr>
            <w:t xml:space="preserve"> </w:t>
          </w:r>
          <w:hyperlink w:anchor="bookmark33" w:history="1"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11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3" w:line="216" w:lineRule="auto"/>
            <w:ind w:left="2615"/>
          </w:pP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4"/>
            </w:rPr>
            <w:t>20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4"/>
            </w:rPr>
            <w:t xml:space="preserve"> 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2022</w:t>
          </w:r>
          <w:r>
            <w:rPr>
              <w:spacing w:val="-43"/>
            </w:rPr>
            <w:t xml:space="preserve"> 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年重卡保有量测算（按排放标准）</w:t>
          </w:r>
          <w:r>
            <w:rPr>
              <w:spacing w:val="-4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47"/>
            </w:rPr>
            <w:t xml:space="preserve"> </w:t>
          </w:r>
          <w:hyperlink w:anchor="bookmark34" w:history="1"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12</w:t>
            </w:r>
          </w:hyperlink>
        </w:p>
        <w:p>
          <w:pPr>
            <w:pStyle w:val="BodyText"/>
            <w:tabs>
              <w:tab w:val="right" w:leader="dot" w:pos="10227"/>
            </w:tabs>
            <w:spacing w:before="27" w:line="217" w:lineRule="auto"/>
            <w:ind w:left="2615"/>
          </w:pP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图表</w:t>
          </w:r>
          <w:r>
            <w:rPr>
              <w:spacing w:val="-46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-4"/>
            </w:rPr>
            <w:t>21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：</w:t>
          </w:r>
          <w:r>
            <w:rPr>
              <w:spacing w:val="-4"/>
            </w:rPr>
            <w:t xml:space="preserve"> 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各地纷纷出台国</w:t>
          </w:r>
          <w:r>
            <w:rPr>
              <w:spacing w:val="-4"/>
            </w:rPr>
            <w:t xml:space="preserve"> 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IV</w:t>
          </w:r>
          <w:r>
            <w:rPr>
              <w:spacing w:val="-31"/>
            </w:rPr>
            <w:t xml:space="preserve"> </w:t>
          </w:r>
          <w:r>
            <w:rPr>
              <w:spacing w:val="-4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车辆淘汰补贴政</w:t>
          </w:r>
          <w:r>
            <w:rPr>
              <w:spacing w:val="-5"/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>策</w:t>
          </w:r>
          <w:r>
            <w:rPr>
              <w:spacing w:val="-5"/>
            </w:rPr>
            <w:t xml:space="preserve"> </w:t>
          </w:r>
          <w:r>
            <w:rPr>
              <w14:textOutline w14:w="3831">
                <w14:solidFill>
                  <w14:srgbClr w14:val="000000"/>
                </w14:solidFill>
                <w14:prstDash w14:val="solid"/>
                <w14:round/>
              </w14:textOutline>
            </w:rPr>
            <w:tab/>
          </w:r>
          <w:r>
            <w:rPr>
              <w:spacing w:val="-47"/>
            </w:rPr>
            <w:t xml:space="preserve"> </w:t>
          </w:r>
          <w:hyperlink w:anchor="bookmark35" w:history="1"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13</w:t>
            </w:r>
          </w:hyperlink>
        </w:p>
      </w:sdtContent>
    </w:sdt>
    <w:p>
      <w:pPr>
        <w:spacing w:line="217" w:lineRule="auto"/>
        <w:sectPr>
          <w:headerReference w:type="default" r:id="rId12"/>
          <w:footerReference w:type="default" r:id="rId13"/>
          <w:type w:val="nextPage"/>
          <w:pgSz w:w="11907" w:h="16839"/>
          <w:pgMar w:top="943" w:right="820" w:bottom="743" w:left="821" w:header="289" w:footer="220" w:gutter="0"/>
          <w:pgNumType w:start="6"/>
          <w:cols w:space="708"/>
          <w:titlePg w:val="0"/>
        </w:sectPr>
      </w:pPr>
    </w:p>
    <w:p>
      <w:pPr>
        <w:spacing w:line="420" w:lineRule="auto"/>
        <w:rPr>
          <w:rFonts w:ascii="Arial"/>
          <w:sz w:val="21"/>
        </w:rPr>
      </w:pPr>
      <w:r>
        <w:pict>
          <v:shape id="_x0000_s1029" style="width:510.35pt;height:0.5pt;margin-top:214.58pt;margin-left:42.6pt;mso-position-horizontal-relative:page;mso-position-vertical-relative:page;position:absolute;z-index:251667456" coordorigin="0,0" coordsize="10207,10" o:allowincell="f" path="m,9l10206,9l10206,l,l,9xe" filled="t" fillcolor="#c1002c" stroked="f"/>
        </w:pict>
      </w:r>
      <w:r>
        <w:pict>
          <v:shape id="_x0000_s1030" style="width:510.35pt;height:0.5pt;margin-top:234.98pt;margin-left:42.6pt;mso-position-horizontal-relative:page;mso-position-vertical-relative:page;position:absolute;z-index:251666432" coordorigin="0,0" coordsize="10207,10" o:allowincell="f" path="m,9l10206,9l10206,l,l,9xe" filled="t" fillcolor="#c1002c" stroked="f"/>
        </w:pict>
      </w:r>
      <w:r>
        <w:pict>
          <v:shape id="_x0000_s1031" style="width:510.35pt;height:0.5pt;margin-top:439.49pt;margin-left:42.6pt;mso-position-horizontal-relative:page;mso-position-vertical-relative:page;position:absolute;z-index:251665408" coordorigin="0,0" coordsize="10207,10" o:allowincell="f" path="m,9l10206,9l10206,l,l,9xe" filled="t" fillcolor="#c1002c" stroked="f"/>
        </w:pic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1446961</wp:posOffset>
            </wp:positionH>
            <wp:positionV relativeFrom="page">
              <wp:posOffset>3595141</wp:posOffset>
            </wp:positionV>
            <wp:extent cx="4622925" cy="1687099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22925" cy="16870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2" style="width:377.85pt;height:147pt;margin-top:269.19pt;margin-left:107.1pt;mso-position-horizontal-relative:page;mso-position-vertical-relative:page;position:absolute;z-index:251664384" coordorigin="0,0" coordsize="7557,2940" o:allowincell="f" filled="f" stroked="f">
            <v:shape id="_x0000_s1033" style="width:7557;height:2940;position:absolute" coordorigin="0,0" coordsize="7557,2940" path="m7551,2934l7551,4m7491,2934l7551,2934m7491,2517l7551,2517m7491,2098l7551,2098m7491,1679l7551,1679m7491,1260l7551,1260m7491,840l7551,840m7491,424l7551,424m7491,4l7551,4m4,2934l4,4m4,2934l64,2934m4,2517l64,2517m4,2098l64,2098m4,1679l64,1679m4,1260l64,1260m4,840l64,840m4,424l64,424m4,4l64,4m4,2934l7551,2934e" filled="f" strokecolor="black" strokeweight="0.48pt"/>
            <v:shape id="_x0000_s1034" style="width:7149;height:1860;left:203;position:absolute;top:229" coordorigin="0,0" coordsize="7149,1860" path="m22,128l466,22l910,1119l1354,1278l1797,271l2241,868l2685,1795l3129,1254l3572,1246l4019,719l4462,1498l4906,1383l5350,1448l5794,1836l6237,1565l6681,1728l7125,633e" filled="f" strokecolor="#bdd7ee" strokeweight="2.28pt">
              <v:stroke endcap="round"/>
            </v:shape>
          </v:group>
        </w:pict>
      </w:r>
    </w:p>
    <w:p>
      <w:pPr>
        <w:pStyle w:val="BodyText"/>
        <w:spacing w:before="91" w:line="213" w:lineRule="auto"/>
        <w:ind w:left="2603"/>
        <w:outlineLvl w:val="0"/>
        <w:rPr>
          <w:sz w:val="28"/>
          <w:szCs w:val="28"/>
        </w:rPr>
      </w:pPr>
      <w:bookmarkStart w:id="0" w:name="bookmark1"/>
      <w:bookmarkEnd w:id="0"/>
      <w:bookmarkStart w:id="1" w:name="bookmark2"/>
      <w:bookmarkEnd w:id="1"/>
      <w:r>
        <w:rPr>
          <w:rFonts w:ascii="Arial" w:eastAsia="Arial" w:hAnsi="Arial" w:cs="Arial"/>
          <w:b/>
          <w:bCs/>
          <w:spacing w:val="-6"/>
          <w:sz w:val="28"/>
          <w:szCs w:val="28"/>
        </w:rPr>
        <w:t>1.</w:t>
      </w:r>
      <w:r>
        <w:rPr>
          <w:rFonts w:ascii="Arial" w:eastAsia="Arial" w:hAnsi="Arial" w:cs="Arial"/>
          <w:b/>
          <w:bCs/>
          <w:spacing w:val="29"/>
          <w:sz w:val="28"/>
          <w:szCs w:val="28"/>
        </w:rPr>
        <w:t xml:space="preserve">  </w:t>
      </w:r>
      <w:r>
        <w:rPr>
          <w:spacing w:val="-6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复盘历史汽车报废，“补贴+行政”双</w:t>
      </w:r>
      <w:r>
        <w:rPr>
          <w:spacing w:val="-7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拳出击效果更佳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68" w:line="359" w:lineRule="auto"/>
        <w:ind w:left="2588" w:right="105" w:firstLine="422"/>
      </w:pPr>
      <w:r>
        <w:rPr>
          <w:spacing w:val="5"/>
          <w14:textOutline w14:w="3831">
            <w14:solidFill>
              <w14:srgbClr w14:val="000000"/>
            </w14:solidFill>
            <w14:prstDash w14:val="solid"/>
            <w14:round/>
          </w14:textOutline>
        </w:rPr>
        <w:t>对汽车报废以及整治黄标车一直是国家重要的任务，主要分为三个阶段</w:t>
      </w:r>
      <w:r>
        <w:rPr>
          <w:spacing w:val="5"/>
        </w:rPr>
        <w:t>。1）</w:t>
      </w:r>
      <w:r>
        <w:t xml:space="preserve"> </w:t>
      </w:r>
      <w:r>
        <w:rPr>
          <w:spacing w:val="-6"/>
        </w:rPr>
        <w:t>2009-2010</w:t>
      </w:r>
      <w:r>
        <w:rPr>
          <w:spacing w:val="-44"/>
        </w:rPr>
        <w:t xml:space="preserve"> </w:t>
      </w:r>
      <w:r>
        <w:rPr>
          <w:spacing w:val="-6"/>
        </w:rPr>
        <w:t>年，</w:t>
      </w:r>
      <w:r>
        <w:rPr>
          <w:spacing w:val="-52"/>
        </w:rPr>
        <w:t xml:space="preserve"> </w:t>
      </w:r>
      <w:r>
        <w:rPr>
          <w:spacing w:val="-6"/>
        </w:rPr>
        <w:t>刺激汽车消费推出以旧换新政策；2）2013-2017</w:t>
      </w:r>
      <w:r>
        <w:rPr>
          <w:spacing w:val="-45"/>
        </w:rPr>
        <w:t xml:space="preserve"> </w:t>
      </w:r>
      <w:r>
        <w:rPr>
          <w:spacing w:val="-6"/>
        </w:rPr>
        <w:t>年，</w:t>
      </w:r>
      <w:r>
        <w:rPr>
          <w:spacing w:val="-26"/>
        </w:rPr>
        <w:t xml:space="preserve"> </w:t>
      </w:r>
      <w:r>
        <w:rPr>
          <w:spacing w:val="-6"/>
        </w:rPr>
        <w:t>国务院印发《大</w:t>
      </w:r>
      <w:r>
        <w:t xml:space="preserve"> </w:t>
      </w:r>
      <w:r>
        <w:rPr>
          <w:spacing w:val="-5"/>
        </w:rPr>
        <w:t>气污染防治行动计划》，其中对机动车要求加快淘汰黄标车和老旧车辆，</w:t>
      </w:r>
      <w:r>
        <w:rPr>
          <w:spacing w:val="-34"/>
        </w:rPr>
        <w:t xml:space="preserve"> </w:t>
      </w:r>
      <w:r>
        <w:rPr>
          <w:spacing w:val="-5"/>
        </w:rPr>
        <w:t>各</w:t>
      </w:r>
      <w:r>
        <w:rPr>
          <w:spacing w:val="-6"/>
        </w:rPr>
        <w:t>地方政府</w:t>
      </w:r>
      <w:r>
        <w:t xml:space="preserve"> </w:t>
      </w:r>
      <w:r>
        <w:rPr>
          <w:spacing w:val="-2"/>
        </w:rPr>
        <w:t>也配套推出相应政策；3）2019</w:t>
      </w:r>
      <w:r>
        <w:rPr>
          <w:spacing w:val="-40"/>
        </w:rPr>
        <w:t xml:space="preserve"> </w:t>
      </w:r>
      <w:r>
        <w:rPr>
          <w:spacing w:val="-2"/>
        </w:rPr>
        <w:t>年，发改委印发《进一步优化供给推动消费平稳增长</w:t>
      </w:r>
    </w:p>
    <w:p>
      <w:pPr>
        <w:pStyle w:val="BodyText"/>
        <w:spacing w:line="213" w:lineRule="auto"/>
        <w:ind w:left="2584"/>
      </w:pPr>
      <w:r>
        <w:rPr>
          <w:spacing w:val="-6"/>
        </w:rPr>
        <w:t>促进形成强大国内市场的实施方案（2019</w:t>
      </w:r>
      <w:r>
        <w:rPr>
          <w:spacing w:val="-40"/>
        </w:rPr>
        <w:t xml:space="preserve"> </w:t>
      </w:r>
      <w:r>
        <w:rPr>
          <w:spacing w:val="-6"/>
        </w:rPr>
        <w:t>年）》，提出多措并举促进汽车消费。</w:t>
      </w: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61" w:line="228" w:lineRule="auto"/>
        <w:ind w:left="198"/>
        <w:rPr>
          <w:sz w:val="19"/>
          <w:szCs w:val="19"/>
        </w:rPr>
      </w:pPr>
      <w:r>
        <w:rPr>
          <w:spacing w:val="7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图表</w:t>
      </w:r>
      <w:r>
        <w:rPr>
          <w:rFonts w:ascii="Arial" w:eastAsia="Arial" w:hAnsi="Arial" w:cs="Arial"/>
          <w:b/>
          <w:bCs/>
          <w:spacing w:val="7"/>
          <w:sz w:val="19"/>
          <w:szCs w:val="19"/>
        </w:rPr>
        <w:t>1</w:t>
      </w:r>
      <w:r>
        <w:rPr>
          <w:spacing w:val="7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：历史车辆报废量情况</w:t>
      </w:r>
    </w:p>
    <w:p>
      <w:pPr>
        <w:spacing w:before="17"/>
      </w:pPr>
    </w:p>
    <w:tbl>
      <w:tblPr>
        <w:tblStyle w:val="TableNormal1"/>
        <w:tblW w:w="8651" w:type="dxa"/>
        <w:tblInd w:w="80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04"/>
        <w:gridCol w:w="7750"/>
        <w:gridCol w:w="497"/>
      </w:tblGrid>
      <w:tr>
        <w:tblPrEx>
          <w:tblW w:w="8651" w:type="dxa"/>
          <w:tblInd w:w="80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7"/>
        </w:trPr>
        <w:tc>
          <w:tcPr>
            <w:tcW w:w="4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50" w:type="dxa"/>
            <w:vAlign w:val="top"/>
          </w:tcPr>
          <w:p>
            <w:pPr>
              <w:pStyle w:val="TableText"/>
              <w:ind w:left="2102"/>
              <w:rPr>
                <w:sz w:val="19"/>
                <w:szCs w:val="19"/>
              </w:rPr>
            </w:pPr>
            <w:r>
              <w:rPr>
                <w:position w:val="1"/>
                <w:sz w:val="19"/>
                <w:szCs w:val="19"/>
              </w:rPr>
              <w:drawing>
                <wp:inline distT="0" distB="0" distL="0" distR="0">
                  <wp:extent cx="243709" cy="62372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09" cy="62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9"/>
                <w:sz w:val="19"/>
                <w:szCs w:val="19"/>
              </w:rPr>
              <w:t xml:space="preserve"> </w:t>
            </w:r>
            <w:r>
              <w:rPr>
                <w:spacing w:val="8"/>
                <w:sz w:val="19"/>
                <w:szCs w:val="19"/>
              </w:rPr>
              <w:t>报废量（万辆）</w:t>
            </w:r>
            <w:r>
              <w:rPr>
                <w:spacing w:val="43"/>
                <w:sz w:val="19"/>
                <w:szCs w:val="19"/>
              </w:rPr>
              <w:t xml:space="preserve">  </w:t>
            </w:r>
            <w:r>
              <w:rPr>
                <w:position w:val="4"/>
                <w:sz w:val="19"/>
                <w:szCs w:val="19"/>
              </w:rPr>
              <w:drawing>
                <wp:inline distT="0" distB="0" distL="0" distR="0">
                  <wp:extent cx="272649" cy="28904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649" cy="28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72"/>
                <w:sz w:val="19"/>
                <w:szCs w:val="19"/>
              </w:rPr>
              <w:t xml:space="preserve"> </w:t>
            </w:r>
            <w:r>
              <w:rPr>
                <w:spacing w:val="8"/>
                <w:sz w:val="19"/>
                <w:szCs w:val="19"/>
              </w:rPr>
              <w:t>报废率（</w:t>
            </w:r>
            <w:r>
              <w:rPr>
                <w:rFonts w:ascii="Times New Roman" w:eastAsia="Times New Roman" w:hAnsi="Times New Roman" w:cs="Times New Roman"/>
                <w:spacing w:val="8"/>
                <w:sz w:val="19"/>
                <w:szCs w:val="19"/>
              </w:rPr>
              <w:t>%</w:t>
            </w:r>
            <w:r>
              <w:rPr>
                <w:spacing w:val="8"/>
                <w:sz w:val="19"/>
                <w:szCs w:val="19"/>
              </w:rPr>
              <w:t>）</w:t>
            </w:r>
          </w:p>
        </w:tc>
        <w:tc>
          <w:tcPr>
            <w:tcW w:w="4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651" w:type="dxa"/>
          <w:tblInd w:w="807" w:type="dxa"/>
          <w:tblLayout w:type="fixed"/>
        </w:tblPrEx>
        <w:trPr>
          <w:trHeight w:val="383"/>
        </w:trPr>
        <w:tc>
          <w:tcPr>
            <w:tcW w:w="404" w:type="dxa"/>
            <w:vAlign w:val="top"/>
          </w:tcPr>
          <w:p>
            <w:pPr>
              <w:spacing w:before="103" w:line="193" w:lineRule="auto"/>
              <w:ind w:left="4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700</w:t>
            </w:r>
          </w:p>
        </w:tc>
        <w:tc>
          <w:tcPr>
            <w:tcW w:w="77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spacing w:before="103" w:line="193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3.5%</w:t>
            </w:r>
          </w:p>
        </w:tc>
      </w:tr>
      <w:tr>
        <w:tblPrEx>
          <w:tblW w:w="8651" w:type="dxa"/>
          <w:tblInd w:w="807" w:type="dxa"/>
          <w:tblLayout w:type="fixed"/>
        </w:tblPrEx>
        <w:trPr>
          <w:trHeight w:val="419"/>
        </w:trPr>
        <w:tc>
          <w:tcPr>
            <w:tcW w:w="404" w:type="dxa"/>
            <w:vAlign w:val="top"/>
          </w:tcPr>
          <w:p>
            <w:pPr>
              <w:spacing w:before="139" w:line="193" w:lineRule="auto"/>
              <w:ind w:left="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600</w:t>
            </w:r>
          </w:p>
        </w:tc>
        <w:tc>
          <w:tcPr>
            <w:tcW w:w="77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spacing w:before="139" w:line="193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3.0%</w:t>
            </w:r>
          </w:p>
        </w:tc>
      </w:tr>
      <w:tr>
        <w:tblPrEx>
          <w:tblW w:w="8651" w:type="dxa"/>
          <w:tblInd w:w="807" w:type="dxa"/>
          <w:tblLayout w:type="fixed"/>
        </w:tblPrEx>
        <w:trPr>
          <w:trHeight w:val="419"/>
        </w:trPr>
        <w:tc>
          <w:tcPr>
            <w:tcW w:w="404" w:type="dxa"/>
            <w:vAlign w:val="top"/>
          </w:tcPr>
          <w:p>
            <w:pPr>
              <w:spacing w:before="139" w:line="193" w:lineRule="auto"/>
              <w:ind w:left="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500</w:t>
            </w:r>
          </w:p>
        </w:tc>
        <w:tc>
          <w:tcPr>
            <w:tcW w:w="77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spacing w:before="139" w:line="193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2.5%</w:t>
            </w:r>
          </w:p>
        </w:tc>
      </w:tr>
      <w:tr>
        <w:tblPrEx>
          <w:tblW w:w="8651" w:type="dxa"/>
          <w:tblInd w:w="807" w:type="dxa"/>
          <w:tblLayout w:type="fixed"/>
        </w:tblPrEx>
        <w:trPr>
          <w:trHeight w:val="419"/>
        </w:trPr>
        <w:tc>
          <w:tcPr>
            <w:tcW w:w="404" w:type="dxa"/>
            <w:vAlign w:val="top"/>
          </w:tcPr>
          <w:p>
            <w:pPr>
              <w:spacing w:before="139" w:line="193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400</w:t>
            </w:r>
          </w:p>
        </w:tc>
        <w:tc>
          <w:tcPr>
            <w:tcW w:w="77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spacing w:before="139" w:line="193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2.0%</w:t>
            </w:r>
          </w:p>
        </w:tc>
      </w:tr>
      <w:tr>
        <w:tblPrEx>
          <w:tblW w:w="8651" w:type="dxa"/>
          <w:tblInd w:w="807" w:type="dxa"/>
          <w:tblLayout w:type="fixed"/>
        </w:tblPrEx>
        <w:trPr>
          <w:trHeight w:val="419"/>
        </w:trPr>
        <w:tc>
          <w:tcPr>
            <w:tcW w:w="404" w:type="dxa"/>
            <w:vAlign w:val="top"/>
          </w:tcPr>
          <w:p>
            <w:pPr>
              <w:spacing w:before="139" w:line="193" w:lineRule="auto"/>
              <w:ind w:left="4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300</w:t>
            </w:r>
          </w:p>
        </w:tc>
        <w:tc>
          <w:tcPr>
            <w:tcW w:w="77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spacing w:before="139" w:line="193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1.5%</w:t>
            </w:r>
          </w:p>
        </w:tc>
      </w:tr>
      <w:tr>
        <w:tblPrEx>
          <w:tblW w:w="8651" w:type="dxa"/>
          <w:tblInd w:w="807" w:type="dxa"/>
          <w:tblLayout w:type="fixed"/>
        </w:tblPrEx>
        <w:trPr>
          <w:trHeight w:val="419"/>
        </w:trPr>
        <w:tc>
          <w:tcPr>
            <w:tcW w:w="404" w:type="dxa"/>
            <w:vAlign w:val="top"/>
          </w:tcPr>
          <w:p>
            <w:pPr>
              <w:spacing w:before="139" w:line="193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200</w:t>
            </w:r>
          </w:p>
        </w:tc>
        <w:tc>
          <w:tcPr>
            <w:tcW w:w="77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spacing w:before="139" w:line="193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1.0%</w:t>
            </w:r>
          </w:p>
        </w:tc>
      </w:tr>
      <w:tr>
        <w:tblPrEx>
          <w:tblW w:w="8651" w:type="dxa"/>
          <w:tblInd w:w="807" w:type="dxa"/>
          <w:tblLayout w:type="fixed"/>
        </w:tblPrEx>
        <w:trPr>
          <w:trHeight w:val="419"/>
        </w:trPr>
        <w:tc>
          <w:tcPr>
            <w:tcW w:w="404" w:type="dxa"/>
            <w:vAlign w:val="top"/>
          </w:tcPr>
          <w:p>
            <w:pPr>
              <w:spacing w:before="139" w:line="193" w:lineRule="auto"/>
              <w:ind w:left="2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100</w:t>
            </w:r>
          </w:p>
        </w:tc>
        <w:tc>
          <w:tcPr>
            <w:tcW w:w="77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spacing w:before="139" w:line="193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9"/>
                <w:szCs w:val="19"/>
              </w:rPr>
              <w:t>0.5%</w:t>
            </w:r>
          </w:p>
        </w:tc>
      </w:tr>
      <w:tr>
        <w:tblPrEx>
          <w:tblW w:w="8651" w:type="dxa"/>
          <w:tblInd w:w="807" w:type="dxa"/>
          <w:tblLayout w:type="fixed"/>
        </w:tblPrEx>
        <w:trPr>
          <w:trHeight w:val="327"/>
        </w:trPr>
        <w:tc>
          <w:tcPr>
            <w:tcW w:w="404" w:type="dxa"/>
            <w:vAlign w:val="top"/>
          </w:tcPr>
          <w:p>
            <w:pPr>
              <w:spacing w:before="139" w:line="193" w:lineRule="auto"/>
              <w:ind w:left="204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</w:t>
            </w:r>
          </w:p>
        </w:tc>
        <w:tc>
          <w:tcPr>
            <w:tcW w:w="77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7" w:type="dxa"/>
            <w:vAlign w:val="top"/>
          </w:tcPr>
          <w:p>
            <w:pPr>
              <w:spacing w:before="139" w:line="193" w:lineRule="auto"/>
              <w:jc w:val="right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0.0%</w:t>
            </w:r>
          </w:p>
        </w:tc>
      </w:tr>
      <w:tr>
        <w:tblPrEx>
          <w:tblW w:w="8651" w:type="dxa"/>
          <w:tblInd w:w="807" w:type="dxa"/>
          <w:tblLayout w:type="fixed"/>
        </w:tblPrEx>
        <w:trPr>
          <w:trHeight w:val="184"/>
        </w:trPr>
        <w:tc>
          <w:tcPr>
            <w:tcW w:w="404" w:type="dxa"/>
            <w:vAlign w:val="top"/>
          </w:tcPr>
          <w:p>
            <w:pPr>
              <w:spacing w:line="174" w:lineRule="exact"/>
              <w:rPr>
                <w:rFonts w:ascii="Arial"/>
                <w:sz w:val="15"/>
              </w:rPr>
            </w:pPr>
          </w:p>
        </w:tc>
        <w:tc>
          <w:tcPr>
            <w:tcW w:w="7750" w:type="dxa"/>
            <w:vAlign w:val="top"/>
          </w:tcPr>
          <w:p>
            <w:pPr>
              <w:spacing w:before="47" w:line="127" w:lineRule="exact"/>
              <w:ind w:left="139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4"/>
                <w:position w:val="-2"/>
                <w:sz w:val="19"/>
                <w:szCs w:val="19"/>
              </w:rPr>
              <w:t>2006 2007 2008 2009 2010 2</w:t>
            </w:r>
            <w:r>
              <w:rPr>
                <w:rFonts w:ascii="Times New Roman" w:eastAsia="Times New Roman" w:hAnsi="Times New Roman" w:cs="Times New Roman"/>
                <w:spacing w:val="3"/>
                <w:position w:val="-2"/>
                <w:sz w:val="19"/>
                <w:szCs w:val="19"/>
              </w:rPr>
              <w:t>011 2012 2013 2014 2015 2016 2017 2018 2019 2020 2021 2022</w:t>
            </w:r>
          </w:p>
        </w:tc>
        <w:tc>
          <w:tcPr>
            <w:tcW w:w="497" w:type="dxa"/>
            <w:vAlign w:val="top"/>
          </w:tcPr>
          <w:p>
            <w:pPr>
              <w:spacing w:line="174" w:lineRule="exact"/>
              <w:rPr>
                <w:rFonts w:ascii="Arial"/>
                <w:sz w:val="15"/>
              </w:rPr>
            </w:pPr>
          </w:p>
        </w:tc>
      </w:tr>
    </w:tbl>
    <w:p>
      <w:pPr>
        <w:pStyle w:val="BodyText"/>
        <w:spacing w:before="201" w:line="214" w:lineRule="auto"/>
        <w:ind w:left="147"/>
        <w:rPr>
          <w:sz w:val="15"/>
          <w:szCs w:val="15"/>
        </w:rPr>
      </w:pPr>
      <w:r>
        <w:rPr>
          <w:spacing w:val="-8"/>
          <w:sz w:val="15"/>
          <w:szCs w:val="15"/>
        </w:rPr>
        <w:t>资料来源：</w:t>
      </w:r>
      <w:r>
        <w:rPr>
          <w:spacing w:val="-8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国家统计局，</w:t>
      </w:r>
      <w:r>
        <w:rPr>
          <w:spacing w:val="-8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中汽协，</w:t>
      </w:r>
      <w:r>
        <w:rPr>
          <w:spacing w:val="-5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Wind，国联证券研究所</w:t>
      </w: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79" w:line="217" w:lineRule="auto"/>
        <w:ind w:left="3021"/>
        <w:outlineLvl w:val="1"/>
        <w:rPr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1.1</w:t>
      </w:r>
      <w:r>
        <w:rPr>
          <w:rFonts w:ascii="Arial" w:eastAsia="Arial" w:hAnsi="Arial" w:cs="Arial"/>
          <w:b/>
          <w:bCs/>
          <w:spacing w:val="18"/>
          <w:w w:val="101"/>
          <w:sz w:val="24"/>
          <w:szCs w:val="24"/>
        </w:rPr>
        <w:t xml:space="preserve"> </w:t>
      </w:r>
      <w:r>
        <w:rPr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《汽车以旧换新实施办法》有效拉动汽车消费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68" w:line="360" w:lineRule="auto"/>
        <w:ind w:left="2607" w:right="107" w:firstLine="432"/>
        <w:jc w:val="both"/>
      </w:pPr>
      <w:r>
        <w:rPr>
          <w:spacing w:val="-10"/>
          <w14:textOutline w14:w="3831">
            <w14:solidFill>
              <w14:srgbClr w14:val="000000"/>
            </w14:solidFill>
            <w14:prstDash w14:val="solid"/>
            <w14:round/>
          </w14:textOutline>
        </w:rPr>
        <w:t>以旧换新政策：</w:t>
      </w:r>
      <w:r>
        <w:rPr>
          <w:spacing w:val="26"/>
        </w:rPr>
        <w:t xml:space="preserve"> </w:t>
      </w:r>
      <w:r>
        <w:rPr>
          <w:spacing w:val="-10"/>
        </w:rPr>
        <w:t>2009</w:t>
      </w:r>
      <w:r>
        <w:rPr>
          <w:spacing w:val="-44"/>
        </w:rPr>
        <w:t xml:space="preserve"> </w:t>
      </w:r>
      <w:r>
        <w:rPr>
          <w:spacing w:val="-10"/>
        </w:rPr>
        <w:t>年</w:t>
      </w:r>
      <w:r>
        <w:rPr>
          <w:spacing w:val="-45"/>
        </w:rPr>
        <w:t xml:space="preserve"> </w:t>
      </w:r>
      <w:r>
        <w:rPr>
          <w:spacing w:val="-10"/>
        </w:rPr>
        <w:t>7</w:t>
      </w:r>
      <w:r>
        <w:rPr>
          <w:spacing w:val="-36"/>
        </w:rPr>
        <w:t xml:space="preserve"> </w:t>
      </w:r>
      <w:r>
        <w:rPr>
          <w:spacing w:val="-10"/>
        </w:rPr>
        <w:t>月</w:t>
      </w:r>
      <w:r>
        <w:rPr>
          <w:spacing w:val="-33"/>
        </w:rPr>
        <w:t xml:space="preserve"> </w:t>
      </w:r>
      <w:r>
        <w:rPr>
          <w:spacing w:val="-10"/>
        </w:rPr>
        <w:t>13</w:t>
      </w:r>
      <w:r>
        <w:rPr>
          <w:spacing w:val="-10"/>
        </w:rPr>
        <w:t xml:space="preserve"> </w:t>
      </w:r>
      <w:r>
        <w:rPr>
          <w:spacing w:val="-10"/>
        </w:rPr>
        <w:t>日，</w:t>
      </w:r>
      <w:r>
        <w:rPr>
          <w:spacing w:val="-63"/>
        </w:rPr>
        <w:t xml:space="preserve"> </w:t>
      </w:r>
      <w:r>
        <w:rPr>
          <w:spacing w:val="-10"/>
        </w:rPr>
        <w:t>财政部、商务部等九部委联合发文《汽车以</w:t>
      </w:r>
      <w:r>
        <w:t xml:space="preserve"> </w:t>
      </w:r>
      <w:r>
        <w:rPr>
          <w:spacing w:val="-8"/>
        </w:rPr>
        <w:t>旧换新实施办法》，鼓励提前报废老旧汽车、“黄标车”并换购新车。2010</w:t>
      </w:r>
      <w:r>
        <w:rPr>
          <w:spacing w:val="-32"/>
        </w:rPr>
        <w:t xml:space="preserve"> </w:t>
      </w:r>
      <w:r>
        <w:rPr>
          <w:spacing w:val="-8"/>
        </w:rPr>
        <w:t>年</w:t>
      </w:r>
      <w:r>
        <w:rPr>
          <w:spacing w:val="-33"/>
        </w:rPr>
        <w:t xml:space="preserve"> </w:t>
      </w:r>
      <w:r>
        <w:rPr>
          <w:spacing w:val="-8"/>
        </w:rPr>
        <w:t>1</w:t>
      </w:r>
      <w:r>
        <w:rPr>
          <w:spacing w:val="-36"/>
        </w:rPr>
        <w:t xml:space="preserve"> </w:t>
      </w:r>
      <w:r>
        <w:rPr>
          <w:spacing w:val="-8"/>
        </w:rPr>
        <w:t>月</w:t>
      </w:r>
      <w:r>
        <w:rPr>
          <w:spacing w:val="-33"/>
        </w:rPr>
        <w:t xml:space="preserve"> </w:t>
      </w:r>
      <w:r>
        <w:rPr>
          <w:spacing w:val="-8"/>
        </w:rPr>
        <w:t>15</w:t>
      </w:r>
    </w:p>
    <w:p>
      <w:pPr>
        <w:pStyle w:val="BodyText"/>
        <w:spacing w:line="213" w:lineRule="auto"/>
        <w:ind w:left="2634"/>
      </w:pPr>
      <w:r>
        <w:rPr>
          <w:spacing w:val="-5"/>
        </w:rPr>
        <w:t>日，财政部上调单车补贴金额。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69" w:line="408" w:lineRule="exact"/>
        <w:ind w:left="3022"/>
      </w:pPr>
      <w:r>
        <w:rPr>
          <w:spacing w:val="-4"/>
          <w:position w:val="15"/>
          <w14:textOutline w14:w="3831">
            <w14:solidFill>
              <w14:srgbClr w14:val="000000"/>
            </w14:solidFill>
            <w14:prstDash w14:val="solid"/>
            <w14:round/>
          </w14:textOutline>
        </w:rPr>
        <w:t>定义：</w:t>
      </w:r>
      <w:r>
        <w:rPr>
          <w:spacing w:val="-4"/>
          <w:position w:val="15"/>
        </w:rPr>
        <w:t>“黄标车”是指污染物排放达不到国Ⅰ标准的汽油车和达不到国Ⅲ标准的</w:t>
      </w:r>
    </w:p>
    <w:p>
      <w:pPr>
        <w:pStyle w:val="BodyText"/>
        <w:spacing w:line="214" w:lineRule="auto"/>
        <w:ind w:left="2600"/>
      </w:pPr>
      <w:r>
        <w:rPr>
          <w:spacing w:val="-4"/>
        </w:rPr>
        <w:t>柴油车。老旧汽车、“黄标车”和新车均不包括三轮汽车、低速货车。</w:t>
      </w:r>
    </w:p>
    <w:p>
      <w:pPr>
        <w:spacing w:line="251" w:lineRule="auto"/>
        <w:rPr>
          <w:rFonts w:ascii="Arial"/>
          <w:sz w:val="21"/>
        </w:rPr>
        <w:sectPr>
          <w:headerReference w:type="default" r:id="rId17"/>
          <w:footerReference w:type="default" r:id="rId18"/>
          <w:pgSz w:w="11907" w:h="16839"/>
          <w:pgMar w:top="943" w:right="737" w:bottom="743" w:left="821" w:header="289" w:footer="220" w:gutter="0"/>
          <w:pgNumType w:start="7"/>
          <w:cols w:space="708"/>
        </w:sectPr>
      </w:pPr>
    </w:p>
    <w:p>
      <w:pPr>
        <w:pStyle w:val="BodyText"/>
        <w:spacing w:before="69" w:line="359" w:lineRule="auto"/>
        <w:ind w:left="2584" w:firstLine="429"/>
        <w:jc w:val="both"/>
      </w:pPr>
      <w:r>
        <w:rPr>
          <w:spacing w:val="-10"/>
          <w14:textOutline w14:w="3831">
            <w14:solidFill>
              <w14:srgbClr w14:val="000000"/>
            </w14:solidFill>
            <w14:prstDash w14:val="solid"/>
            <w14:round/>
          </w14:textOutline>
        </w:rPr>
        <w:t>补贴范围包括：</w:t>
      </w:r>
      <w:r>
        <w:rPr>
          <w:spacing w:val="34"/>
        </w:rPr>
        <w:t xml:space="preserve"> </w:t>
      </w:r>
      <w:r>
        <w:rPr>
          <w:spacing w:val="-10"/>
        </w:rPr>
        <w:t>在</w:t>
      </w:r>
      <w:r>
        <w:rPr>
          <w:spacing w:val="-48"/>
        </w:rPr>
        <w:t xml:space="preserve"> </w:t>
      </w:r>
      <w:r>
        <w:rPr>
          <w:spacing w:val="-10"/>
        </w:rPr>
        <w:t>2009</w:t>
      </w:r>
      <w:r>
        <w:rPr>
          <w:spacing w:val="-45"/>
        </w:rPr>
        <w:t xml:space="preserve"> </w:t>
      </w:r>
      <w:r>
        <w:rPr>
          <w:spacing w:val="-10"/>
        </w:rPr>
        <w:t>年</w:t>
      </w:r>
      <w:r>
        <w:rPr>
          <w:spacing w:val="-45"/>
        </w:rPr>
        <w:t xml:space="preserve"> </w:t>
      </w:r>
      <w:r>
        <w:rPr>
          <w:spacing w:val="-10"/>
        </w:rPr>
        <w:t>6</w:t>
      </w:r>
      <w:r>
        <w:rPr>
          <w:spacing w:val="-36"/>
        </w:rPr>
        <w:t xml:space="preserve"> </w:t>
      </w:r>
      <w:r>
        <w:rPr>
          <w:spacing w:val="-10"/>
        </w:rPr>
        <w:t>月</w:t>
      </w:r>
      <w:r>
        <w:rPr>
          <w:spacing w:val="-33"/>
        </w:rPr>
        <w:t xml:space="preserve"> </w:t>
      </w:r>
      <w:r>
        <w:rPr>
          <w:spacing w:val="-10"/>
        </w:rPr>
        <w:t>1</w:t>
      </w:r>
      <w:r>
        <w:rPr>
          <w:spacing w:val="-10"/>
        </w:rPr>
        <w:t xml:space="preserve"> </w:t>
      </w:r>
      <w:r>
        <w:rPr>
          <w:spacing w:val="-10"/>
        </w:rPr>
        <w:t>日-2010</w:t>
      </w:r>
      <w:r>
        <w:rPr>
          <w:spacing w:val="-44"/>
        </w:rPr>
        <w:t xml:space="preserve"> </w:t>
      </w:r>
      <w:r>
        <w:rPr>
          <w:spacing w:val="-10"/>
        </w:rPr>
        <w:t>年</w:t>
      </w:r>
      <w:r>
        <w:rPr>
          <w:spacing w:val="-51"/>
        </w:rPr>
        <w:t xml:space="preserve"> </w:t>
      </w:r>
      <w:r>
        <w:rPr>
          <w:spacing w:val="-10"/>
        </w:rPr>
        <w:t>5</w:t>
      </w:r>
      <w:r>
        <w:rPr>
          <w:spacing w:val="-34"/>
        </w:rPr>
        <w:t xml:space="preserve"> </w:t>
      </w:r>
      <w:r>
        <w:rPr>
          <w:spacing w:val="-10"/>
        </w:rPr>
        <w:t>月</w:t>
      </w:r>
      <w:r>
        <w:rPr>
          <w:spacing w:val="-46"/>
        </w:rPr>
        <w:t xml:space="preserve"> </w:t>
      </w:r>
      <w:r>
        <w:rPr>
          <w:spacing w:val="-10"/>
        </w:rPr>
        <w:t>31</w:t>
      </w:r>
      <w:r>
        <w:rPr>
          <w:spacing w:val="-10"/>
        </w:rPr>
        <w:t xml:space="preserve"> </w:t>
      </w:r>
      <w:r>
        <w:rPr>
          <w:spacing w:val="-10"/>
        </w:rPr>
        <w:t>日期间（2</w:t>
      </w:r>
      <w:r>
        <w:rPr>
          <w:spacing w:val="-11"/>
        </w:rPr>
        <w:t>010</w:t>
      </w:r>
      <w:r>
        <w:rPr>
          <w:spacing w:val="-43"/>
        </w:rPr>
        <w:t xml:space="preserve"> </w:t>
      </w:r>
      <w:r>
        <w:rPr>
          <w:spacing w:val="-11"/>
        </w:rPr>
        <w:t>年</w:t>
      </w:r>
      <w:r>
        <w:rPr>
          <w:spacing w:val="-48"/>
        </w:rPr>
        <w:t xml:space="preserve"> </w:t>
      </w:r>
      <w:r>
        <w:rPr>
          <w:spacing w:val="-11"/>
        </w:rPr>
        <w:t>6</w:t>
      </w:r>
      <w:r>
        <w:rPr>
          <w:spacing w:val="-34"/>
        </w:rPr>
        <w:t xml:space="preserve"> </w:t>
      </w:r>
      <w:r>
        <w:rPr>
          <w:spacing w:val="-11"/>
        </w:rPr>
        <w:t>月</w:t>
      </w:r>
      <w:r>
        <w:rPr>
          <w:spacing w:val="-45"/>
        </w:rPr>
        <w:t xml:space="preserve"> </w:t>
      </w:r>
      <w:r>
        <w:rPr>
          <w:spacing w:val="-11"/>
        </w:rPr>
        <w:t>25</w:t>
      </w:r>
      <w:r>
        <w:rPr>
          <w:spacing w:val="-11"/>
        </w:rPr>
        <w:t xml:space="preserve"> </w:t>
      </w:r>
      <w:r>
        <w:rPr>
          <w:spacing w:val="-11"/>
        </w:rPr>
        <w:t>日</w:t>
      </w:r>
      <w:r>
        <w:t xml:space="preserve">  </w:t>
      </w:r>
      <w:r>
        <w:rPr>
          <w:spacing w:val="-3"/>
        </w:rPr>
        <w:t>将截止时间延长至</w:t>
      </w:r>
      <w:r>
        <w:rPr>
          <w:spacing w:val="-45"/>
        </w:rPr>
        <w:t xml:space="preserve"> </w:t>
      </w:r>
      <w:r>
        <w:rPr>
          <w:spacing w:val="-3"/>
        </w:rPr>
        <w:t>2010</w:t>
      </w:r>
      <w:r>
        <w:rPr>
          <w:spacing w:val="-46"/>
        </w:rPr>
        <w:t xml:space="preserve"> </w:t>
      </w:r>
      <w:r>
        <w:rPr>
          <w:spacing w:val="-3"/>
        </w:rPr>
        <w:t>年</w:t>
      </w:r>
      <w:r>
        <w:rPr>
          <w:spacing w:val="-33"/>
        </w:rPr>
        <w:t xml:space="preserve"> </w:t>
      </w:r>
      <w:r>
        <w:rPr>
          <w:spacing w:val="-3"/>
        </w:rPr>
        <w:t>12</w:t>
      </w:r>
      <w:r>
        <w:rPr>
          <w:spacing w:val="-36"/>
        </w:rPr>
        <w:t xml:space="preserve"> </w:t>
      </w:r>
      <w:r>
        <w:rPr>
          <w:spacing w:val="-3"/>
        </w:rPr>
        <w:t>月</w:t>
      </w:r>
      <w:r>
        <w:rPr>
          <w:spacing w:val="-44"/>
        </w:rPr>
        <w:t xml:space="preserve"> </w:t>
      </w:r>
      <w:r>
        <w:rPr>
          <w:spacing w:val="-3"/>
        </w:rPr>
        <w:t>31</w:t>
      </w:r>
      <w:r>
        <w:rPr>
          <w:spacing w:val="-3"/>
        </w:rPr>
        <w:t xml:space="preserve"> </w:t>
      </w:r>
      <w:r>
        <w:rPr>
          <w:spacing w:val="-3"/>
        </w:rPr>
        <w:t>日）将符合下列条件的汽车交售给依法设立的指</w:t>
      </w:r>
      <w:r>
        <w:t xml:space="preserve">  </w:t>
      </w:r>
      <w:r>
        <w:rPr>
          <w:spacing w:val="-1"/>
        </w:rPr>
        <w:t>定报废汽车回收拆解企业，并换购新车的</w:t>
      </w:r>
      <w:r>
        <w:rPr>
          <w:spacing w:val="-57"/>
          <w:w w:val="97"/>
        </w:rPr>
        <w:t>：（</w:t>
      </w:r>
      <w:r>
        <w:rPr>
          <w:spacing w:val="-1"/>
        </w:rPr>
        <w:t>一）使用不到</w:t>
      </w:r>
      <w:r>
        <w:rPr>
          <w:spacing w:val="-1"/>
        </w:rPr>
        <w:t xml:space="preserve"> </w:t>
      </w:r>
      <w:r>
        <w:rPr>
          <w:spacing w:val="-1"/>
        </w:rPr>
        <w:t>8</w:t>
      </w:r>
      <w:r>
        <w:rPr>
          <w:spacing w:val="-1"/>
        </w:rPr>
        <w:t xml:space="preserve"> </w:t>
      </w:r>
      <w:r>
        <w:rPr>
          <w:spacing w:val="-1"/>
        </w:rPr>
        <w:t>年的老旧微型载货车，</w:t>
      </w:r>
      <w:r>
        <w:rPr>
          <w:spacing w:val="2"/>
        </w:rPr>
        <w:t xml:space="preserve"> </w:t>
      </w:r>
      <w:r>
        <w:rPr>
          <w:spacing w:val="-2"/>
        </w:rPr>
        <w:t>老旧中型出租载客车</w:t>
      </w:r>
      <w:r>
        <w:rPr>
          <w:spacing w:val="-46"/>
        </w:rPr>
        <w:t>；（</w:t>
      </w:r>
      <w:r>
        <w:rPr>
          <w:spacing w:val="-2"/>
        </w:rPr>
        <w:t>二）使用不到</w:t>
      </w:r>
      <w:r>
        <w:rPr>
          <w:spacing w:val="-31"/>
        </w:rPr>
        <w:t xml:space="preserve"> </w:t>
      </w:r>
      <w:r>
        <w:rPr>
          <w:spacing w:val="-2"/>
        </w:rPr>
        <w:t>12</w:t>
      </w:r>
      <w:r>
        <w:rPr>
          <w:spacing w:val="-46"/>
        </w:rPr>
        <w:t xml:space="preserve"> </w:t>
      </w:r>
      <w:r>
        <w:rPr>
          <w:spacing w:val="-2"/>
        </w:rPr>
        <w:t>年的老旧中、轻型载货车</w:t>
      </w:r>
      <w:r>
        <w:rPr>
          <w:spacing w:val="-46"/>
        </w:rPr>
        <w:t>；（</w:t>
      </w:r>
      <w:r>
        <w:rPr>
          <w:spacing w:val="-2"/>
        </w:rPr>
        <w:t>三）使用不到</w:t>
      </w:r>
      <w:r>
        <w:t xml:space="preserve">  </w:t>
      </w:r>
      <w:r>
        <w:t>12</w:t>
      </w:r>
      <w:r>
        <w:t xml:space="preserve"> </w:t>
      </w:r>
      <w:r>
        <w:t>年的老旧中型载客车（不含出租车</w:t>
      </w:r>
      <w:r>
        <w:rPr>
          <w:spacing w:val="-48"/>
          <w:w w:val="88"/>
        </w:rPr>
        <w:t>）；（</w:t>
      </w:r>
      <w:r>
        <w:t>四）</w:t>
      </w:r>
      <w:r>
        <w:t xml:space="preserve"> </w:t>
      </w:r>
      <w:r>
        <w:t>与“汽车报废标准规定使用年限表”</w:t>
      </w:r>
    </w:p>
    <w:p>
      <w:pPr>
        <w:pStyle w:val="BodyText"/>
        <w:spacing w:before="1" w:line="213" w:lineRule="auto"/>
        <w:ind w:left="2614"/>
      </w:pPr>
      <w:r>
        <w:rPr>
          <w:spacing w:val="-5"/>
        </w:rPr>
        <w:t>中规定的使用年限相比，</w:t>
      </w:r>
      <w:r>
        <w:rPr>
          <w:spacing w:val="-15"/>
        </w:rPr>
        <w:t xml:space="preserve"> </w:t>
      </w:r>
      <w:r>
        <w:rPr>
          <w:spacing w:val="-5"/>
        </w:rPr>
        <w:t>提前报废的各类“黄标车”。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68" w:line="359" w:lineRule="auto"/>
        <w:ind w:left="2617" w:right="107" w:firstLine="393"/>
        <w:jc w:val="both"/>
      </w:pP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和</w:t>
      </w:r>
      <w:r>
        <w:rPr>
          <w:spacing w:val="-39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2009</w:t>
      </w:r>
      <w:r>
        <w:rPr>
          <w:spacing w:val="-40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年的以旧换新政策相比，</w:t>
      </w:r>
      <w:r>
        <w:rPr>
          <w:spacing w:val="-7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2010</w:t>
      </w:r>
      <w:r>
        <w:rPr>
          <w:spacing w:val="-41"/>
        </w:rPr>
        <w:t xml:space="preserve"> 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年的政策主要有两方面的改变：</w:t>
      </w:r>
      <w:r>
        <w:rPr>
          <w:spacing w:val="59"/>
        </w:rPr>
        <w:t xml:space="preserve"> </w:t>
      </w:r>
      <w:r>
        <w:rPr>
          <w:spacing w:val="-7"/>
        </w:rPr>
        <w:t>1、上调</w:t>
      </w:r>
      <w:r>
        <w:t xml:space="preserve"> </w:t>
      </w:r>
      <w:r>
        <w:rPr>
          <w:spacing w:val="-1"/>
        </w:rPr>
        <w:t>了单车补贴额度；2、将轿车补贴金额分类细化，由原先的不分</w:t>
      </w:r>
      <w:r>
        <w:rPr>
          <w:spacing w:val="-2"/>
        </w:rPr>
        <w:t>排量，统一补贴单车</w:t>
      </w:r>
    </w:p>
    <w:p>
      <w:pPr>
        <w:pStyle w:val="BodyText"/>
        <w:spacing w:before="1" w:line="213" w:lineRule="auto"/>
        <w:ind w:left="2588"/>
      </w:pPr>
      <w:r>
        <w:rPr>
          <w:spacing w:val="-8"/>
        </w:rPr>
        <w:t>6000</w:t>
      </w:r>
      <w:r>
        <w:rPr>
          <w:spacing w:val="-9"/>
        </w:rPr>
        <w:t xml:space="preserve"> </w:t>
      </w:r>
      <w:r>
        <w:rPr>
          <w:spacing w:val="-8"/>
        </w:rPr>
        <w:t>元改为分排量补贴，1.35L</w:t>
      </w:r>
      <w:r>
        <w:rPr>
          <w:spacing w:val="-8"/>
        </w:rPr>
        <w:t xml:space="preserve"> </w:t>
      </w:r>
      <w:r>
        <w:rPr>
          <w:spacing w:val="-8"/>
        </w:rPr>
        <w:t>以上补贴</w:t>
      </w:r>
      <w:r>
        <w:rPr>
          <w:spacing w:val="-8"/>
        </w:rPr>
        <w:t xml:space="preserve"> </w:t>
      </w:r>
      <w:r>
        <w:rPr>
          <w:spacing w:val="-8"/>
        </w:rPr>
        <w:t>1.8</w:t>
      </w:r>
      <w:r>
        <w:rPr>
          <w:spacing w:val="-24"/>
        </w:rPr>
        <w:t xml:space="preserve"> </w:t>
      </w:r>
      <w:r>
        <w:rPr>
          <w:spacing w:val="-8"/>
        </w:rPr>
        <w:t>万/辆，</w:t>
      </w:r>
      <w:r>
        <w:rPr>
          <w:spacing w:val="-8"/>
        </w:rPr>
        <w:t xml:space="preserve"> </w:t>
      </w:r>
      <w:r>
        <w:rPr>
          <w:spacing w:val="-8"/>
        </w:rPr>
        <w:t>1-1.35L</w:t>
      </w:r>
      <w:r>
        <w:rPr>
          <w:spacing w:val="-31"/>
        </w:rPr>
        <w:t xml:space="preserve"> </w:t>
      </w:r>
      <w:r>
        <w:rPr>
          <w:spacing w:val="-8"/>
        </w:rPr>
        <w:t>补贴</w:t>
      </w:r>
      <w:r>
        <w:rPr>
          <w:spacing w:val="-8"/>
        </w:rPr>
        <w:t xml:space="preserve"> </w:t>
      </w:r>
      <w:r>
        <w:rPr>
          <w:spacing w:val="-8"/>
        </w:rPr>
        <w:t>1</w:t>
      </w:r>
      <w:r>
        <w:rPr>
          <w:spacing w:val="-27"/>
        </w:rPr>
        <w:t xml:space="preserve"> </w:t>
      </w:r>
      <w:r>
        <w:rPr>
          <w:spacing w:val="-8"/>
        </w:rPr>
        <w:t>万/辆，</w:t>
      </w:r>
      <w:r>
        <w:rPr>
          <w:spacing w:val="-8"/>
        </w:rPr>
        <w:t xml:space="preserve"> </w:t>
      </w:r>
      <w:r>
        <w:rPr>
          <w:spacing w:val="-8"/>
        </w:rPr>
        <w:t>1L</w:t>
      </w:r>
      <w:r>
        <w:rPr>
          <w:spacing w:val="-8"/>
        </w:rPr>
        <w:t xml:space="preserve"> </w:t>
      </w:r>
      <w:r>
        <w:rPr>
          <w:spacing w:val="-8"/>
        </w:rPr>
        <w:t>以</w:t>
      </w:r>
    </w:p>
    <w:p>
      <w:pPr>
        <w:spacing w:line="213" w:lineRule="auto"/>
        <w:sectPr>
          <w:headerReference w:type="default" r:id="rId19"/>
          <w:footerReference w:type="default" r:id="rId20"/>
          <w:type w:val="nextPage"/>
          <w:pgSz w:w="11907" w:h="16839"/>
          <w:pgMar w:top="943" w:right="737" w:bottom="743" w:left="821" w:header="289" w:footer="220" w:gutter="0"/>
          <w:pgNumType w:start="8"/>
          <w:cols w:space="708"/>
          <w:titlePg w:val="0"/>
        </w:sectPr>
      </w:pPr>
    </w:p>
    <w:p>
      <w:pPr>
        <w:spacing w:line="434" w:lineRule="auto"/>
        <w:rPr>
          <w:rFonts w:ascii="Arial"/>
          <w:sz w:val="21"/>
        </w:rPr>
      </w:pPr>
      <w:r>
        <w:pict>
          <v:shape id="_x0000_s1035" style="width:248.1pt;height:0.5pt;margin-top:542.23pt;margin-left:42.6pt;mso-position-horizontal-relative:page;mso-position-vertical-relative:page;position:absolute;z-index:251673600" coordorigin="0,0" coordsize="4962,10" o:allowincell="f" path="m,9l4961,9l4961,l,l,9xe" filled="t" fillcolor="#c1002c" stroked="f"/>
        </w:pict>
      </w:r>
      <w:r>
        <w:pict>
          <v:shape id="_x0000_s1036" style="width:248.1pt;height:0.5pt;margin-top:562.63pt;margin-left:42.6pt;mso-position-horizontal-relative:page;mso-position-vertical-relative:page;position:absolute;z-index:251672576" coordorigin="0,0" coordsize="4962,10" o:allowincell="f" path="m,9l4961,9l4961,l,l,9xe" filled="t" fillcolor="#c1002c" stroked="f"/>
        </w:pict>
      </w:r>
      <w:r>
        <w:pict>
          <v:shape id="_x0000_s1037" style="width:248.1pt;height:0.5pt;margin-top:707.74pt;margin-left:42.6pt;mso-position-horizontal-relative:page;mso-position-vertical-relative:page;position:absolute;z-index:251671552" coordorigin="0,0" coordsize="4962,10" o:allowincell="f" path="m,9l4961,9l4961,l,l,9xe" filled="t" fillcolor="#c1002c" stroked="f"/>
        </w:pict>
      </w:r>
    </w:p>
    <w:p>
      <w:pPr>
        <w:pStyle w:val="BodyText"/>
        <w:spacing w:before="68" w:line="213" w:lineRule="auto"/>
        <w:ind w:left="2596"/>
      </w:pPr>
      <w:r>
        <w:rPr>
          <w:spacing w:val="-3"/>
        </w:rPr>
        <w:t>下补贴额度不变，仍为</w:t>
      </w:r>
      <w:r>
        <w:rPr>
          <w:spacing w:val="-43"/>
        </w:rPr>
        <w:t xml:space="preserve"> </w:t>
      </w:r>
      <w:r>
        <w:rPr>
          <w:spacing w:val="-3"/>
        </w:rPr>
        <w:t>6000</w:t>
      </w:r>
      <w:r>
        <w:rPr>
          <w:spacing w:val="-34"/>
        </w:rPr>
        <w:t xml:space="preserve"> </w:t>
      </w:r>
      <w:r>
        <w:rPr>
          <w:spacing w:val="-3"/>
        </w:rPr>
        <w:t>元。</w:t>
      </w:r>
    </w:p>
    <w:p>
      <w:pPr>
        <w:spacing w:before="50"/>
      </w:pPr>
    </w:p>
    <w:tbl>
      <w:tblPr>
        <w:tblStyle w:val="TableNormal2"/>
        <w:tblW w:w="10346" w:type="dxa"/>
        <w:tblInd w:w="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688"/>
        <w:gridCol w:w="1985"/>
        <w:gridCol w:w="1844"/>
        <w:gridCol w:w="1985"/>
        <w:gridCol w:w="1844"/>
      </w:tblGrid>
      <w:tr>
        <w:tblPrEx>
          <w:tblW w:w="10346" w:type="dxa"/>
          <w:tblInd w:w="3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08"/>
        </w:trPr>
        <w:tc>
          <w:tcPr>
            <w:tcW w:w="10346" w:type="dxa"/>
            <w:gridSpan w:val="5"/>
            <w:tcBorders>
              <w:top w:val="single" w:sz="2" w:space="0" w:color="C1002C"/>
              <w:bottom w:val="single" w:sz="2" w:space="0" w:color="C1002C"/>
            </w:tcBorders>
            <w:vAlign w:val="top"/>
          </w:tcPr>
          <w:p>
            <w:pPr>
              <w:pStyle w:val="TableText"/>
              <w:spacing w:before="104" w:line="226" w:lineRule="auto"/>
              <w:ind w:left="168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rFonts w:ascii="Arial" w:eastAsia="Arial" w:hAnsi="Arial" w:cs="Arial"/>
                <w:b/>
                <w:bCs/>
                <w:spacing w:val="7"/>
                <w:sz w:val="19"/>
                <w:szCs w:val="19"/>
              </w:rPr>
              <w:t>2</w:t>
            </w:r>
            <w:r>
              <w:rPr>
                <w:spacing w:val="7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：2010</w:t>
            </w:r>
            <w:r>
              <w:rPr>
                <w:spacing w:val="-35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年上调单车补贴金额（单位：元/车）</w:t>
            </w:r>
          </w:p>
        </w:tc>
      </w:tr>
      <w:tr>
        <w:tblPrEx>
          <w:tblW w:w="10346" w:type="dxa"/>
          <w:tblInd w:w="30" w:type="dxa"/>
          <w:tblLayout w:type="fixed"/>
        </w:tblPrEx>
        <w:trPr>
          <w:trHeight w:val="654"/>
        </w:trPr>
        <w:tc>
          <w:tcPr>
            <w:tcW w:w="2688" w:type="dxa"/>
            <w:tcBorders>
              <w:top w:val="single" w:sz="2" w:space="0" w:color="C1002C"/>
              <w:bottom w:val="single" w:sz="2" w:space="0" w:color="000000"/>
            </w:tcBorders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26" w:lineRule="auto"/>
              <w:ind w:left="165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中型载货车</w:t>
            </w:r>
          </w:p>
        </w:tc>
        <w:tc>
          <w:tcPr>
            <w:tcW w:w="1985" w:type="dxa"/>
            <w:tcBorders>
              <w:top w:val="single" w:sz="2" w:space="0" w:color="C1002C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3" w:line="228" w:lineRule="auto"/>
              <w:ind w:left="199"/>
              <w:rPr>
                <w:sz w:val="19"/>
                <w:szCs w:val="19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70528" behindDoc="1" locked="0" layoutInCell="1" allowOverlap="1">
                      <wp:simplePos x="0" y="0"/>
                      <wp:positionH relativeFrom="column">
                        <wp:posOffset>-1690116</wp:posOffset>
                      </wp:positionH>
                      <wp:positionV relativeFrom="paragraph">
                        <wp:posOffset>16809</wp:posOffset>
                      </wp:positionV>
                      <wp:extent cx="2951479" cy="198120"/>
                      <wp:effectExtent l="0" t="0" r="0" b="0"/>
                      <wp:wrapNone/>
                      <wp:docPr id="26" name="Rect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1690116" y="16809"/>
                                <a:ext cx="2951479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6" o:spid="_x0000_s1038" style="width:232.4pt;height:15.6pt;margin-top:1.32pt;margin-left:-133.08pt;mso-wrap-distance-bottom:0;mso-wrap-distance-left:0;mso-wrap-distance-right:0;mso-wrap-distance-top:0;position:absolute;v-text-anchor:top;z-index:-251646976" fillcolor="#c00000" stroked="f"/>
                  </w:pict>
                </mc:Fallback>
              </mc:AlternateContent>
            </w:r>
            <w:r>
              <w:rPr>
                <w:color w:val="FFFFFF"/>
                <w:spacing w:val="6"/>
                <w:sz w:val="19"/>
                <w:szCs w:val="19"/>
              </w:rPr>
              <w:t>老旧汽车（2009）</w:t>
            </w:r>
          </w:p>
          <w:p>
            <w:pPr>
              <w:pStyle w:val="TableText"/>
              <w:spacing w:before="108" w:line="190" w:lineRule="auto"/>
              <w:ind w:left="749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6,000</w:t>
            </w:r>
          </w:p>
        </w:tc>
        <w:tc>
          <w:tcPr>
            <w:tcW w:w="1844" w:type="dxa"/>
            <w:tcBorders>
              <w:top w:val="single" w:sz="2" w:space="0" w:color="C1002C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5" w:line="312" w:lineRule="exact"/>
            </w:pPr>
            <w:r>
              <w:rPr>
                <w:position w:val="-6"/>
              </w:rPr>
              <w:pict>
                <v:shape id="_x0000_i1039" type="#_x0000_t202" style="width:92.2pt;height:15.6pt;mso-position-horizontal-relative:char;mso-position-vertical-relative:line" filled="t" fillcolor="#c00000" stroked="f">
                  <o:lock v:ext="edit" aspectratio="f"/>
                  <v:textbox inset="0,0,0,0">
                    <w:txbxContent>
                      <w:p>
                        <w:pPr>
                          <w:spacing w:before="57" w:line="228" w:lineRule="auto"/>
                          <w:ind w:left="227"/>
                          <w:rPr>
                            <w:rFonts w:ascii="KaiTi" w:eastAsia="KaiTi" w:hAnsi="KaiTi" w:cs="KaiTi"/>
                            <w:sz w:val="19"/>
                            <w:szCs w:val="19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FFFFFF"/>
                            <w:spacing w:val="6"/>
                            <w:sz w:val="19"/>
                            <w:szCs w:val="19"/>
                          </w:rPr>
                          <w:t>黄标车（2009）</w:t>
                        </w:r>
                      </w:p>
                    </w:txbxContent>
                  </v:textbox>
                  <w10:wrap type="none"/>
                </v:shape>
              </w:pict>
            </w:r>
          </w:p>
          <w:p>
            <w:pPr>
              <w:pStyle w:val="TableText"/>
              <w:spacing w:before="88" w:line="190" w:lineRule="auto"/>
              <w:ind w:left="680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6,000</w:t>
            </w:r>
          </w:p>
        </w:tc>
        <w:tc>
          <w:tcPr>
            <w:tcW w:w="1985" w:type="dxa"/>
            <w:tcBorders>
              <w:top w:val="single" w:sz="2" w:space="0" w:color="C1002C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5" w:line="312" w:lineRule="exact"/>
            </w:pPr>
            <w:r>
              <w:rPr>
                <w:position w:val="-6"/>
              </w:rPr>
              <w:pict>
                <v:shape id="_x0000_i1040" type="#_x0000_t202" style="width:99.3pt;height:15.6pt;mso-position-horizontal-relative:char;mso-position-vertical-relative:line" filled="t" fillcolor="#c00000" stroked="f">
                  <o:lock v:ext="edit" aspectratio="f"/>
                  <v:textbox inset="0,0,0,0">
                    <w:txbxContent>
                      <w:p>
                        <w:pPr>
                          <w:spacing w:before="57" w:line="228" w:lineRule="auto"/>
                          <w:ind w:left="198"/>
                          <w:rPr>
                            <w:rFonts w:ascii="KaiTi" w:eastAsia="KaiTi" w:hAnsi="KaiTi" w:cs="KaiTi"/>
                            <w:sz w:val="19"/>
                            <w:szCs w:val="19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FFFFFF"/>
                            <w:spacing w:val="6"/>
                            <w:sz w:val="19"/>
                            <w:szCs w:val="19"/>
                          </w:rPr>
                          <w:t>老旧汽车（2010）</w:t>
                        </w:r>
                      </w:p>
                    </w:txbxContent>
                  </v:textbox>
                  <w10:wrap type="none"/>
                </v:shape>
              </w:pict>
            </w:r>
          </w:p>
          <w:p>
            <w:pPr>
              <w:pStyle w:val="TableText"/>
              <w:spacing w:before="87" w:line="191" w:lineRule="auto"/>
              <w:ind w:left="709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13,000</w:t>
            </w:r>
          </w:p>
        </w:tc>
        <w:tc>
          <w:tcPr>
            <w:tcW w:w="1844" w:type="dxa"/>
            <w:tcBorders>
              <w:top w:val="single" w:sz="2" w:space="0" w:color="C1002C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5" w:line="312" w:lineRule="exact"/>
            </w:pPr>
            <w:r>
              <w:rPr>
                <w:position w:val="-6"/>
              </w:rPr>
              <w:pict>
                <v:shape id="_x0000_i1041" type="#_x0000_t202" style="width:92.2pt;height:15.6pt;mso-position-horizontal-relative:char;mso-position-vertical-relative:line" filled="t" fillcolor="#c00000" stroked="f">
                  <o:lock v:ext="edit" aspectratio="f"/>
                  <v:textbox inset="0,0,0,0">
                    <w:txbxContent>
                      <w:p>
                        <w:pPr>
                          <w:spacing w:before="57" w:line="228" w:lineRule="auto"/>
                          <w:ind w:left="227"/>
                          <w:rPr>
                            <w:rFonts w:ascii="KaiTi" w:eastAsia="KaiTi" w:hAnsi="KaiTi" w:cs="KaiTi"/>
                            <w:sz w:val="19"/>
                            <w:szCs w:val="19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FFFFFF"/>
                            <w:spacing w:val="5"/>
                            <w:sz w:val="19"/>
                            <w:szCs w:val="19"/>
                          </w:rPr>
                          <w:t>黄标车（2010）</w:t>
                        </w:r>
                      </w:p>
                    </w:txbxContent>
                  </v:textbox>
                  <w10:wrap type="none"/>
                </v:shape>
              </w:pict>
            </w:r>
          </w:p>
          <w:p>
            <w:pPr>
              <w:pStyle w:val="TableText"/>
              <w:spacing w:before="87" w:line="191" w:lineRule="auto"/>
              <w:ind w:left="640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13,000</w:t>
            </w:r>
          </w:p>
        </w:tc>
      </w:tr>
      <w:tr>
        <w:tblPrEx>
          <w:tblW w:w="10346" w:type="dxa"/>
          <w:tblInd w:w="30" w:type="dxa"/>
          <w:tblLayout w:type="fixed"/>
        </w:tblPrEx>
        <w:trPr>
          <w:trHeight w:val="319"/>
        </w:trPr>
        <w:tc>
          <w:tcPr>
            <w:tcW w:w="268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59" w:line="227" w:lineRule="auto"/>
              <w:ind w:left="142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轻型载货车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1" w:line="190" w:lineRule="auto"/>
              <w:ind w:left="745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5,000</w:t>
            </w: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1" w:line="190" w:lineRule="auto"/>
              <w:ind w:left="676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5,000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1" w:line="190" w:lineRule="auto"/>
              <w:ind w:left="744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9,000</w:t>
            </w: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1" w:line="190" w:lineRule="auto"/>
              <w:ind w:left="675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9,000</w:t>
            </w:r>
          </w:p>
        </w:tc>
      </w:tr>
      <w:tr>
        <w:tblPrEx>
          <w:tblW w:w="10346" w:type="dxa"/>
          <w:tblInd w:w="30" w:type="dxa"/>
          <w:tblLayout w:type="fixed"/>
        </w:tblPrEx>
        <w:trPr>
          <w:trHeight w:val="316"/>
        </w:trPr>
        <w:tc>
          <w:tcPr>
            <w:tcW w:w="268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57" w:line="227" w:lineRule="auto"/>
              <w:ind w:left="137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</w:rPr>
              <w:t>微型载货车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9" w:line="190" w:lineRule="auto"/>
              <w:ind w:left="744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4,000</w:t>
            </w: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9" w:line="190" w:lineRule="auto"/>
              <w:ind w:left="675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4,000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9" w:line="190" w:lineRule="auto"/>
              <w:ind w:left="748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6,000</w:t>
            </w: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9" w:line="190" w:lineRule="auto"/>
              <w:ind w:left="679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6,000</w:t>
            </w:r>
          </w:p>
        </w:tc>
      </w:tr>
      <w:tr>
        <w:tblPrEx>
          <w:tblW w:w="10346" w:type="dxa"/>
          <w:tblInd w:w="30" w:type="dxa"/>
          <w:tblLayout w:type="fixed"/>
        </w:tblPrEx>
        <w:trPr>
          <w:trHeight w:val="316"/>
        </w:trPr>
        <w:tc>
          <w:tcPr>
            <w:tcW w:w="268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58" w:line="226" w:lineRule="auto"/>
              <w:ind w:left="165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中型载客车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9" w:line="190" w:lineRule="auto"/>
              <w:ind w:left="745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5,000</w:t>
            </w: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9" w:line="190" w:lineRule="auto"/>
              <w:ind w:left="676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5,000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9" w:line="190" w:lineRule="auto"/>
              <w:ind w:left="709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11,000</w:t>
            </w: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9" w:line="190" w:lineRule="auto"/>
              <w:ind w:left="640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11,000</w:t>
            </w:r>
          </w:p>
        </w:tc>
      </w:tr>
      <w:tr>
        <w:tblPrEx>
          <w:tblW w:w="10346" w:type="dxa"/>
          <w:tblInd w:w="30" w:type="dxa"/>
          <w:tblLayout w:type="fixed"/>
        </w:tblPrEx>
        <w:trPr>
          <w:trHeight w:val="316"/>
        </w:trPr>
        <w:tc>
          <w:tcPr>
            <w:tcW w:w="268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58" w:line="228" w:lineRule="auto"/>
              <w:ind w:left="158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小型载客车（不含轿车）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0" w:line="190" w:lineRule="auto"/>
              <w:ind w:left="675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4,000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0" w:line="190" w:lineRule="auto"/>
              <w:ind w:left="681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7,000</w:t>
            </w:r>
          </w:p>
        </w:tc>
      </w:tr>
      <w:tr>
        <w:tblPrEx>
          <w:tblW w:w="10346" w:type="dxa"/>
          <w:tblInd w:w="30" w:type="dxa"/>
          <w:tblLayout w:type="fixed"/>
        </w:tblPrEx>
        <w:trPr>
          <w:trHeight w:val="316"/>
        </w:trPr>
        <w:tc>
          <w:tcPr>
            <w:tcW w:w="268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59" w:line="228" w:lineRule="auto"/>
              <w:ind w:left="137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微型载客车（不含轿车）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0" w:line="191" w:lineRule="auto"/>
              <w:ind w:left="680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3,000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1" w:line="190" w:lineRule="auto"/>
              <w:ind w:left="681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7,000</w:t>
            </w:r>
          </w:p>
        </w:tc>
      </w:tr>
      <w:tr>
        <w:tblPrEx>
          <w:tblW w:w="10346" w:type="dxa"/>
          <w:tblInd w:w="30" w:type="dxa"/>
          <w:tblLayout w:type="fixed"/>
        </w:tblPrEx>
        <w:trPr>
          <w:trHeight w:val="316"/>
        </w:trPr>
        <w:tc>
          <w:tcPr>
            <w:tcW w:w="268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59" w:line="227" w:lineRule="auto"/>
              <w:ind w:left="147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重型载货车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1" w:line="190" w:lineRule="auto"/>
              <w:ind w:left="680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6,000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1" w:line="189" w:lineRule="auto"/>
              <w:ind w:left="690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18000</w:t>
            </w:r>
          </w:p>
        </w:tc>
      </w:tr>
      <w:tr>
        <w:tblPrEx>
          <w:tblW w:w="10346" w:type="dxa"/>
          <w:tblInd w:w="30" w:type="dxa"/>
          <w:tblLayout w:type="fixed"/>
        </w:tblPrEx>
        <w:trPr>
          <w:trHeight w:val="319"/>
        </w:trPr>
        <w:tc>
          <w:tcPr>
            <w:tcW w:w="268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3" w:line="228" w:lineRule="auto"/>
              <w:ind w:left="158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大型载客车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4" w:line="190" w:lineRule="auto"/>
              <w:ind w:left="680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6,000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4" w:line="189" w:lineRule="auto"/>
              <w:ind w:left="690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18000</w:t>
            </w:r>
          </w:p>
        </w:tc>
      </w:tr>
      <w:tr>
        <w:tblPrEx>
          <w:tblW w:w="10346" w:type="dxa"/>
          <w:tblInd w:w="30" w:type="dxa"/>
          <w:tblLayout w:type="fixed"/>
        </w:tblPrEx>
        <w:trPr>
          <w:trHeight w:val="317"/>
        </w:trPr>
        <w:tc>
          <w:tcPr>
            <w:tcW w:w="268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1" w:line="224" w:lineRule="auto"/>
              <w:ind w:left="150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专项作业车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2" w:line="190" w:lineRule="auto"/>
              <w:ind w:left="680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6,000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46" w:type="dxa"/>
          <w:tblInd w:w="30" w:type="dxa"/>
          <w:tblLayout w:type="fixed"/>
        </w:tblPrEx>
        <w:trPr>
          <w:trHeight w:val="316"/>
        </w:trPr>
        <w:tc>
          <w:tcPr>
            <w:tcW w:w="268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1" w:line="228" w:lineRule="auto"/>
              <w:ind w:left="135"/>
              <w:rPr>
                <w:sz w:val="19"/>
                <w:szCs w:val="19"/>
              </w:rPr>
            </w:pPr>
            <w:r>
              <w:rPr>
                <w:spacing w:val="10"/>
                <w:sz w:val="19"/>
                <w:szCs w:val="19"/>
              </w:rPr>
              <w:t>轿车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2" w:line="190" w:lineRule="auto"/>
              <w:ind w:left="680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6,000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0346" w:type="dxa"/>
          <w:tblInd w:w="30" w:type="dxa"/>
          <w:tblLayout w:type="fixed"/>
        </w:tblPrEx>
        <w:trPr>
          <w:trHeight w:val="316"/>
        </w:trPr>
        <w:tc>
          <w:tcPr>
            <w:tcW w:w="268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1" w:line="224" w:lineRule="auto"/>
              <w:ind w:left="152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1.35</w:t>
            </w:r>
            <w:r>
              <w:rPr>
                <w:spacing w:val="-36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升及以上排量轿车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3" w:line="190" w:lineRule="auto"/>
              <w:ind w:left="640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18,000</w:t>
            </w:r>
          </w:p>
        </w:tc>
      </w:tr>
      <w:tr>
        <w:tblPrEx>
          <w:tblW w:w="10346" w:type="dxa"/>
          <w:tblInd w:w="30" w:type="dxa"/>
          <w:tblLayout w:type="fixed"/>
        </w:tblPrEx>
        <w:trPr>
          <w:trHeight w:val="628"/>
        </w:trPr>
        <w:tc>
          <w:tcPr>
            <w:tcW w:w="268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1" w:line="264" w:lineRule="auto"/>
              <w:ind w:left="132" w:right="173" w:firstLine="20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</w:t>
            </w:r>
            <w:r>
              <w:rPr>
                <w:spacing w:val="-31"/>
                <w:sz w:val="19"/>
                <w:szCs w:val="19"/>
              </w:rPr>
              <w:t xml:space="preserve"> </w:t>
            </w:r>
            <w:r>
              <w:rPr>
                <w:spacing w:val="-5"/>
                <w:sz w:val="19"/>
                <w:szCs w:val="19"/>
              </w:rPr>
              <w:t>升（不含）</w:t>
            </w:r>
            <w:r>
              <w:rPr>
                <w:spacing w:val="27"/>
                <w:w w:val="101"/>
                <w:sz w:val="19"/>
                <w:szCs w:val="19"/>
              </w:rPr>
              <w:t xml:space="preserve"> </w:t>
            </w:r>
            <w:r>
              <w:rPr>
                <w:spacing w:val="-5"/>
                <w:sz w:val="19"/>
                <w:szCs w:val="19"/>
              </w:rPr>
              <w:t>—1.35</w:t>
            </w:r>
            <w:r>
              <w:rPr>
                <w:spacing w:val="-37"/>
                <w:sz w:val="19"/>
                <w:szCs w:val="19"/>
              </w:rPr>
              <w:t xml:space="preserve"> </w:t>
            </w:r>
            <w:r>
              <w:rPr>
                <w:spacing w:val="-5"/>
                <w:sz w:val="19"/>
                <w:szCs w:val="19"/>
              </w:rPr>
              <w:t>升（不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10"/>
                <w:sz w:val="19"/>
                <w:szCs w:val="19"/>
              </w:rPr>
              <w:t>含）排量轿车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49" w:line="190" w:lineRule="auto"/>
              <w:ind w:left="640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10,000</w:t>
            </w:r>
          </w:p>
        </w:tc>
      </w:tr>
      <w:tr>
        <w:tblPrEx>
          <w:tblW w:w="10346" w:type="dxa"/>
          <w:tblInd w:w="30" w:type="dxa"/>
          <w:tblLayout w:type="fixed"/>
        </w:tblPrEx>
        <w:trPr>
          <w:trHeight w:val="360"/>
        </w:trPr>
        <w:tc>
          <w:tcPr>
            <w:tcW w:w="2688" w:type="dxa"/>
            <w:tcBorders>
              <w:top w:val="single" w:sz="2" w:space="0" w:color="000000"/>
              <w:bottom w:val="single" w:sz="2" w:space="0" w:color="C1002C"/>
            </w:tcBorders>
            <w:vAlign w:val="top"/>
          </w:tcPr>
          <w:p>
            <w:pPr>
              <w:pStyle w:val="TableText"/>
              <w:spacing w:before="62" w:line="224" w:lineRule="auto"/>
              <w:ind w:left="152"/>
              <w:rPr>
                <w:sz w:val="19"/>
                <w:szCs w:val="19"/>
              </w:rPr>
            </w:pPr>
            <w:r>
              <w:pict>
                <v:shape id="_x0000_s1042" style="width:133.85pt;height:0.5pt;margin-top:16pt;margin-left:-133.8pt;mso-position-horizontal-relative:right-margin-area;mso-position-vertical-relative:top-margin-area;position:absolute;z-index:-251648000" coordorigin="0,0" coordsize="2677,10" path="m,9l2676,9l2676,l,l,9xe" filled="t" fillcolor="black" stroked="f"/>
              </w:pict>
            </w:r>
            <w:r>
              <w:rPr>
                <w:spacing w:val="6"/>
                <w:sz w:val="19"/>
                <w:szCs w:val="19"/>
              </w:rPr>
              <w:t>1</w:t>
            </w:r>
            <w:r>
              <w:rPr>
                <w:spacing w:val="-34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升及以下排量轿车</w: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C1002C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3" style="width:99.55pt;height:0.5pt;margin-top:16pt;margin-left:-99.47pt;mso-position-horizontal-relative:right-margin-area;mso-position-vertical-relative:top-margin-area;position:absolute;z-index:251677696" filled="t" fillcolor="black" stroked="f"/>
              </w:pict>
            </w: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C1002C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4" style="width:92.45pt;height:0.5pt;margin-top:16pt;margin-left:-92.4pt;mso-position-horizontal-relative:right-margin-area;mso-position-vertical-relative:top-margin-area;position:absolute;z-index:251676672" filled="t" fillcolor="black" stroked="f"/>
              </w:pict>
            </w:r>
          </w:p>
        </w:tc>
        <w:tc>
          <w:tcPr>
            <w:tcW w:w="1985" w:type="dxa"/>
            <w:tcBorders>
              <w:top w:val="single" w:sz="2" w:space="0" w:color="000000"/>
              <w:bottom w:val="single" w:sz="2" w:space="0" w:color="C1002C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45" style="width:99.55pt;height:0.5pt;margin-top:16pt;margin-left:-99.47pt;mso-position-horizontal-relative:right-margin-area;mso-position-vertical-relative:top-margin-area;position:absolute;z-index:251675648" filled="t" fillcolor="black" stroked="f"/>
              </w:pict>
            </w: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C1002C"/>
            </w:tcBorders>
            <w:vAlign w:val="top"/>
          </w:tcPr>
          <w:p>
            <w:pPr>
              <w:pStyle w:val="TableText"/>
              <w:spacing w:before="94" w:line="190" w:lineRule="auto"/>
              <w:ind w:left="679"/>
              <w:rPr>
                <w:sz w:val="19"/>
                <w:szCs w:val="19"/>
              </w:rPr>
            </w:pPr>
            <w:r>
              <w:pict>
                <v:shape id="_x0000_s1046" style="width:92.45pt;height:0.5pt;margin-top:16pt;margin-left:-92.4pt;mso-position-horizontal-relative:right-margin-area;mso-position-vertical-relative:top-margin-area;position:absolute;z-index:251674624" coordorigin="0,0" coordsize="1848,10" path="m,9l1848,9l1848,l,l,9xe" filled="t" fillcolor="black" stroked="f"/>
              </w:pict>
            </w:r>
            <w:r>
              <w:rPr>
                <w:spacing w:val="3"/>
                <w:sz w:val="19"/>
                <w:szCs w:val="19"/>
              </w:rPr>
              <w:t>6,000</w:t>
            </w:r>
          </w:p>
        </w:tc>
      </w:tr>
    </w:tbl>
    <w:p>
      <w:pPr>
        <w:pStyle w:val="BodyText"/>
        <w:spacing w:before="21" w:line="214" w:lineRule="auto"/>
        <w:ind w:left="147"/>
        <w:rPr>
          <w:sz w:val="15"/>
          <w:szCs w:val="15"/>
        </w:rPr>
      </w:pPr>
      <w:r>
        <w:rPr>
          <w:spacing w:val="-4"/>
          <w:sz w:val="15"/>
          <w:szCs w:val="15"/>
        </w:rPr>
        <w:t>资料来源：</w:t>
      </w:r>
      <w:r>
        <w:rPr>
          <w:spacing w:val="-4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中央人民政府官网，国联证券研究所</w:t>
      </w: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68" w:line="359" w:lineRule="auto"/>
        <w:ind w:left="2581" w:right="134" w:firstLine="429"/>
      </w:pPr>
      <w:r>
        <w:rPr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从政策实施结果来看，</w:t>
      </w:r>
      <w:r>
        <w:rPr>
          <w:spacing w:val="-8"/>
        </w:rPr>
        <w:t xml:space="preserve"> 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2010</w:t>
      </w:r>
      <w:r>
        <w:rPr>
          <w:spacing w:val="-43"/>
        </w:rPr>
        <w:t xml:space="preserve"> 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年补贴车辆</w:t>
      </w:r>
      <w:r>
        <w:rPr>
          <w:spacing w:val="-50"/>
        </w:rPr>
        <w:t xml:space="preserve"> 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45.9</w:t>
      </w:r>
      <w:r>
        <w:rPr>
          <w:spacing w:val="-36"/>
        </w:rPr>
        <w:t xml:space="preserve"> 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万辆，</w:t>
      </w:r>
      <w:r>
        <w:rPr>
          <w:spacing w:val="-36"/>
        </w:rPr>
        <w:t xml:space="preserve"> 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拉动消费</w:t>
      </w:r>
      <w:r>
        <w:rPr>
          <w:spacing w:val="-50"/>
        </w:rPr>
        <w:t xml:space="preserve"> </w:t>
      </w:r>
      <w:r>
        <w:rPr>
          <w:spacing w:val="-9"/>
          <w14:textOutline w14:w="3831">
            <w14:solidFill>
              <w14:srgbClr w14:val="000000"/>
            </w14:solidFill>
            <w14:prstDash w14:val="solid"/>
            <w14:round/>
          </w14:textOutline>
        </w:rPr>
        <w:t>496</w:t>
      </w:r>
      <w:r>
        <w:rPr>
          <w:spacing w:val="-48"/>
        </w:rPr>
        <w:t xml:space="preserve"> </w:t>
      </w:r>
      <w:r>
        <w:rPr>
          <w:spacing w:val="-9"/>
          <w14:textOutline w14:w="3831">
            <w14:solidFill>
              <w14:srgbClr w14:val="000000"/>
            </w14:solidFill>
            <w14:prstDash w14:val="solid"/>
            <w14:round/>
          </w14:textOutline>
        </w:rPr>
        <w:t>亿，</w:t>
      </w:r>
      <w:r>
        <w:rPr>
          <w:spacing w:val="-57"/>
        </w:rPr>
        <w:t xml:space="preserve"> </w:t>
      </w:r>
      <w:r>
        <w:rPr>
          <w:spacing w:val="-9"/>
          <w14:textOutline w14:w="3831">
            <w14:solidFill>
              <w14:srgbClr w14:val="000000"/>
            </w14:solidFill>
            <w14:prstDash w14:val="solid"/>
            <w14:round/>
          </w14:textOutline>
        </w:rPr>
        <w:t>是补贴金</w:t>
      </w:r>
      <w: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额的</w:t>
      </w:r>
      <w:r>
        <w:rPr>
          <w:spacing w:val="-4"/>
        </w:rP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7.7</w:t>
      </w:r>
      <w:r>
        <w:rPr>
          <w:spacing w:val="-4"/>
        </w:rP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倍，补贴加码后政策实施结果加强。</w:t>
      </w:r>
      <w:r>
        <w:rPr>
          <w:spacing w:val="53"/>
        </w:rPr>
        <w:t xml:space="preserve"> </w:t>
      </w:r>
      <w:r>
        <w:rPr>
          <w:spacing w:val="-4"/>
        </w:rPr>
        <w:t>从全年受理补贴车辆数量来看，2010</w:t>
      </w:r>
      <w:r>
        <w:t xml:space="preserve"> </w:t>
      </w:r>
      <w:r>
        <w:rPr>
          <w:spacing w:val="-5"/>
        </w:rPr>
        <w:t>年共受理以旧换新补贴车辆</w:t>
      </w:r>
      <w:r>
        <w:rPr>
          <w:spacing w:val="-50"/>
        </w:rPr>
        <w:t xml:space="preserve"> </w:t>
      </w:r>
      <w:r>
        <w:rPr>
          <w:spacing w:val="-5"/>
        </w:rPr>
        <w:t>45.90</w:t>
      </w:r>
      <w:r>
        <w:rPr>
          <w:spacing w:val="-36"/>
        </w:rPr>
        <w:t xml:space="preserve"> </w:t>
      </w:r>
      <w:r>
        <w:rPr>
          <w:spacing w:val="-5"/>
        </w:rPr>
        <w:t>万辆，比</w:t>
      </w:r>
      <w:r>
        <w:rPr>
          <w:spacing w:val="-48"/>
        </w:rPr>
        <w:t xml:space="preserve"> </w:t>
      </w:r>
      <w:r>
        <w:rPr>
          <w:spacing w:val="-5"/>
        </w:rPr>
        <w:t>2009</w:t>
      </w:r>
      <w:r>
        <w:rPr>
          <w:spacing w:val="-43"/>
        </w:rPr>
        <w:t xml:space="preserve"> </w:t>
      </w:r>
      <w:r>
        <w:rPr>
          <w:spacing w:val="-5"/>
        </w:rPr>
        <w:t>年增长了</w:t>
      </w:r>
      <w:r>
        <w:rPr>
          <w:spacing w:val="-33"/>
        </w:rPr>
        <w:t xml:space="preserve"> </w:t>
      </w:r>
      <w:r>
        <w:rPr>
          <w:spacing w:val="-5"/>
        </w:rPr>
        <w:t>12</w:t>
      </w:r>
      <w:r>
        <w:rPr>
          <w:spacing w:val="-50"/>
        </w:rPr>
        <w:t xml:space="preserve"> </w:t>
      </w:r>
      <w:r>
        <w:rPr>
          <w:spacing w:val="-5"/>
        </w:rPr>
        <w:t>倍。从</w:t>
      </w:r>
      <w:r>
        <w:rPr>
          <w:spacing w:val="-6"/>
        </w:rPr>
        <w:t>消费金额来看，</w:t>
      </w:r>
      <w:r>
        <w:t xml:space="preserve"> </w:t>
      </w:r>
      <w:r>
        <w:rPr>
          <w:spacing w:val="-2"/>
        </w:rPr>
        <w:t>以旧换新拉动汽车消费具有较好的杠杆放大效果。</w:t>
      </w:r>
      <w:r>
        <w:rPr>
          <w:spacing w:val="-30"/>
        </w:rPr>
        <w:t xml:space="preserve"> </w:t>
      </w:r>
      <w:r>
        <w:rPr>
          <w:spacing w:val="-2"/>
        </w:rPr>
        <w:t>2010</w:t>
      </w:r>
      <w:r>
        <w:rPr>
          <w:spacing w:val="-2"/>
        </w:rPr>
        <w:t xml:space="preserve"> </w:t>
      </w:r>
      <w:r>
        <w:rPr>
          <w:spacing w:val="-2"/>
        </w:rPr>
        <w:t>年全年补贴资金为</w:t>
      </w:r>
      <w:r>
        <w:rPr>
          <w:spacing w:val="-2"/>
        </w:rPr>
        <w:t xml:space="preserve"> </w:t>
      </w:r>
      <w:r>
        <w:rPr>
          <w:spacing w:val="-2"/>
        </w:rPr>
        <w:t>64.1</w:t>
      </w:r>
      <w:r>
        <w:rPr>
          <w:spacing w:val="-2"/>
        </w:rPr>
        <w:t xml:space="preserve"> </w:t>
      </w:r>
      <w:r>
        <w:rPr>
          <w:spacing w:val="-2"/>
        </w:rPr>
        <w:t>亿</w:t>
      </w:r>
      <w:r>
        <w:t xml:space="preserve"> </w:t>
      </w:r>
      <w:r>
        <w:rPr>
          <w:spacing w:val="-6"/>
        </w:rPr>
        <w:t>元，</w:t>
      </w:r>
      <w:r>
        <w:rPr>
          <w:spacing w:val="-49"/>
        </w:rPr>
        <w:t xml:space="preserve"> </w:t>
      </w:r>
      <w:r>
        <w:rPr>
          <w:spacing w:val="-6"/>
        </w:rPr>
        <w:t>拉动新车销售</w:t>
      </w:r>
      <w:r>
        <w:rPr>
          <w:spacing w:val="-51"/>
        </w:rPr>
        <w:t xml:space="preserve"> </w:t>
      </w:r>
      <w:r>
        <w:rPr>
          <w:spacing w:val="-6"/>
        </w:rPr>
        <w:t>496</w:t>
      </w:r>
      <w:r>
        <w:rPr>
          <w:spacing w:val="-51"/>
        </w:rPr>
        <w:t xml:space="preserve"> </w:t>
      </w:r>
      <w:r>
        <w:rPr>
          <w:spacing w:val="-6"/>
        </w:rPr>
        <w:t>亿元，</w:t>
      </w:r>
      <w:r>
        <w:rPr>
          <w:spacing w:val="-60"/>
        </w:rPr>
        <w:t xml:space="preserve"> </w:t>
      </w:r>
      <w:r>
        <w:rPr>
          <w:spacing w:val="-6"/>
        </w:rPr>
        <w:t>杠杆为</w:t>
      </w:r>
      <w:r>
        <w:rPr>
          <w:spacing w:val="-43"/>
        </w:rPr>
        <w:t xml:space="preserve"> </w:t>
      </w:r>
      <w:r>
        <w:rPr>
          <w:spacing w:val="-6"/>
        </w:rPr>
        <w:t>7.7</w:t>
      </w:r>
      <w:r>
        <w:rPr>
          <w:spacing w:val="-48"/>
        </w:rPr>
        <w:t xml:space="preserve"> </w:t>
      </w:r>
      <w:r>
        <w:rPr>
          <w:spacing w:val="-6"/>
        </w:rPr>
        <w:t>倍。从补贴节奏来看，进入下半年月度补贴</w:t>
      </w:r>
      <w:r>
        <w:t xml:space="preserve"> </w:t>
      </w:r>
      <w:r>
        <w:rPr>
          <w:spacing w:val="-5"/>
        </w:rPr>
        <w:t>金额环比增长，</w:t>
      </w:r>
      <w:r>
        <w:rPr>
          <w:spacing w:val="-5"/>
        </w:rPr>
        <w:t xml:space="preserve"> </w:t>
      </w:r>
      <w:r>
        <w:rPr>
          <w:spacing w:val="-5"/>
        </w:rPr>
        <w:t>尤其到</w:t>
      </w:r>
      <w:r>
        <w:rPr>
          <w:spacing w:val="-5"/>
        </w:rPr>
        <w:t xml:space="preserve"> </w:t>
      </w:r>
      <w:r>
        <w:rPr>
          <w:spacing w:val="-5"/>
        </w:rPr>
        <w:t>11-12</w:t>
      </w:r>
      <w:r>
        <w:rPr>
          <w:spacing w:val="-5"/>
        </w:rPr>
        <w:t xml:space="preserve"> </w:t>
      </w:r>
      <w:r>
        <w:rPr>
          <w:spacing w:val="-5"/>
        </w:rPr>
        <w:t>月补贴提升明显，</w:t>
      </w:r>
      <w:r>
        <w:rPr>
          <w:spacing w:val="-11"/>
        </w:rPr>
        <w:t xml:space="preserve"> </w:t>
      </w:r>
      <w:r>
        <w:rPr>
          <w:spacing w:val="-5"/>
        </w:rPr>
        <w:t>表明政策退出前市场有一定抢装现</w:t>
      </w:r>
    </w:p>
    <w:p>
      <w:pPr>
        <w:pStyle w:val="BodyText"/>
        <w:spacing w:line="213" w:lineRule="auto"/>
        <w:ind w:left="2606"/>
      </w:pPr>
      <w:r>
        <w:rPr>
          <w:spacing w:val="-6"/>
        </w:rPr>
        <w:t>象。</w:t>
      </w:r>
      <w:r>
        <w:rPr>
          <w:spacing w:val="-28"/>
        </w:rPr>
        <w:t xml:space="preserve"> </w:t>
      </w:r>
      <w:r>
        <w:rPr>
          <w:spacing w:val="-6"/>
        </w:rPr>
        <w:t>2010</w:t>
      </w:r>
      <w:r>
        <w:rPr>
          <w:spacing w:val="-46"/>
        </w:rPr>
        <w:t xml:space="preserve"> </w:t>
      </w:r>
      <w:r>
        <w:rPr>
          <w:spacing w:val="-6"/>
        </w:rPr>
        <w:t>年</w:t>
      </w:r>
      <w:r>
        <w:rPr>
          <w:spacing w:val="-33"/>
        </w:rPr>
        <w:t xml:space="preserve"> </w:t>
      </w:r>
      <w:r>
        <w:rPr>
          <w:spacing w:val="-6"/>
        </w:rPr>
        <w:t>12</w:t>
      </w:r>
      <w:r>
        <w:rPr>
          <w:spacing w:val="-36"/>
        </w:rPr>
        <w:t xml:space="preserve"> </w:t>
      </w:r>
      <w:r>
        <w:rPr>
          <w:spacing w:val="-6"/>
        </w:rPr>
        <w:t>月补贴资金为</w:t>
      </w:r>
      <w:r>
        <w:rPr>
          <w:spacing w:val="-33"/>
        </w:rPr>
        <w:t xml:space="preserve"> </w:t>
      </w:r>
      <w:r>
        <w:rPr>
          <w:spacing w:val="-6"/>
        </w:rPr>
        <w:t>14.4</w:t>
      </w:r>
      <w:r>
        <w:rPr>
          <w:spacing w:val="-51"/>
        </w:rPr>
        <w:t xml:space="preserve"> </w:t>
      </w:r>
      <w:r>
        <w:rPr>
          <w:spacing w:val="-6"/>
        </w:rPr>
        <w:t>亿元，相比</w:t>
      </w:r>
      <w:r>
        <w:rPr>
          <w:spacing w:val="-46"/>
        </w:rPr>
        <w:t xml:space="preserve"> </w:t>
      </w:r>
      <w:r>
        <w:rPr>
          <w:spacing w:val="-6"/>
        </w:rPr>
        <w:t>8</w:t>
      </w:r>
      <w:r>
        <w:rPr>
          <w:spacing w:val="-37"/>
        </w:rPr>
        <w:t xml:space="preserve"> </w:t>
      </w:r>
      <w:r>
        <w:rPr>
          <w:spacing w:val="-6"/>
        </w:rPr>
        <w:t>月份增长了</w:t>
      </w:r>
      <w:r>
        <w:rPr>
          <w:spacing w:val="-43"/>
        </w:rPr>
        <w:t xml:space="preserve"> </w:t>
      </w:r>
      <w:r>
        <w:rPr>
          <w:spacing w:val="-6"/>
        </w:rPr>
        <w:t>3.2</w:t>
      </w:r>
      <w:r>
        <w:rPr>
          <w:spacing w:val="-48"/>
        </w:rPr>
        <w:t xml:space="preserve"> </w:t>
      </w:r>
      <w:r>
        <w:rPr>
          <w:spacing w:val="-6"/>
        </w:rPr>
        <w:t>倍。</w:t>
      </w:r>
    </w:p>
    <w:p>
      <w:pPr>
        <w:spacing w:before="50"/>
      </w:pPr>
    </w:p>
    <w:p>
      <w:pPr>
        <w:sectPr>
          <w:headerReference w:type="default" r:id="rId21"/>
          <w:footerReference w:type="default" r:id="rId22"/>
          <w:pgSz w:w="11907" w:h="16839"/>
          <w:pgMar w:top="943" w:right="707" w:bottom="743" w:left="821" w:header="289" w:footer="220" w:gutter="0"/>
          <w:pgNumType w:start="9"/>
          <w:cols w:num="1" w:space="708" w:equalWidth="0">
            <w:col w:w="10377" w:space="0"/>
          </w:cols>
        </w:sectPr>
      </w:pPr>
    </w:p>
    <w:p>
      <w:pPr>
        <w:pStyle w:val="BodyText"/>
        <w:spacing w:before="109" w:line="228" w:lineRule="auto"/>
        <w:ind w:left="198"/>
        <w:rPr>
          <w:sz w:val="19"/>
          <w:szCs w:val="19"/>
        </w:rPr>
      </w:pPr>
      <w:r>
        <w:rPr>
          <w:spacing w:val="8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图表</w:t>
      </w:r>
      <w:r>
        <w:rPr>
          <w:rFonts w:ascii="Arial" w:eastAsia="Arial" w:hAnsi="Arial" w:cs="Arial"/>
          <w:b/>
          <w:bCs/>
          <w:spacing w:val="8"/>
          <w:sz w:val="19"/>
          <w:szCs w:val="19"/>
        </w:rPr>
        <w:t>3</w:t>
      </w:r>
      <w:r>
        <w:rPr>
          <w:spacing w:val="8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：补贴金额环比保持快速增长</w:t>
      </w:r>
    </w:p>
    <w:tbl>
      <w:tblPr>
        <w:tblStyle w:val="TableNormal2"/>
        <w:tblW w:w="4236" w:type="dxa"/>
        <w:tblInd w:w="39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16"/>
        <w:gridCol w:w="3639"/>
        <w:gridCol w:w="381"/>
      </w:tblGrid>
      <w:tr>
        <w:tblPrEx>
          <w:tblW w:w="4236" w:type="dxa"/>
          <w:tblInd w:w="39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707"/>
        </w:trPr>
        <w:tc>
          <w:tcPr>
            <w:tcW w:w="216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4" w:lineRule="auto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20</w:t>
            </w:r>
          </w:p>
          <w:p>
            <w:pPr>
              <w:pStyle w:val="TableText"/>
              <w:spacing w:before="144" w:line="182" w:lineRule="auto"/>
              <w:ind w:left="9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15</w:t>
            </w:r>
          </w:p>
          <w:p>
            <w:pPr>
              <w:pStyle w:val="TableText"/>
              <w:spacing w:before="143" w:line="183" w:lineRule="auto"/>
              <w:ind w:left="9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10</w:t>
            </w:r>
          </w:p>
          <w:p>
            <w:pPr>
              <w:pStyle w:val="TableText"/>
              <w:spacing w:before="147" w:line="180" w:lineRule="auto"/>
              <w:ind w:left="7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3639" w:type="dxa"/>
            <w:vAlign w:val="top"/>
          </w:tcPr>
          <w:p>
            <w:pPr>
              <w:pStyle w:val="TableText"/>
              <w:spacing w:line="219" w:lineRule="auto"/>
              <w:ind w:left="426"/>
              <w:rPr>
                <w:sz w:val="16"/>
                <w:szCs w:val="16"/>
              </w:rPr>
            </w:pPr>
            <w:r>
              <w:rPr>
                <w:position w:val="2"/>
                <w:sz w:val="16"/>
                <w:szCs w:val="16"/>
              </w:rPr>
              <w:drawing>
                <wp:inline distT="0" distB="0" distL="0" distR="0">
                  <wp:extent cx="243954" cy="45597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954" cy="455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9"/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补贴资金（亿元）</w:t>
            </w:r>
            <w:r>
              <w:rPr>
                <w:spacing w:val="32"/>
                <w:sz w:val="16"/>
                <w:szCs w:val="16"/>
              </w:rPr>
              <w:t xml:space="preserve">  </w:t>
            </w:r>
            <w:r>
              <w:rPr>
                <w:position w:val="3"/>
                <w:sz w:val="16"/>
                <w:szCs w:val="16"/>
              </w:rPr>
              <w:drawing>
                <wp:inline distT="0" distB="0" distL="0" distR="0">
                  <wp:extent cx="272924" cy="28878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24" cy="28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5"/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环比增速</w:t>
            </w:r>
          </w:p>
          <w:p>
            <w:pPr>
              <w:spacing w:before="4"/>
            </w:pPr>
          </w:p>
          <w:tbl>
            <w:tblPr>
              <w:tblStyle w:val="TableNormal2"/>
              <w:tblW w:w="3510" w:type="dxa"/>
              <w:tblInd w:w="6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510"/>
            </w:tblGrid>
            <w:tr>
              <w:tblPrEx>
                <w:tblW w:w="3510" w:type="dxa"/>
                <w:tblInd w:w="6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1208"/>
              </w:trPr>
              <w:tc>
                <w:tcPr>
                  <w:tcW w:w="3510" w:type="dxa"/>
                  <w:vAlign w:val="top"/>
                </w:tcPr>
                <w:p>
                  <w:pPr>
                    <w:spacing w:before="196" w:line="816" w:lineRule="exact"/>
                  </w:pPr>
                  <w:r>
                    <w:drawing>
                      <wp:anchor distT="0" distB="0" distL="0" distR="0" simplePos="0" relativeHeight="251678720" behindDoc="1" locked="0" layoutInCell="1" allowOverlap="1">
                        <wp:simplePos x="0" y="0"/>
                        <wp:positionH relativeFrom="rightMargin">
                          <wp:posOffset>-2093150</wp:posOffset>
                        </wp:positionH>
                        <wp:positionV relativeFrom="topMargin">
                          <wp:posOffset>22663</wp:posOffset>
                        </wp:positionV>
                        <wp:extent cx="1960846" cy="744821"/>
                        <wp:effectExtent l="0" t="0" r="0" b="0"/>
                        <wp:wrapNone/>
                        <wp:docPr id="32" name="IM 3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" name="IM 32"/>
                                <pic:cNvPicPr/>
                              </pic:nvPicPr>
                              <pic:blipFill>
                                <a:blip xmlns:r="http://schemas.openxmlformats.org/officeDocument/2006/relationships"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60846" cy="74482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position w:val="-16"/>
                    </w:rPr>
                    <w:pict>
                      <v:group id="_x0000_i1047" style="width:175.3pt;height:40.85pt;mso-position-horizontal-relative:char;mso-position-vertical-relative:line" coordorigin="0,0" coordsize="3506,816" filled="f" stroked="f">
                        <v:shape id="_x0000_s1048" style="width:45;height:211;left:3460;position:absolute" coordorigin="0,0" coordsize="45,211" path="m,205l45,205m,4l45,4e" filled="f" strokecolor="black" strokeweight="0.48pt"/>
                        <v:rect id="_x0000_s1049" style="width:45;height:10;left:3460;position:absolute;top:806" filled="t" fillcolor="black" stroked="f"/>
                        <v:rect id="_x0000_s1050" style="width:45;height:10;position:absolute;top:703" filled="t" fillcolor="black" stroked="f"/>
                        <v:rect id="_x0000_s1051" style="width:45;height:10;position:absolute;top:100" filled="t" fillcolor="black" stroked="f"/>
                        <v:rect id="_x0000_s1052" style="width:45;height:10;position:absolute;top:402" filled="t" fillcolor="black" stroked="f"/>
                        <v:rect id="_x0000_s1053" style="width:45;height:10;left:3460;position:absolute;top:402" filled="t" fillcolor="black" stroked="f"/>
                        <v:rect id="_x0000_s1054" style="width:45;height:10;left:3460;position:absolute;top:603" filled="t" fillcolor="black" stroked="f"/>
                        <w10:wrap type="none"/>
                      </v:group>
                    </w:pict>
                  </w:r>
                </w:p>
              </w:tc>
            </w:tr>
          </w:tbl>
          <w:p>
            <w:pPr>
              <w:spacing w:line="42" w:lineRule="exact"/>
              <w:rPr>
                <w:rFonts w:ascii="Arial"/>
                <w:sz w:val="3"/>
              </w:rPr>
            </w:pPr>
          </w:p>
        </w:tc>
        <w:tc>
          <w:tcPr>
            <w:tcW w:w="381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2" w:line="183" w:lineRule="auto"/>
              <w:jc w:val="right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100%</w:t>
            </w:r>
          </w:p>
          <w:p>
            <w:pPr>
              <w:pStyle w:val="TableText"/>
              <w:spacing w:before="43" w:line="183" w:lineRule="auto"/>
              <w:ind w:left="6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80%</w:t>
            </w:r>
          </w:p>
          <w:p>
            <w:pPr>
              <w:pStyle w:val="TableText"/>
              <w:spacing w:before="42" w:line="183" w:lineRule="auto"/>
              <w:ind w:left="6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60%</w:t>
            </w:r>
          </w:p>
          <w:p>
            <w:pPr>
              <w:pStyle w:val="TableText"/>
              <w:spacing w:before="42" w:line="183" w:lineRule="auto"/>
              <w:ind w:left="6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40%</w:t>
            </w:r>
          </w:p>
        </w:tc>
      </w:tr>
    </w:tbl>
    <w:p>
      <w:pPr>
        <w:sectPr>
          <w:headerReference w:type="default" r:id="rId26"/>
          <w:footerReference w:type="default" r:id="rId27"/>
          <w:type w:val="continuous"/>
          <w:pgSz w:w="11907" w:h="16839"/>
          <w:pgMar w:top="943" w:right="707" w:bottom="743" w:left="821" w:header="289" w:footer="220" w:gutter="0"/>
          <w:pgNumType w:start="10"/>
          <w:cols w:num="2" w:space="708" w:equalWidth="0">
            <w:col w:w="5175" w:space="100"/>
            <w:col w:w="5102" w:space="0"/>
          </w:cols>
        </w:sectPr>
      </w:pPr>
    </w:p>
    <w:tbl>
      <w:tblPr>
        <w:tblStyle w:val="TableNormal3"/>
        <w:tblW w:w="4236" w:type="dxa"/>
        <w:tblInd w:w="39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16"/>
        <w:gridCol w:w="3639"/>
        <w:gridCol w:w="381"/>
      </w:tblGrid>
      <w:tr>
        <w:tblPrEx>
          <w:tblW w:w="4236" w:type="dxa"/>
          <w:tblInd w:w="39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707"/>
        </w:trPr>
        <w:tc>
          <w:tcPr>
            <w:tcW w:w="216" w:type="dxa"/>
            <w:vAlign w:val="top"/>
          </w:tcPr>
          <w:p>
            <w:pPr>
              <w:pStyle w:val="TableText"/>
              <w:spacing w:before="144" w:line="102" w:lineRule="exact"/>
              <w:ind w:left="80"/>
              <w:rPr>
                <w:sz w:val="16"/>
                <w:szCs w:val="16"/>
              </w:rPr>
            </w:pPr>
            <w:r>
              <w:rPr>
                <w:position w:val="-2"/>
                <w:sz w:val="16"/>
                <w:szCs w:val="16"/>
              </w:rPr>
              <w:t>0</w:t>
            </w:r>
          </w:p>
        </w:tc>
        <w:tc>
          <w:tcPr>
            <w:tcW w:w="3639" w:type="dxa"/>
            <w:vAlign w:val="top"/>
          </w:tcPr>
          <w:p/>
        </w:tc>
        <w:tc>
          <w:tcPr>
            <w:tcW w:w="381" w:type="dxa"/>
            <w:vAlign w:val="top"/>
          </w:tcPr>
          <w:p>
            <w:pPr>
              <w:pStyle w:val="TableText"/>
              <w:spacing w:before="42" w:line="184" w:lineRule="auto"/>
              <w:ind w:left="6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20%</w:t>
            </w:r>
          </w:p>
          <w:p>
            <w:pPr>
              <w:pStyle w:val="TableText"/>
              <w:spacing w:before="43" w:line="183" w:lineRule="auto"/>
              <w:ind w:left="6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0%</w:t>
            </w:r>
          </w:p>
          <w:p>
            <w:pPr>
              <w:pStyle w:val="TableText"/>
              <w:spacing w:before="43" w:line="103" w:lineRule="exact"/>
              <w:jc w:val="right"/>
              <w:rPr>
                <w:sz w:val="16"/>
                <w:szCs w:val="16"/>
              </w:rPr>
            </w:pPr>
            <w:r>
              <w:rPr>
                <w:spacing w:val="-1"/>
                <w:position w:val="-3"/>
                <w:sz w:val="16"/>
                <w:szCs w:val="16"/>
              </w:rPr>
              <w:t>-20%</w:t>
            </w:r>
          </w:p>
        </w:tc>
      </w:tr>
    </w:tbl>
    <w:p>
      <w:pPr>
        <w:spacing w:before="94" w:line="609" w:lineRule="exact"/>
        <w:ind w:firstLine="493"/>
      </w:pPr>
      <w:r>
        <w:rPr>
          <w:position w:val="-12"/>
        </w:rPr>
        <w:drawing>
          <wp:inline distT="0" distB="0" distL="0" distR="0">
            <wp:extent cx="2127345" cy="386576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27345" cy="386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70" w:line="186" w:lineRule="auto"/>
        <w:ind w:left="147"/>
        <w:rPr>
          <w:sz w:val="15"/>
          <w:szCs w:val="15"/>
        </w:rPr>
      </w:pPr>
      <w:r>
        <w:rPr>
          <w:spacing w:val="-3"/>
          <w:sz w:val="15"/>
          <w:szCs w:val="15"/>
        </w:rPr>
        <w:t>资料来源：</w:t>
      </w:r>
      <w:r>
        <w:rPr>
          <w:spacing w:val="-3"/>
          <w:sz w:val="15"/>
          <w:szCs w:val="15"/>
        </w:rPr>
        <w:t xml:space="preserve"> </w:t>
      </w:r>
      <w:r>
        <w:rPr>
          <w:spacing w:val="-3"/>
          <w:sz w:val="15"/>
          <w:szCs w:val="15"/>
        </w:rPr>
        <w:t>中央人民政府官网，商务部，国</w:t>
      </w:r>
      <w:r>
        <w:rPr>
          <w:spacing w:val="-4"/>
          <w:sz w:val="15"/>
          <w:szCs w:val="15"/>
        </w:rPr>
        <w:t>联证券研究所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3"/>
        <w:tblW w:w="496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55"/>
        <w:gridCol w:w="4306"/>
      </w:tblGrid>
      <w:tr>
        <w:tblPrEx>
          <w:tblW w:w="496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07"/>
        </w:trPr>
        <w:tc>
          <w:tcPr>
            <w:tcW w:w="4961" w:type="dxa"/>
            <w:gridSpan w:val="2"/>
            <w:tcBorders>
              <w:top w:val="single" w:sz="2" w:space="0" w:color="C1002C"/>
              <w:bottom w:val="single" w:sz="2" w:space="0" w:color="C1002C"/>
            </w:tcBorders>
            <w:vAlign w:val="top"/>
          </w:tcPr>
          <w:p>
            <w:pPr>
              <w:pStyle w:val="TableText"/>
              <w:spacing w:before="103" w:line="226" w:lineRule="auto"/>
              <w:ind w:left="176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rFonts w:ascii="Arial" w:eastAsia="Arial" w:hAnsi="Arial" w:cs="Arial"/>
                <w:b/>
                <w:bCs/>
                <w:spacing w:val="4"/>
                <w:sz w:val="19"/>
                <w:szCs w:val="19"/>
              </w:rPr>
              <w:t>4</w:t>
            </w:r>
            <w:r>
              <w:rPr>
                <w:spacing w:val="4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：2010</w:t>
            </w:r>
            <w:r>
              <w:rPr>
                <w:spacing w:val="-22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年受理车辆约</w:t>
            </w:r>
            <w:r>
              <w:rPr>
                <w:spacing w:val="-35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2009</w:t>
            </w:r>
            <w:r>
              <w:rPr>
                <w:spacing w:val="-37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年的</w:t>
            </w:r>
            <w:r>
              <w:rPr>
                <w:spacing w:val="-24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12</w:t>
            </w:r>
            <w:r>
              <w:rPr>
                <w:spacing w:val="-40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倍</w:t>
            </w:r>
          </w:p>
        </w:tc>
      </w:tr>
      <w:tr>
        <w:tblPrEx>
          <w:tblW w:w="4961" w:type="dxa"/>
          <w:tblInd w:w="0" w:type="dxa"/>
          <w:tblLayout w:type="fixed"/>
        </w:tblPrEx>
        <w:trPr>
          <w:trHeight w:val="499"/>
        </w:trPr>
        <w:tc>
          <w:tcPr>
            <w:tcW w:w="4961" w:type="dxa"/>
            <w:gridSpan w:val="2"/>
            <w:tcBorders>
              <w:top w:val="single" w:sz="2" w:space="0" w:color="C1002C"/>
            </w:tcBorders>
            <w:vAlign w:val="top"/>
          </w:tcPr>
          <w:p>
            <w:pPr>
              <w:pStyle w:val="TableText"/>
              <w:spacing w:before="243" w:line="230" w:lineRule="auto"/>
              <w:ind w:left="1733"/>
              <w:rPr>
                <w:sz w:val="17"/>
                <w:szCs w:val="17"/>
              </w:rPr>
            </w:pPr>
            <w:r>
              <w:rPr>
                <w:color w:val="595959"/>
                <w:position w:val="2"/>
                <w:sz w:val="17"/>
                <w:szCs w:val="17"/>
              </w:rPr>
              <w:drawing>
                <wp:inline distT="0" distB="0" distL="0" distR="0">
                  <wp:extent cx="51840" cy="51677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40" cy="51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28"/>
                <w:sz w:val="17"/>
                <w:szCs w:val="17"/>
              </w:rPr>
              <w:t xml:space="preserve"> </w:t>
            </w:r>
            <w:r>
              <w:rPr>
                <w:color w:val="595959"/>
                <w:spacing w:val="4"/>
                <w:sz w:val="17"/>
                <w:szCs w:val="17"/>
              </w:rPr>
              <w:t>受理车辆（万辆）</w:t>
            </w:r>
          </w:p>
        </w:tc>
      </w:tr>
      <w:tr>
        <w:tblPrEx>
          <w:tblW w:w="4961" w:type="dxa"/>
          <w:tblInd w:w="0" w:type="dxa"/>
          <w:tblLayout w:type="fixed"/>
        </w:tblPrEx>
        <w:trPr>
          <w:trHeight w:val="2397"/>
        </w:trPr>
        <w:tc>
          <w:tcPr>
            <w:tcW w:w="655" w:type="dxa"/>
            <w:tcBorders>
              <w:bottom w:val="single" w:sz="2" w:space="0" w:color="C1002C"/>
            </w:tcBorders>
            <w:vAlign w:val="top"/>
          </w:tcPr>
          <w:p>
            <w:pPr>
              <w:pStyle w:val="TableText"/>
              <w:spacing w:before="139" w:line="190" w:lineRule="auto"/>
              <w:ind w:left="363"/>
              <w:rPr>
                <w:sz w:val="17"/>
                <w:szCs w:val="17"/>
              </w:rPr>
            </w:pPr>
            <w:r>
              <w:rPr>
                <w:color w:val="595959"/>
                <w:spacing w:val="4"/>
                <w:sz w:val="17"/>
                <w:szCs w:val="17"/>
              </w:rPr>
              <w:t>50</w:t>
            </w:r>
          </w:p>
          <w:p>
            <w:pPr>
              <w:pStyle w:val="TableText"/>
              <w:spacing w:before="156" w:line="190" w:lineRule="auto"/>
              <w:ind w:left="363"/>
              <w:rPr>
                <w:sz w:val="17"/>
                <w:szCs w:val="17"/>
              </w:rPr>
            </w:pPr>
            <w:r>
              <w:rPr>
                <w:color w:val="595959"/>
                <w:spacing w:val="4"/>
                <w:sz w:val="17"/>
                <w:szCs w:val="17"/>
              </w:rPr>
              <w:t>40</w:t>
            </w:r>
          </w:p>
          <w:p>
            <w:pPr>
              <w:pStyle w:val="TableText"/>
              <w:spacing w:before="155" w:line="191" w:lineRule="auto"/>
              <w:ind w:left="367"/>
              <w:rPr>
                <w:sz w:val="17"/>
                <w:szCs w:val="17"/>
              </w:rPr>
            </w:pPr>
            <w:r>
              <w:rPr>
                <w:color w:val="595959"/>
                <w:spacing w:val="2"/>
                <w:sz w:val="17"/>
                <w:szCs w:val="17"/>
              </w:rPr>
              <w:t>30</w:t>
            </w:r>
          </w:p>
          <w:p>
            <w:pPr>
              <w:pStyle w:val="TableText"/>
              <w:spacing w:before="155" w:line="191" w:lineRule="auto"/>
              <w:ind w:left="366"/>
              <w:rPr>
                <w:sz w:val="17"/>
                <w:szCs w:val="17"/>
              </w:rPr>
            </w:pPr>
            <w:r>
              <w:rPr>
                <w:color w:val="595959"/>
                <w:spacing w:val="2"/>
                <w:sz w:val="17"/>
                <w:szCs w:val="17"/>
              </w:rPr>
              <w:t>20</w:t>
            </w:r>
          </w:p>
          <w:p>
            <w:pPr>
              <w:pStyle w:val="TableText"/>
              <w:spacing w:before="156" w:line="190" w:lineRule="auto"/>
              <w:ind w:left="377"/>
              <w:rPr>
                <w:sz w:val="17"/>
                <w:szCs w:val="17"/>
              </w:rPr>
            </w:pPr>
            <w:r>
              <w:rPr>
                <w:color w:val="595959"/>
                <w:spacing w:val="-2"/>
                <w:sz w:val="17"/>
                <w:szCs w:val="17"/>
              </w:rPr>
              <w:t>10</w:t>
            </w:r>
          </w:p>
          <w:p>
            <w:pPr>
              <w:pStyle w:val="TableText"/>
              <w:spacing w:before="156" w:line="190" w:lineRule="auto"/>
              <w:ind w:left="456"/>
              <w:rPr>
                <w:sz w:val="17"/>
                <w:szCs w:val="17"/>
              </w:rPr>
            </w:pPr>
            <w:r>
              <w:rPr>
                <w:color w:val="595959"/>
                <w:sz w:val="17"/>
                <w:szCs w:val="17"/>
              </w:rPr>
              <w:t>0</w:t>
            </w:r>
          </w:p>
        </w:tc>
        <w:tc>
          <w:tcPr>
            <w:tcW w:w="4306" w:type="dxa"/>
            <w:tcBorders>
              <w:bottom w:val="single" w:sz="2" w:space="0" w:color="C1002C"/>
            </w:tcBorders>
            <w:vAlign w:val="top"/>
          </w:tcPr>
          <w:p>
            <w:pPr>
              <w:spacing w:before="77" w:line="1785" w:lineRule="exact"/>
              <w:ind w:firstLine="112"/>
            </w:pPr>
            <w:r>
              <w:rPr>
                <w:position w:val="-35"/>
              </w:rPr>
              <w:pict>
                <v:group id="_x0000_i1055" style="width:187.3pt;height:89.25pt;mso-position-horizontal-relative:char;mso-position-vertical-relative:line" coordorigin="0,0" coordsize="3746,1785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56" type="#_x0000_t75" style="width:2615;height:1683;left:564;position:absolute;top:96" filled="f" stroked="f">
                    <v:imagedata r:id="rId30" o:title=""/>
                  </v:shape>
                  <v:shape id="_x0000_s1057" style="width:3746;height:1666;position:absolute;top:118" coordorigin="0,0" coordsize="3746,1666" path="m4,1661l4,4m4,1661l57,1661m4,1330l57,1330m4,998l57,998m4,667l57,667m4,337l57,337m4,4l57,4m4,1661l3741,1661m4,1608l4,1661m1872,1608l1872,1661m3741,1608l3741,1661e" filled="f" strokecolor="black" strokeweight="0.48pt"/>
                  <v:shape id="_x0000_s1058" type="#_x0000_t202" style="width:464;height:251;left:1226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08" w:lineRule="auto"/>
                            <w:ind w:left="20"/>
                            <w:rPr>
                              <w:rFonts w:ascii="STXihei" w:eastAsia="STXihei" w:hAnsi="STXihei" w:cs="STXihei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C00000"/>
                              <w:spacing w:val="-7"/>
                              <w:sz w:val="21"/>
                              <w:szCs w:val="21"/>
                            </w:rPr>
                            <w:t>12</w:t>
                          </w:r>
                          <w:r>
                            <w:rPr>
                              <w:rFonts w:ascii="STXihei" w:eastAsia="STXihei" w:hAnsi="STXihei" w:cs="STXihei"/>
                              <w:color w:val="C00000"/>
                              <w:spacing w:val="-7"/>
                              <w:sz w:val="21"/>
                              <w:szCs w:val="21"/>
                            </w:rPr>
                            <w:t>倍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pStyle w:val="TableText"/>
              <w:spacing w:before="126" w:line="228" w:lineRule="auto"/>
              <w:ind w:left="786"/>
              <w:rPr>
                <w:sz w:val="17"/>
                <w:szCs w:val="17"/>
              </w:rPr>
            </w:pPr>
            <w:r>
              <w:rPr>
                <w:color w:val="595959"/>
                <w:spacing w:val="5"/>
                <w:sz w:val="17"/>
                <w:szCs w:val="17"/>
              </w:rPr>
              <w:t>2009年</w:t>
            </w:r>
            <w:r>
              <w:rPr>
                <w:color w:val="595959"/>
                <w:spacing w:val="3"/>
                <w:sz w:val="17"/>
                <w:szCs w:val="17"/>
              </w:rPr>
              <w:t xml:space="preserve">               </w:t>
            </w:r>
            <w:r>
              <w:rPr>
                <w:color w:val="595959"/>
                <w:spacing w:val="5"/>
                <w:sz w:val="17"/>
                <w:szCs w:val="17"/>
              </w:rPr>
              <w:t>2010年</w:t>
            </w:r>
          </w:p>
        </w:tc>
      </w:tr>
    </w:tbl>
    <w:p>
      <w:pPr>
        <w:pStyle w:val="BodyText"/>
        <w:spacing w:before="21" w:line="186" w:lineRule="auto"/>
        <w:ind w:left="120"/>
        <w:rPr>
          <w:sz w:val="15"/>
          <w:szCs w:val="15"/>
        </w:rPr>
      </w:pPr>
      <w:r>
        <w:rPr>
          <w:spacing w:val="-9"/>
          <w:sz w:val="15"/>
          <w:szCs w:val="15"/>
        </w:rPr>
        <w:t>资料来源：</w:t>
      </w:r>
      <w:r>
        <w:rPr>
          <w:spacing w:val="-9"/>
          <w:sz w:val="15"/>
          <w:szCs w:val="15"/>
        </w:rPr>
        <w:t xml:space="preserve"> </w:t>
      </w:r>
      <w:r>
        <w:rPr>
          <w:spacing w:val="-9"/>
          <w:sz w:val="15"/>
          <w:szCs w:val="15"/>
        </w:rPr>
        <w:t>商务部，</w:t>
      </w:r>
      <w:r>
        <w:rPr>
          <w:spacing w:val="-9"/>
          <w:sz w:val="15"/>
          <w:szCs w:val="15"/>
        </w:rPr>
        <w:t xml:space="preserve"> </w:t>
      </w:r>
      <w:r>
        <w:rPr>
          <w:spacing w:val="-9"/>
          <w:sz w:val="15"/>
          <w:szCs w:val="15"/>
        </w:rPr>
        <w:t>国联证券研究所</w:t>
      </w:r>
    </w:p>
    <w:p>
      <w:pPr>
        <w:spacing w:line="186" w:lineRule="auto"/>
        <w:rPr>
          <w:sz w:val="15"/>
          <w:szCs w:val="15"/>
        </w:rPr>
        <w:sectPr>
          <w:headerReference w:type="default" r:id="rId31"/>
          <w:footerReference w:type="default" r:id="rId32"/>
          <w:type w:val="nextPage"/>
          <w:pgSz w:w="11907" w:h="16839"/>
          <w:pgMar w:top="943" w:right="707" w:bottom="743" w:left="821" w:header="289" w:footer="220" w:gutter="0"/>
          <w:pgNumType w:start="11"/>
          <w:cols w:num="2" w:space="708" w:equalWidth="0">
            <w:col w:w="5175" w:space="100"/>
            <w:col w:w="5102" w:space="0"/>
          </w:cols>
          <w:titlePg w:val="0"/>
        </w:sect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69" w:line="359" w:lineRule="auto"/>
        <w:ind w:left="2593" w:right="136" w:firstLine="420"/>
      </w:pPr>
      <w:r>
        <w:rPr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补贴金额较高的省市，</w:t>
      </w:r>
      <w:r>
        <w:rPr>
          <w:spacing w:val="-8"/>
        </w:rPr>
        <w:t xml:space="preserve"> 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其财政支出较高、GDP</w:t>
      </w:r>
      <w:r>
        <w:rPr>
          <w:spacing w:val="-27"/>
        </w:rPr>
        <w:t xml:space="preserve"> 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增长较快。</w:t>
      </w:r>
      <w:r>
        <w:rPr>
          <w:spacing w:val="-8"/>
        </w:rPr>
        <w:t>2010</w:t>
      </w:r>
      <w:r>
        <w:rPr>
          <w:spacing w:val="-45"/>
        </w:rPr>
        <w:t xml:space="preserve"> </w:t>
      </w:r>
      <w:r>
        <w:rPr>
          <w:spacing w:val="-8"/>
        </w:rPr>
        <w:t>年全年，</w:t>
      </w:r>
      <w:r>
        <w:rPr>
          <w:spacing w:val="-57"/>
        </w:rPr>
        <w:t xml:space="preserve"> </w:t>
      </w:r>
      <w:r>
        <w:rPr>
          <w:spacing w:val="-8"/>
        </w:rPr>
        <w:t>补贴金额</w:t>
      </w:r>
      <w:r>
        <w:t xml:space="preserve"> </w:t>
      </w:r>
      <w:r>
        <w:rPr>
          <w:spacing w:val="-10"/>
        </w:rPr>
        <w:t>前十的省市分别为江苏、浙江、山东、四川、河北、安徽、河南、江西、辽宁和北京，</w:t>
      </w:r>
    </w:p>
    <w:p>
      <w:pPr>
        <w:pStyle w:val="BodyText"/>
        <w:spacing w:before="1" w:line="185" w:lineRule="auto"/>
        <w:ind w:left="2585"/>
      </w:pPr>
      <w:r>
        <w:rPr>
          <w:spacing w:val="-3"/>
        </w:rPr>
        <w:t>合计占比达到了</w:t>
      </w:r>
      <w:r>
        <w:rPr>
          <w:spacing w:val="-42"/>
        </w:rPr>
        <w:t xml:space="preserve"> </w:t>
      </w:r>
      <w:r>
        <w:rPr>
          <w:spacing w:val="-3"/>
        </w:rPr>
        <w:t>72%。根据各省市披露情况，2010</w:t>
      </w:r>
      <w:r>
        <w:rPr>
          <w:spacing w:val="-46"/>
        </w:rPr>
        <w:t xml:space="preserve"> </w:t>
      </w:r>
      <w:r>
        <w:rPr>
          <w:spacing w:val="-3"/>
        </w:rPr>
        <w:t>年江</w:t>
      </w:r>
      <w:r>
        <w:rPr>
          <w:spacing w:val="-4"/>
        </w:rPr>
        <w:t>苏省以旧换新拉动新车销售额</w:t>
      </w:r>
    </w:p>
    <w:p>
      <w:pPr>
        <w:spacing w:line="185" w:lineRule="auto"/>
        <w:sectPr>
          <w:headerReference w:type="default" r:id="rId33"/>
          <w:footerReference w:type="default" r:id="rId34"/>
          <w:type w:val="continuous"/>
          <w:pgSz w:w="11907" w:h="16839"/>
          <w:pgMar w:top="943" w:right="707" w:bottom="743" w:left="821" w:header="289" w:footer="220" w:gutter="0"/>
          <w:pgNumType w:start="12"/>
          <w:cols w:num="1" w:space="708" w:equalWidth="0">
            <w:col w:w="10377" w:space="0"/>
          </w:cols>
        </w:sectPr>
      </w:pPr>
    </w:p>
    <w:p>
      <w:pPr>
        <w:spacing w:line="434" w:lineRule="auto"/>
        <w:rPr>
          <w:rFonts w:ascii="Arial"/>
          <w:sz w:val="21"/>
        </w:rPr>
      </w:pPr>
      <w:r>
        <w:pict>
          <v:rect id="_x0000_s1059" style="width:248.1pt;height:0.5pt;margin-top:201.26pt;margin-left:304.85pt;mso-position-horizontal-relative:page;mso-position-vertical-relative:page;position:absolute;z-index:251687936" o:allowincell="f" filled="t" fillcolor="#c1002c" stroked="f"/>
        </w:pict>
      </w:r>
      <w:r>
        <w:pict>
          <v:shape id="_x0000_s1060" style="width:248.1pt;height:0.5pt;margin-top:221.66pt;margin-left:304.85pt;mso-position-horizontal-relative:page;mso-position-vertical-relative:page;position:absolute;z-index:251684864" coordorigin="0,0" coordsize="4962,10" o:allowincell="f" path="m,9l4961,9l4961,l,l,9xe" filled="t" fillcolor="#c1002c" stroked="f"/>
        </w:pict>
      </w:r>
      <w:r>
        <w:pict>
          <v:shape id="_x0000_s1061" style="width:248.1pt;height:0.5pt;margin-top:382.49pt;margin-left:304.85pt;mso-position-horizontal-relative:page;mso-position-vertical-relative:page;position:absolute;z-index:251681792" coordorigin="0,0" coordsize="4962,10" o:allowincell="f" path="m,9l4961,9l4961,l,l,9xe" filled="t" fillcolor="#c1002c" stroked="f"/>
        </w:pict>
      </w:r>
      <w:r>
        <w:pict>
          <v:shape id="_x0000_s1062" style="width:248.1pt;height:0.5pt;margin-top:572.11pt;margin-left:42.6pt;mso-position-horizontal-relative:page;mso-position-vertical-relative:page;position:absolute;z-index:251683840" coordorigin="0,0" coordsize="4962,10" o:allowincell="f" path="m,9l4961,9l4961,l,l,9xe" filled="t" fillcolor="#c1002c" stroked="f"/>
        </w:pict>
      </w:r>
      <w:r>
        <w:pict>
          <v:shape id="_x0000_s1063" style="width:248.1pt;height:0.5pt;margin-top:592.51pt;margin-left:42.6pt;mso-position-horizontal-relative:page;mso-position-vertical-relative:page;position:absolute;z-index:251682816" coordorigin="0,0" coordsize="4962,10" o:allowincell="f" path="m,9l4961,9l4961,l,l,9xe" filled="t" fillcolor="#c1002c" stroked="f"/>
        </w:pict>
      </w:r>
      <w:r>
        <w:pict>
          <v:shape id="_x0000_s1064" style="width:248.1pt;height:0.5pt;margin-top:740.38pt;margin-left:42.6pt;mso-position-horizontal-relative:page;mso-position-vertical-relative:page;position:absolute;z-index:251679744" coordorigin="0,0" coordsize="4962,10" o:allowincell="f" path="m,9l4961,9l4961,l,l,9xe" filled="t" fillcolor="#c1002c" stroked="f"/>
        </w:pict>
      </w:r>
      <w:r>
        <w:pict>
          <v:shape id="_x0000_s1065" style="width:248.1pt;height:0.5pt;margin-top:572.11pt;margin-left:304.85pt;mso-position-horizontal-relative:page;mso-position-vertical-relative:page;position:absolute;z-index:251686912" coordorigin="0,0" coordsize="4962,10" o:allowincell="f" path="m,9l4961,9l4961,l,l,9xe" filled="t" fillcolor="#c1002c" stroked="f"/>
        </w:pict>
      </w:r>
      <w:r>
        <w:pict>
          <v:shape id="_x0000_s1066" style="width:248.1pt;height:0.5pt;margin-top:592.51pt;margin-left:304.85pt;mso-position-horizontal-relative:page;mso-position-vertical-relative:page;position:absolute;z-index:251685888" coordorigin="0,0" coordsize="4962,10" o:allowincell="f" path="m,9l4961,9l4961,l,l,9xe" filled="t" fillcolor="#c1002c" stroked="f"/>
        </w:pict>
      </w:r>
      <w:r>
        <w:pict>
          <v:shape id="_x0000_s1067" style="width:248.1pt;height:0.5pt;margin-top:740.38pt;margin-left:304.85pt;mso-position-horizontal-relative:page;mso-position-vertical-relative:page;position:absolute;z-index:251680768" coordorigin="0,0" coordsize="4962,10" o:allowincell="f" path="m,9l4961,9l4961,l,l,9xe" filled="t" fillcolor="#c1002c" stroked="f"/>
        </w:pict>
      </w:r>
    </w:p>
    <w:p>
      <w:pPr>
        <w:pStyle w:val="BodyText"/>
        <w:spacing w:before="68" w:line="359" w:lineRule="auto"/>
        <w:ind w:left="2584" w:right="77" w:firstLine="16"/>
        <w:jc w:val="both"/>
      </w:pPr>
      <w:r>
        <w:rPr>
          <w:spacing w:val="-6"/>
        </w:rPr>
        <w:t>约</w:t>
      </w:r>
      <w:r>
        <w:rPr>
          <w:spacing w:val="-44"/>
        </w:rPr>
        <w:t xml:space="preserve"> </w:t>
      </w:r>
      <w:r>
        <w:rPr>
          <w:spacing w:val="-6"/>
        </w:rPr>
        <w:t>64.6</w:t>
      </w:r>
      <w:r>
        <w:rPr>
          <w:spacing w:val="-48"/>
        </w:rPr>
        <w:t xml:space="preserve"> </w:t>
      </w:r>
      <w:r>
        <w:rPr>
          <w:spacing w:val="-6"/>
        </w:rPr>
        <w:t>亿元，</w:t>
      </w:r>
      <w:r>
        <w:rPr>
          <w:spacing w:val="-6"/>
        </w:rPr>
        <w:t xml:space="preserve"> </w:t>
      </w:r>
      <w:r>
        <w:rPr>
          <w:spacing w:val="-6"/>
        </w:rPr>
        <w:t>占比达到</w:t>
      </w:r>
      <w:r>
        <w:rPr>
          <w:spacing w:val="-34"/>
        </w:rPr>
        <w:t xml:space="preserve"> </w:t>
      </w:r>
      <w:r>
        <w:rPr>
          <w:spacing w:val="-6"/>
        </w:rPr>
        <w:t>13.0%。20</w:t>
      </w:r>
      <w:r>
        <w:rPr>
          <w:spacing w:val="-7"/>
        </w:rPr>
        <w:t>10</w:t>
      </w:r>
      <w:r>
        <w:rPr>
          <w:spacing w:val="-45"/>
        </w:rPr>
        <w:t xml:space="preserve"> </w:t>
      </w:r>
      <w:r>
        <w:rPr>
          <w:spacing w:val="-7"/>
        </w:rPr>
        <w:t>年山东省以旧换新汽车量为</w:t>
      </w:r>
      <w:r>
        <w:rPr>
          <w:spacing w:val="-50"/>
        </w:rPr>
        <w:t xml:space="preserve"> </w:t>
      </w:r>
      <w:r>
        <w:rPr>
          <w:spacing w:val="-7"/>
        </w:rPr>
        <w:t>4.1</w:t>
      </w:r>
      <w:r>
        <w:rPr>
          <w:spacing w:val="-36"/>
        </w:rPr>
        <w:t xml:space="preserve"> </w:t>
      </w:r>
      <w:r>
        <w:rPr>
          <w:spacing w:val="-7"/>
        </w:rPr>
        <w:t>万辆，</w:t>
      </w:r>
      <w:r>
        <w:rPr>
          <w:spacing w:val="-7"/>
        </w:rPr>
        <w:t xml:space="preserve"> </w:t>
      </w:r>
      <w:r>
        <w:rPr>
          <w:spacing w:val="-7"/>
        </w:rPr>
        <w:t>占比达</w:t>
      </w:r>
      <w:r>
        <w:t xml:space="preserve"> </w:t>
      </w:r>
      <w:r>
        <w:t>到</w:t>
      </w:r>
      <w:r>
        <w:rPr>
          <w:spacing w:val="-39"/>
        </w:rPr>
        <w:t xml:space="preserve"> </w:t>
      </w:r>
      <w:r>
        <w:t>8.9%。2010</w:t>
      </w:r>
      <w:r>
        <w:rPr>
          <w:spacing w:val="-38"/>
        </w:rPr>
        <w:t xml:space="preserve"> </w:t>
      </w:r>
      <w:r>
        <w:t>年河北省以旧换新拉动新</w:t>
      </w:r>
      <w:r>
        <w:rPr>
          <w:spacing w:val="-1"/>
        </w:rPr>
        <w:t>车销售额</w:t>
      </w:r>
      <w:r>
        <w:rPr>
          <w:spacing w:val="-39"/>
        </w:rPr>
        <w:t xml:space="preserve"> </w:t>
      </w:r>
      <w:r>
        <w:rPr>
          <w:spacing w:val="-1"/>
        </w:rPr>
        <w:t>27.2</w:t>
      </w:r>
      <w:r>
        <w:rPr>
          <w:spacing w:val="-41"/>
        </w:rPr>
        <w:t xml:space="preserve"> </w:t>
      </w:r>
      <w:r>
        <w:rPr>
          <w:spacing w:val="-1"/>
        </w:rPr>
        <w:t>亿元，占比达到</w:t>
      </w:r>
      <w:r>
        <w:rPr>
          <w:spacing w:val="-43"/>
        </w:rPr>
        <w:t xml:space="preserve"> </w:t>
      </w:r>
      <w:r>
        <w:rPr>
          <w:spacing w:val="-1"/>
        </w:rPr>
        <w:t>5.5%。从该</w:t>
      </w:r>
      <w:r>
        <w:t xml:space="preserve"> </w:t>
      </w:r>
      <w:r>
        <w:rPr>
          <w:spacing w:val="-2"/>
        </w:rPr>
        <w:t>部分省市的财政支出和</w:t>
      </w:r>
      <w:r>
        <w:rPr>
          <w:spacing w:val="-2"/>
        </w:rPr>
        <w:t xml:space="preserve"> </w:t>
      </w:r>
      <w:r>
        <w:rPr>
          <w:spacing w:val="-2"/>
        </w:rPr>
        <w:t>GDP</w:t>
      </w:r>
      <w:r>
        <w:rPr>
          <w:spacing w:val="-2"/>
        </w:rPr>
        <w:t xml:space="preserve"> </w:t>
      </w:r>
      <w:r>
        <w:rPr>
          <w:spacing w:val="-2"/>
        </w:rPr>
        <w:t>增速来看，</w:t>
      </w:r>
      <w:r>
        <w:rPr>
          <w:spacing w:val="-20"/>
        </w:rPr>
        <w:t xml:space="preserve"> </w:t>
      </w:r>
      <w:r>
        <w:rPr>
          <w:spacing w:val="-2"/>
        </w:rPr>
        <w:t>前十</w:t>
      </w:r>
      <w:r>
        <w:rPr>
          <w:spacing w:val="-3"/>
        </w:rPr>
        <w:t>省市的财政支出占到全国地方财政支出</w:t>
      </w:r>
      <w:r>
        <w:t xml:space="preserve"> </w:t>
      </w:r>
      <w:r>
        <w:t>总和的</w:t>
      </w:r>
      <w:r>
        <w:t xml:space="preserve"> </w:t>
      </w:r>
      <w:r>
        <w:t>45.1%，补贴金额排名靠前的如江苏、山东，其财政支出占</w:t>
      </w:r>
      <w:r>
        <w:rPr>
          <w:spacing w:val="-1"/>
        </w:rPr>
        <w:t>比分别为</w:t>
      </w:r>
      <w:r>
        <w:rPr>
          <w:spacing w:val="-1"/>
        </w:rPr>
        <w:t xml:space="preserve"> </w:t>
      </w:r>
      <w:r>
        <w:rPr>
          <w:spacing w:val="-1"/>
        </w:rPr>
        <w:t>6.7%和</w:t>
      </w:r>
      <w:r>
        <w:t xml:space="preserve"> </w:t>
      </w:r>
      <w:r>
        <w:rPr>
          <w:spacing w:val="-3"/>
        </w:rPr>
        <w:t>5.6%，位于第一和第三；</w:t>
      </w:r>
      <w:r>
        <w:rPr>
          <w:spacing w:val="-30"/>
        </w:rPr>
        <w:t xml:space="preserve"> </w:t>
      </w:r>
      <w:r>
        <w:rPr>
          <w:spacing w:val="-3"/>
        </w:rPr>
        <w:t>2010</w:t>
      </w:r>
      <w:r>
        <w:rPr>
          <w:spacing w:val="-28"/>
        </w:rPr>
        <w:t xml:space="preserve"> </w:t>
      </w:r>
      <w:r>
        <w:rPr>
          <w:spacing w:val="-3"/>
        </w:rPr>
        <w:t>年全国</w:t>
      </w:r>
      <w:r>
        <w:rPr>
          <w:spacing w:val="-31"/>
        </w:rPr>
        <w:t xml:space="preserve"> </w:t>
      </w:r>
      <w:r>
        <w:rPr>
          <w:spacing w:val="-3"/>
        </w:rPr>
        <w:t>GDP</w:t>
      </w:r>
      <w:r>
        <w:rPr>
          <w:spacing w:val="-27"/>
        </w:rPr>
        <w:t xml:space="preserve"> </w:t>
      </w:r>
      <w:r>
        <w:rPr>
          <w:spacing w:val="-3"/>
        </w:rPr>
        <w:t>增速为</w:t>
      </w:r>
      <w:r>
        <w:rPr>
          <w:spacing w:val="-3"/>
        </w:rPr>
        <w:t xml:space="preserve"> </w:t>
      </w:r>
      <w:r>
        <w:rPr>
          <w:spacing w:val="-3"/>
        </w:rPr>
        <w:t>1</w:t>
      </w:r>
      <w:r>
        <w:rPr>
          <w:spacing w:val="-4"/>
        </w:rPr>
        <w:t>0.6%，前十省市的</w:t>
      </w:r>
      <w:r>
        <w:rPr>
          <w:spacing w:val="-33"/>
        </w:rPr>
        <w:t xml:space="preserve"> </w:t>
      </w:r>
      <w:r>
        <w:rPr>
          <w:spacing w:val="-4"/>
        </w:rPr>
        <w:t>GDP</w:t>
      </w:r>
      <w:r>
        <w:rPr>
          <w:spacing w:val="-28"/>
        </w:rPr>
        <w:t xml:space="preserve"> </w:t>
      </w:r>
      <w:r>
        <w:rPr>
          <w:spacing w:val="-4"/>
        </w:rPr>
        <w:t>增速基本</w:t>
      </w:r>
    </w:p>
    <w:p>
      <w:pPr>
        <w:pStyle w:val="BodyText"/>
        <w:spacing w:line="213" w:lineRule="auto"/>
        <w:ind w:left="2608"/>
      </w:pPr>
      <w:r>
        <w:rPr>
          <w:spacing w:val="-3"/>
        </w:rPr>
        <w:t>高于平均线，发展较为迅速。</w:t>
      </w:r>
    </w:p>
    <w:p>
      <w:pPr>
        <w:spacing w:before="50"/>
      </w:pPr>
    </w:p>
    <w:p>
      <w:pPr>
        <w:sectPr>
          <w:headerReference w:type="default" r:id="rId35"/>
          <w:footerReference w:type="default" r:id="rId36"/>
          <w:pgSz w:w="11907" w:h="16839"/>
          <w:pgMar w:top="943" w:right="765" w:bottom="743" w:left="821" w:header="289" w:footer="220" w:gutter="0"/>
          <w:pgNumType w:start="13"/>
          <w:cols w:num="1" w:space="708" w:equalWidth="0">
            <w:col w:w="10320" w:space="0"/>
          </w:cols>
        </w:sectPr>
      </w:pPr>
    </w:p>
    <w:tbl>
      <w:tblPr>
        <w:tblStyle w:val="TableNormal4"/>
        <w:tblW w:w="4961" w:type="dxa"/>
        <w:tblInd w:w="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16"/>
        <w:gridCol w:w="3146"/>
        <w:gridCol w:w="899"/>
      </w:tblGrid>
      <w:tr>
        <w:tblPrEx>
          <w:tblW w:w="4961" w:type="dxa"/>
          <w:tblInd w:w="3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07"/>
        </w:trPr>
        <w:tc>
          <w:tcPr>
            <w:tcW w:w="4961" w:type="dxa"/>
            <w:gridSpan w:val="3"/>
            <w:tcBorders>
              <w:top w:val="single" w:sz="2" w:space="0" w:color="C1002C"/>
              <w:bottom w:val="single" w:sz="2" w:space="0" w:color="C1002C"/>
            </w:tcBorders>
            <w:vAlign w:val="top"/>
          </w:tcPr>
          <w:p>
            <w:pPr>
              <w:pStyle w:val="TableText"/>
              <w:spacing w:before="104" w:line="228" w:lineRule="auto"/>
              <w:ind w:left="168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图表</w:t>
            </w:r>
            <w:r>
              <w:rPr>
                <w:rFonts w:ascii="Arial" w:eastAsia="Arial" w:hAnsi="Arial" w:cs="Arial"/>
                <w:b/>
                <w:bCs/>
                <w:spacing w:val="8"/>
                <w:sz w:val="19"/>
                <w:szCs w:val="19"/>
              </w:rPr>
              <w:t>5</w:t>
            </w:r>
            <w:r>
              <w:rPr>
                <w:spacing w:val="8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：补贴金额前十的省市财政支出占比达到</w:t>
            </w:r>
            <w:r>
              <w:rPr>
                <w:spacing w:val="-35"/>
                <w:sz w:val="19"/>
                <w:szCs w:val="19"/>
              </w:rPr>
              <w:t xml:space="preserve"> </w:t>
            </w:r>
            <w:r>
              <w:rPr>
                <w:spacing w:val="8"/>
                <w:sz w:val="19"/>
                <w:szCs w:val="19"/>
                <w14:textOutline w14:w="361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45.1%</w:t>
            </w:r>
          </w:p>
        </w:tc>
      </w:tr>
      <w:tr>
        <w:tblPrEx>
          <w:tblW w:w="4961" w:type="dxa"/>
          <w:tblInd w:w="30" w:type="dxa"/>
          <w:tblLayout w:type="fixed"/>
        </w:tblPrEx>
        <w:trPr>
          <w:trHeight w:val="3212"/>
        </w:trPr>
        <w:tc>
          <w:tcPr>
            <w:tcW w:w="916" w:type="dxa"/>
            <w:tcBorders>
              <w:top w:val="single" w:sz="2" w:space="0" w:color="C1002C"/>
              <w:bottom w:val="single" w:sz="2" w:space="0" w:color="C1002C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9" w:line="183" w:lineRule="auto"/>
              <w:ind w:left="495"/>
              <w:rPr>
                <w:sz w:val="15"/>
                <w:szCs w:val="15"/>
              </w:rPr>
            </w:pPr>
            <w:r>
              <w:rPr>
                <w:color w:val="404040"/>
                <w:spacing w:val="-1"/>
                <w:sz w:val="15"/>
                <w:szCs w:val="15"/>
              </w:rPr>
              <w:t>54.9%</w:t>
            </w:r>
          </w:p>
        </w:tc>
        <w:tc>
          <w:tcPr>
            <w:tcW w:w="3146" w:type="dxa"/>
            <w:tcBorders>
              <w:top w:val="single" w:sz="2" w:space="0" w:color="C1002C"/>
              <w:bottom w:val="single" w:sz="2" w:space="0" w:color="C1002C"/>
            </w:tcBorders>
            <w:vAlign w:val="top"/>
          </w:tcPr>
          <w:p>
            <w:pPr>
              <w:pStyle w:val="TableText"/>
              <w:spacing w:before="215" w:line="183" w:lineRule="auto"/>
              <w:ind w:left="1490"/>
              <w:rPr>
                <w:sz w:val="15"/>
                <w:szCs w:val="15"/>
              </w:rPr>
            </w:pPr>
            <w:r>
              <w:pict>
                <v:group id="_x0000_s1068" style="width:119.5pt;height:119.4pt;margin-top:20.48pt;margin-left:-154.89pt;mso-position-horizontal-relative:right-margin-area;mso-position-vertical-relative:top-margin-area;position:absolute;z-index:-251627520" coordorigin="0,0" coordsize="2390,2388" filled="f" stroked="f">
                  <v:shape id="_x0000_s1069" style="width:485;height:1190;left:1195;position:absolute" coordorigin="0,0" coordsize="485,1190" path="m,m,c166,,331,35,484,103l,1190l,xe" filled="t" fillcolor="#d20a10" stroked="f"/>
                  <v:shape id="_x0000_s1070" style="width:840;height:1088;left:1195;position:absolute;top:103" coordorigin="0,0" coordsize="840,1088" path="m484,m484,c616,58,736,141,839,243l,1087l484,xe" filled="t" fillcolor="#203864" stroked="f"/>
                  <v:shape id="_x0000_s1071" style="width:1080;height:844;left:1195;position:absolute;top:346" coordorigin="0,0" coordsize="1080,844" path="m839,c938,99,1020,215,1079,343l,843l839,xe" filled="t" fillcolor="#eb8585" stroked="f"/>
                  <v:shape id="_x0000_s1072" style="width:1178;height:500;left:1195;position:absolute;top:689" coordorigin="0,0" coordsize="1178,500" path="m1079,c1127,105,1160,216,1177,331l,500l1079,xe" filled="t" fillcolor="#2f65c7" stroked="f"/>
                  <v:shape id="_x0000_s1073" style="width:1194;height:325;left:1195;position:absolute;top:1021" coordorigin="0,0" coordsize="1194,325" path="m1177,c1192,107,1193,217,1179,324l,168l1177,xe" filled="t" fillcolor="#fec6c6" stroked="f"/>
                  <v:shape id="_x0000_s1074" style="width:1180;height:469;left:1195;position:absolute;top:1190" coordorigin="0,0" coordsize="1180,469" path="m1179,156c1164,263,1136,368,1093,468l,l1179,156xe" filled="t" fillcolor="#bdd7ee" stroked="f"/>
                  <v:shape id="_x0000_s1075" style="width:1094;height:715;left:1195;position:absolute;top:1190" coordorigin="0,0" coordsize="1094,715" path="m1093,468c1055,556,1007,639,950,715l,l1093,468xe" filled="t" fillcolor="#595959" stroked="f"/>
                  <v:shape id="_x0000_s1076" style="width:950;height:915;left:1195;position:absolute;top:1190" coordorigin="0,0" coordsize="950,915" path="m950,715m950,715c895,789,831,856,760,915l,l950,715xe" filled="t" fillcolor="#bfbfbf" stroked="f"/>
                  <v:shape id="_x0000_s1077" style="width:760;height:1060;left:1195;position:absolute;top:1190" coordorigin="0,0" coordsize="760,1060" path="m760,915m760,915c693,971,619,1019,541,1059l,l760,915xe" filled="t" fillcolor="#8faadc" stroked="f"/>
                  <v:shape id="_x0000_s1078" style="width:542;height:1135;left:1195;position:absolute;top:1190" coordorigin="0,0" coordsize="542,1135" path="m541,1059m541,1059c483,1089,423,1114,361,1134l,l541,1059xe" filled="t" fillcolor="#f4b183" stroked="f"/>
                  <v:shape id="_x0000_s1079" style="width:1558;height:2388;position:absolute" coordorigin="0,0" coordsize="1558,2388" path="m1557,2324c931,2524,262,2178,62,1552c-136,925,208,255,834,56c951,18,1073,,1195,l1195,1190l1557,2324xe" filled="t" fillcolor="#fff2cc" stroked="f"/>
                </v:group>
              </w:pict>
            </w:r>
            <w:r>
              <w:rPr>
                <w:color w:val="404040"/>
                <w:spacing w:val="-1"/>
                <w:sz w:val="15"/>
                <w:szCs w:val="15"/>
              </w:rPr>
              <w:t>6.7%</w:t>
            </w:r>
          </w:p>
          <w:p>
            <w:pPr>
              <w:pStyle w:val="TableText"/>
              <w:spacing w:before="42" w:line="182" w:lineRule="auto"/>
              <w:ind w:left="2008"/>
              <w:rPr>
                <w:sz w:val="15"/>
                <w:szCs w:val="15"/>
              </w:rPr>
            </w:pPr>
            <w:r>
              <w:rPr>
                <w:color w:val="404040"/>
                <w:spacing w:val="-1"/>
                <w:sz w:val="15"/>
                <w:szCs w:val="15"/>
              </w:rPr>
              <w:t>5.8%</w:t>
            </w:r>
          </w:p>
          <w:p>
            <w:pPr>
              <w:pStyle w:val="TableText"/>
              <w:spacing w:before="198" w:line="183" w:lineRule="auto"/>
              <w:ind w:left="2325"/>
              <w:rPr>
                <w:sz w:val="15"/>
                <w:szCs w:val="15"/>
              </w:rPr>
            </w:pPr>
            <w:r>
              <w:rPr>
                <w:color w:val="404040"/>
                <w:spacing w:val="-1"/>
                <w:sz w:val="15"/>
                <w:szCs w:val="15"/>
              </w:rPr>
              <w:t>5.6%</w:t>
            </w:r>
          </w:p>
          <w:p>
            <w:pPr>
              <w:pStyle w:val="TableText"/>
              <w:spacing w:before="260" w:line="182" w:lineRule="auto"/>
              <w:ind w:left="2498"/>
              <w:rPr>
                <w:sz w:val="15"/>
                <w:szCs w:val="15"/>
              </w:rPr>
            </w:pPr>
            <w:r>
              <w:rPr>
                <w:color w:val="404040"/>
                <w:spacing w:val="-1"/>
                <w:sz w:val="15"/>
                <w:szCs w:val="15"/>
              </w:rPr>
              <w:t>4.6%</w:t>
            </w:r>
          </w:p>
          <w:p>
            <w:pPr>
              <w:pStyle w:val="TableText"/>
              <w:spacing w:before="233" w:line="182" w:lineRule="auto"/>
              <w:ind w:left="2550"/>
              <w:rPr>
                <w:sz w:val="15"/>
                <w:szCs w:val="15"/>
              </w:rPr>
            </w:pPr>
            <w:r>
              <w:rPr>
                <w:color w:val="404040"/>
                <w:spacing w:val="-1"/>
                <w:sz w:val="15"/>
                <w:szCs w:val="15"/>
              </w:rPr>
              <w:t>4.4%</w:t>
            </w:r>
          </w:p>
          <w:p>
            <w:pPr>
              <w:pStyle w:val="TableText"/>
              <w:spacing w:before="220" w:line="184" w:lineRule="auto"/>
              <w:ind w:left="2505"/>
              <w:rPr>
                <w:sz w:val="15"/>
                <w:szCs w:val="15"/>
              </w:rPr>
            </w:pPr>
            <w:r>
              <w:rPr>
                <w:color w:val="404040"/>
                <w:spacing w:val="-1"/>
                <w:sz w:val="15"/>
                <w:szCs w:val="15"/>
              </w:rPr>
              <w:t>4.3%</w:t>
            </w:r>
          </w:p>
          <w:p>
            <w:pPr>
              <w:pStyle w:val="TableText"/>
              <w:spacing w:before="180" w:line="184" w:lineRule="auto"/>
              <w:ind w:left="2386"/>
              <w:rPr>
                <w:sz w:val="15"/>
                <w:szCs w:val="15"/>
              </w:rPr>
            </w:pPr>
            <w:r>
              <w:rPr>
                <w:color w:val="404040"/>
                <w:spacing w:val="-2"/>
                <w:sz w:val="15"/>
                <w:szCs w:val="15"/>
              </w:rPr>
              <w:t>3.8%</w:t>
            </w:r>
          </w:p>
          <w:p>
            <w:pPr>
              <w:pStyle w:val="TableText"/>
              <w:spacing w:before="131" w:line="184" w:lineRule="auto"/>
              <w:ind w:left="2209"/>
              <w:rPr>
                <w:sz w:val="15"/>
                <w:szCs w:val="15"/>
              </w:rPr>
            </w:pPr>
            <w:r>
              <w:rPr>
                <w:color w:val="404040"/>
                <w:spacing w:val="-2"/>
                <w:sz w:val="15"/>
                <w:szCs w:val="15"/>
              </w:rPr>
              <w:t>3.7%</w:t>
            </w:r>
          </w:p>
          <w:p>
            <w:pPr>
              <w:pStyle w:val="TableText"/>
              <w:spacing w:before="36" w:line="111" w:lineRule="exact"/>
              <w:ind w:left="1992"/>
              <w:rPr>
                <w:sz w:val="15"/>
                <w:szCs w:val="15"/>
              </w:rPr>
            </w:pPr>
            <w:r>
              <w:rPr>
                <w:color w:val="404040"/>
                <w:spacing w:val="-2"/>
                <w:position w:val="-2"/>
                <w:sz w:val="15"/>
                <w:szCs w:val="15"/>
              </w:rPr>
              <w:t>3.5%</w:t>
            </w:r>
          </w:p>
          <w:p>
            <w:pPr>
              <w:pStyle w:val="TableText"/>
              <w:spacing w:line="184" w:lineRule="auto"/>
              <w:ind w:left="1779"/>
              <w:rPr>
                <w:sz w:val="15"/>
                <w:szCs w:val="15"/>
              </w:rPr>
            </w:pPr>
            <w:r>
              <w:rPr>
                <w:color w:val="404040"/>
                <w:spacing w:val="-1"/>
                <w:sz w:val="15"/>
                <w:szCs w:val="15"/>
              </w:rPr>
              <w:t>2.6%</w:t>
            </w:r>
          </w:p>
        </w:tc>
        <w:tc>
          <w:tcPr>
            <w:tcW w:w="899" w:type="dxa"/>
            <w:tcBorders>
              <w:top w:val="single" w:sz="2" w:space="0" w:color="C1002C"/>
              <w:bottom w:val="single" w:sz="2" w:space="0" w:color="C1002C"/>
            </w:tcBorders>
            <w:vAlign w:val="top"/>
          </w:tcPr>
          <w:p>
            <w:pPr>
              <w:pStyle w:val="TableText"/>
              <w:spacing w:before="278" w:line="249" w:lineRule="exact"/>
              <w:ind w:left="298"/>
              <w:rPr>
                <w:sz w:val="15"/>
                <w:szCs w:val="15"/>
              </w:rPr>
            </w:pPr>
            <w:r>
              <w:rPr>
                <w:color w:val="595959"/>
                <w:position w:val="9"/>
                <w:sz w:val="15"/>
                <w:szCs w:val="15"/>
              </w:rPr>
              <w:drawing>
                <wp:inline distT="0" distB="0" distL="0" distR="0">
                  <wp:extent cx="43301" cy="43344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1" cy="43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33"/>
                <w:position w:val="7"/>
                <w:sz w:val="15"/>
                <w:szCs w:val="15"/>
              </w:rPr>
              <w:t xml:space="preserve"> </w:t>
            </w:r>
            <w:r>
              <w:rPr>
                <w:color w:val="595959"/>
                <w:spacing w:val="-4"/>
                <w:position w:val="7"/>
                <w:sz w:val="15"/>
                <w:szCs w:val="15"/>
              </w:rPr>
              <w:t>江苏</w:t>
            </w:r>
          </w:p>
          <w:p>
            <w:pPr>
              <w:pStyle w:val="TableText"/>
              <w:spacing w:line="219" w:lineRule="auto"/>
              <w:ind w:left="298"/>
              <w:rPr>
                <w:sz w:val="15"/>
                <w:szCs w:val="15"/>
              </w:rPr>
            </w:pPr>
            <w:r>
              <w:rPr>
                <w:color w:val="595959"/>
                <w:position w:val="2"/>
                <w:sz w:val="15"/>
                <w:szCs w:val="15"/>
              </w:rPr>
              <w:drawing>
                <wp:inline distT="0" distB="0" distL="0" distR="0">
                  <wp:extent cx="43301" cy="42069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1" cy="42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34"/>
                <w:sz w:val="15"/>
                <w:szCs w:val="15"/>
              </w:rPr>
              <w:t xml:space="preserve"> </w:t>
            </w:r>
            <w:r>
              <w:rPr>
                <w:color w:val="595959"/>
                <w:spacing w:val="-3"/>
                <w:sz w:val="15"/>
                <w:szCs w:val="15"/>
              </w:rPr>
              <w:t>四川</w:t>
            </w:r>
          </w:p>
          <w:p>
            <w:pPr>
              <w:pStyle w:val="TableText"/>
              <w:spacing w:before="71" w:line="222" w:lineRule="auto"/>
              <w:ind w:left="298"/>
              <w:rPr>
                <w:sz w:val="15"/>
                <w:szCs w:val="15"/>
              </w:rPr>
            </w:pPr>
            <w:r>
              <w:rPr>
                <w:color w:val="595959"/>
                <w:position w:val="2"/>
                <w:sz w:val="15"/>
                <w:szCs w:val="15"/>
              </w:rPr>
              <w:drawing>
                <wp:inline distT="0" distB="0" distL="0" distR="0">
                  <wp:extent cx="43301" cy="43344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1" cy="43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31"/>
                <w:sz w:val="15"/>
                <w:szCs w:val="15"/>
              </w:rPr>
              <w:t xml:space="preserve"> </w:t>
            </w:r>
            <w:r>
              <w:rPr>
                <w:color w:val="595959"/>
                <w:spacing w:val="-4"/>
                <w:sz w:val="15"/>
                <w:szCs w:val="15"/>
              </w:rPr>
              <w:t>山东</w:t>
            </w:r>
          </w:p>
          <w:p>
            <w:pPr>
              <w:pStyle w:val="TableText"/>
              <w:spacing w:before="69" w:line="218" w:lineRule="auto"/>
              <w:ind w:left="298"/>
              <w:rPr>
                <w:sz w:val="15"/>
                <w:szCs w:val="15"/>
              </w:rPr>
            </w:pPr>
            <w:r>
              <w:rPr>
                <w:color w:val="595959"/>
                <w:position w:val="2"/>
                <w:sz w:val="15"/>
                <w:szCs w:val="15"/>
              </w:rPr>
              <w:drawing>
                <wp:inline distT="0" distB="0" distL="0" distR="0">
                  <wp:extent cx="43301" cy="43344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1" cy="43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32"/>
                <w:sz w:val="15"/>
                <w:szCs w:val="15"/>
              </w:rPr>
              <w:t xml:space="preserve"> </w:t>
            </w:r>
            <w:r>
              <w:rPr>
                <w:color w:val="595959"/>
                <w:spacing w:val="-4"/>
                <w:sz w:val="15"/>
                <w:szCs w:val="15"/>
              </w:rPr>
              <w:t>河南</w:t>
            </w:r>
          </w:p>
          <w:p>
            <w:pPr>
              <w:pStyle w:val="TableText"/>
              <w:spacing w:before="72" w:line="222" w:lineRule="auto"/>
              <w:ind w:left="298"/>
              <w:rPr>
                <w:sz w:val="15"/>
                <w:szCs w:val="15"/>
              </w:rPr>
            </w:pPr>
            <w:r>
              <w:rPr>
                <w:color w:val="595959"/>
                <w:position w:val="2"/>
                <w:sz w:val="15"/>
                <w:szCs w:val="15"/>
              </w:rPr>
              <w:drawing>
                <wp:inline distT="0" distB="0" distL="0" distR="0">
                  <wp:extent cx="43301" cy="43344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1" cy="43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39"/>
                <w:sz w:val="15"/>
                <w:szCs w:val="15"/>
              </w:rPr>
              <w:t xml:space="preserve"> </w:t>
            </w:r>
            <w:r>
              <w:rPr>
                <w:color w:val="595959"/>
                <w:spacing w:val="-2"/>
                <w:sz w:val="15"/>
                <w:szCs w:val="15"/>
              </w:rPr>
              <w:t>浙江</w:t>
            </w:r>
          </w:p>
          <w:p>
            <w:pPr>
              <w:pStyle w:val="TableText"/>
              <w:spacing w:before="69" w:line="220" w:lineRule="auto"/>
              <w:ind w:left="298"/>
              <w:rPr>
                <w:sz w:val="15"/>
                <w:szCs w:val="15"/>
              </w:rPr>
            </w:pPr>
            <w:r>
              <w:rPr>
                <w:color w:val="595959"/>
                <w:position w:val="2"/>
                <w:sz w:val="15"/>
                <w:szCs w:val="15"/>
              </w:rPr>
              <w:drawing>
                <wp:inline distT="0" distB="0" distL="0" distR="0">
                  <wp:extent cx="43301" cy="42069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1" cy="42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37"/>
                <w:sz w:val="15"/>
                <w:szCs w:val="15"/>
              </w:rPr>
              <w:t xml:space="preserve"> </w:t>
            </w:r>
            <w:r>
              <w:rPr>
                <w:color w:val="595959"/>
                <w:spacing w:val="-3"/>
                <w:sz w:val="15"/>
                <w:szCs w:val="15"/>
              </w:rPr>
              <w:t>辽宁</w:t>
            </w:r>
          </w:p>
          <w:p>
            <w:pPr>
              <w:pStyle w:val="TableText"/>
              <w:spacing w:before="71" w:line="226" w:lineRule="auto"/>
              <w:ind w:left="298"/>
              <w:rPr>
                <w:sz w:val="15"/>
                <w:szCs w:val="15"/>
              </w:rPr>
            </w:pPr>
            <w:r>
              <w:rPr>
                <w:color w:val="595959"/>
                <w:position w:val="2"/>
                <w:sz w:val="15"/>
                <w:szCs w:val="15"/>
              </w:rPr>
              <w:drawing>
                <wp:inline distT="0" distB="0" distL="0" distR="0">
                  <wp:extent cx="43301" cy="43344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1" cy="43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32"/>
                <w:sz w:val="15"/>
                <w:szCs w:val="15"/>
              </w:rPr>
              <w:t xml:space="preserve"> </w:t>
            </w:r>
            <w:r>
              <w:rPr>
                <w:color w:val="595959"/>
                <w:spacing w:val="-4"/>
                <w:sz w:val="15"/>
                <w:szCs w:val="15"/>
              </w:rPr>
              <w:t>河北</w:t>
            </w:r>
          </w:p>
          <w:p>
            <w:pPr>
              <w:pStyle w:val="TableText"/>
              <w:spacing w:before="66" w:line="222" w:lineRule="auto"/>
              <w:ind w:left="298"/>
              <w:rPr>
                <w:sz w:val="15"/>
                <w:szCs w:val="15"/>
              </w:rPr>
            </w:pPr>
            <w:r>
              <w:rPr>
                <w:color w:val="595959"/>
                <w:position w:val="2"/>
                <w:sz w:val="15"/>
                <w:szCs w:val="15"/>
              </w:rPr>
              <w:drawing>
                <wp:inline distT="0" distB="0" distL="0" distR="0">
                  <wp:extent cx="43301" cy="43344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1" cy="43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33"/>
                <w:sz w:val="15"/>
                <w:szCs w:val="15"/>
              </w:rPr>
              <w:t xml:space="preserve"> </w:t>
            </w:r>
            <w:r>
              <w:rPr>
                <w:color w:val="595959"/>
                <w:spacing w:val="-4"/>
                <w:sz w:val="15"/>
                <w:szCs w:val="15"/>
              </w:rPr>
              <w:t>北京</w:t>
            </w:r>
          </w:p>
          <w:p>
            <w:pPr>
              <w:pStyle w:val="TableText"/>
              <w:spacing w:before="69" w:line="225" w:lineRule="auto"/>
              <w:ind w:left="298"/>
              <w:rPr>
                <w:sz w:val="15"/>
                <w:szCs w:val="15"/>
              </w:rPr>
            </w:pPr>
            <w:r>
              <w:rPr>
                <w:color w:val="595959"/>
                <w:position w:val="2"/>
                <w:sz w:val="15"/>
                <w:szCs w:val="15"/>
              </w:rPr>
              <w:drawing>
                <wp:inline distT="0" distB="0" distL="0" distR="0">
                  <wp:extent cx="43301" cy="43344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1" cy="43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39"/>
                <w:sz w:val="15"/>
                <w:szCs w:val="15"/>
              </w:rPr>
              <w:t xml:space="preserve"> </w:t>
            </w:r>
            <w:r>
              <w:rPr>
                <w:color w:val="595959"/>
                <w:spacing w:val="-2"/>
                <w:sz w:val="15"/>
                <w:szCs w:val="15"/>
              </w:rPr>
              <w:t>安徽</w:t>
            </w:r>
          </w:p>
          <w:p>
            <w:pPr>
              <w:pStyle w:val="TableText"/>
              <w:spacing w:before="66" w:line="232" w:lineRule="auto"/>
              <w:ind w:left="298"/>
              <w:rPr>
                <w:sz w:val="15"/>
                <w:szCs w:val="15"/>
              </w:rPr>
            </w:pPr>
            <w:r>
              <w:rPr>
                <w:color w:val="595959"/>
                <w:position w:val="2"/>
                <w:sz w:val="15"/>
                <w:szCs w:val="15"/>
              </w:rPr>
              <w:drawing>
                <wp:inline distT="0" distB="0" distL="0" distR="0">
                  <wp:extent cx="43301" cy="42069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1" cy="42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33"/>
                <w:sz w:val="15"/>
                <w:szCs w:val="15"/>
              </w:rPr>
              <w:t xml:space="preserve"> </w:t>
            </w:r>
            <w:r>
              <w:rPr>
                <w:color w:val="595959"/>
                <w:spacing w:val="-4"/>
                <w:sz w:val="15"/>
                <w:szCs w:val="15"/>
              </w:rPr>
              <w:t>江西</w:t>
            </w:r>
          </w:p>
          <w:p>
            <w:pPr>
              <w:pStyle w:val="TableText"/>
              <w:spacing w:before="62" w:line="218" w:lineRule="auto"/>
              <w:ind w:left="298"/>
              <w:rPr>
                <w:sz w:val="15"/>
                <w:szCs w:val="15"/>
              </w:rPr>
            </w:pPr>
            <w:r>
              <w:rPr>
                <w:color w:val="595959"/>
                <w:position w:val="2"/>
                <w:sz w:val="15"/>
                <w:szCs w:val="15"/>
              </w:rPr>
              <w:drawing>
                <wp:inline distT="0" distB="0" distL="0" distR="0">
                  <wp:extent cx="43301" cy="43344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01" cy="43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39"/>
                <w:sz w:val="15"/>
                <w:szCs w:val="15"/>
              </w:rPr>
              <w:t xml:space="preserve"> </w:t>
            </w:r>
            <w:r>
              <w:rPr>
                <w:color w:val="595959"/>
                <w:spacing w:val="-2"/>
                <w:sz w:val="15"/>
                <w:szCs w:val="15"/>
              </w:rPr>
              <w:t>其他</w:t>
            </w:r>
          </w:p>
        </w:tc>
      </w:tr>
    </w:tbl>
    <w:p>
      <w:pPr>
        <w:pStyle w:val="BodyText"/>
        <w:spacing w:before="21" w:line="186" w:lineRule="auto"/>
        <w:ind w:left="147"/>
        <w:rPr>
          <w:sz w:val="15"/>
          <w:szCs w:val="15"/>
        </w:rPr>
      </w:pPr>
      <w:r>
        <w:rPr>
          <w:spacing w:val="-8"/>
          <w:sz w:val="15"/>
          <w:szCs w:val="15"/>
        </w:rPr>
        <w:t>资料来源：</w:t>
      </w:r>
      <w:r>
        <w:rPr>
          <w:spacing w:val="-8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商务部，</w:t>
      </w:r>
      <w:r>
        <w:rPr>
          <w:spacing w:val="-8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财政部，</w:t>
      </w:r>
      <w:r>
        <w:rPr>
          <w:spacing w:val="-19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Wind，国联证券研究所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08" w:line="228" w:lineRule="auto"/>
        <w:ind w:left="171"/>
        <w:rPr>
          <w:sz w:val="19"/>
          <w:szCs w:val="19"/>
        </w:rPr>
      </w:pPr>
      <w:r>
        <w:rPr>
          <w:spacing w:val="8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图表</w:t>
      </w:r>
      <w:r>
        <w:rPr>
          <w:rFonts w:ascii="Arial" w:eastAsia="Arial" w:hAnsi="Arial" w:cs="Arial"/>
          <w:b/>
          <w:bCs/>
          <w:spacing w:val="8"/>
          <w:sz w:val="19"/>
          <w:szCs w:val="19"/>
        </w:rPr>
        <w:t>6</w:t>
      </w:r>
      <w:r>
        <w:rPr>
          <w:spacing w:val="8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：补贴金额前十的省市</w:t>
      </w:r>
      <w:r>
        <w:rPr>
          <w:spacing w:val="-29"/>
          <w:sz w:val="19"/>
          <w:szCs w:val="19"/>
        </w:rPr>
        <w:t xml:space="preserve"> </w:t>
      </w:r>
      <w:r>
        <w:rPr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GDP</w:t>
      </w:r>
      <w:r>
        <w:rPr>
          <w:spacing w:val="-36"/>
          <w:sz w:val="19"/>
          <w:szCs w:val="19"/>
        </w:rPr>
        <w:t xml:space="preserve"> </w:t>
      </w:r>
      <w:r>
        <w:rPr>
          <w:spacing w:val="8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增长较快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42" w:line="220" w:lineRule="auto"/>
        <w:ind w:left="2033"/>
        <w:rPr>
          <w:sz w:val="13"/>
          <w:szCs w:val="13"/>
        </w:rPr>
      </w:pPr>
      <w:r>
        <w:rPr>
          <w:color w:val="595959"/>
          <w:position w:val="1"/>
          <w:sz w:val="13"/>
          <w:szCs w:val="13"/>
        </w:rPr>
        <w:drawing>
          <wp:inline distT="0" distB="0" distL="0" distR="0">
            <wp:extent cx="36732" cy="37828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6732" cy="37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31"/>
          <w:sz w:val="13"/>
          <w:szCs w:val="13"/>
        </w:rPr>
        <w:t xml:space="preserve"> </w:t>
      </w:r>
      <w:r>
        <w:rPr>
          <w:color w:val="595959"/>
          <w:sz w:val="13"/>
          <w:szCs w:val="13"/>
        </w:rPr>
        <w:t>2010年GDP增速</w:t>
      </w:r>
    </w:p>
    <w:p>
      <w:pPr>
        <w:spacing w:line="105" w:lineRule="exact"/>
      </w:pPr>
    </w:p>
    <w:tbl>
      <w:tblPr>
        <w:tblStyle w:val="TableNormal4"/>
        <w:tblW w:w="4630" w:type="dxa"/>
        <w:tblInd w:w="13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68"/>
        <w:gridCol w:w="4262"/>
      </w:tblGrid>
      <w:tr>
        <w:tblPrEx>
          <w:tblW w:w="4630" w:type="dxa"/>
          <w:tblInd w:w="13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35"/>
        </w:trPr>
        <w:tc>
          <w:tcPr>
            <w:tcW w:w="368" w:type="dxa"/>
            <w:vAlign w:val="top"/>
          </w:tcPr>
          <w:p>
            <w:pPr>
              <w:pStyle w:val="TableText"/>
              <w:spacing w:before="27" w:line="358" w:lineRule="auto"/>
              <w:ind w:right="50"/>
              <w:jc w:val="right"/>
              <w:rPr>
                <w:sz w:val="13"/>
                <w:szCs w:val="13"/>
              </w:rPr>
            </w:pPr>
            <w:r>
              <w:rPr>
                <w:color w:val="595959"/>
                <w:spacing w:val="-2"/>
                <w:sz w:val="13"/>
                <w:szCs w:val="13"/>
              </w:rPr>
              <w:t>16.0%</w:t>
            </w:r>
            <w:r>
              <w:rPr>
                <w:color w:val="595959"/>
                <w:sz w:val="13"/>
                <w:szCs w:val="13"/>
              </w:rPr>
              <w:t xml:space="preserve"> </w:t>
            </w:r>
            <w:r>
              <w:rPr>
                <w:color w:val="595959"/>
                <w:spacing w:val="-2"/>
                <w:sz w:val="13"/>
                <w:szCs w:val="13"/>
              </w:rPr>
              <w:t>14.0%</w:t>
            </w:r>
            <w:r>
              <w:rPr>
                <w:color w:val="595959"/>
                <w:sz w:val="13"/>
                <w:szCs w:val="13"/>
              </w:rPr>
              <w:t xml:space="preserve"> </w:t>
            </w:r>
            <w:r>
              <w:rPr>
                <w:color w:val="595959"/>
                <w:spacing w:val="-2"/>
                <w:sz w:val="13"/>
                <w:szCs w:val="13"/>
              </w:rPr>
              <w:t>12.0%</w:t>
            </w:r>
            <w:r>
              <w:rPr>
                <w:color w:val="595959"/>
                <w:sz w:val="13"/>
                <w:szCs w:val="13"/>
              </w:rPr>
              <w:t xml:space="preserve"> </w:t>
            </w:r>
            <w:r>
              <w:rPr>
                <w:color w:val="595959"/>
                <w:spacing w:val="-2"/>
                <w:sz w:val="13"/>
                <w:szCs w:val="13"/>
              </w:rPr>
              <w:t>10.0%</w:t>
            </w:r>
            <w:r>
              <w:rPr>
                <w:color w:val="595959"/>
                <w:sz w:val="13"/>
                <w:szCs w:val="13"/>
              </w:rPr>
              <w:t xml:space="preserve"> </w:t>
            </w:r>
            <w:r>
              <w:rPr>
                <w:color w:val="595959"/>
                <w:spacing w:val="14"/>
                <w:sz w:val="13"/>
                <w:szCs w:val="13"/>
              </w:rPr>
              <w:t>8.0%</w:t>
            </w:r>
            <w:r>
              <w:rPr>
                <w:color w:val="595959"/>
                <w:sz w:val="13"/>
                <w:szCs w:val="13"/>
              </w:rPr>
              <w:t xml:space="preserve"> </w:t>
            </w:r>
            <w:r>
              <w:rPr>
                <w:color w:val="595959"/>
                <w:spacing w:val="14"/>
                <w:sz w:val="13"/>
                <w:szCs w:val="13"/>
              </w:rPr>
              <w:t>6.0%</w:t>
            </w:r>
            <w:r>
              <w:rPr>
                <w:color w:val="595959"/>
                <w:sz w:val="13"/>
                <w:szCs w:val="13"/>
              </w:rPr>
              <w:t xml:space="preserve"> </w:t>
            </w:r>
            <w:r>
              <w:rPr>
                <w:color w:val="595959"/>
                <w:spacing w:val="14"/>
                <w:sz w:val="13"/>
                <w:szCs w:val="13"/>
              </w:rPr>
              <w:t>4.0%</w:t>
            </w:r>
            <w:r>
              <w:rPr>
                <w:color w:val="595959"/>
                <w:sz w:val="13"/>
                <w:szCs w:val="13"/>
              </w:rPr>
              <w:t xml:space="preserve"> </w:t>
            </w:r>
            <w:r>
              <w:rPr>
                <w:color w:val="595959"/>
                <w:spacing w:val="14"/>
                <w:sz w:val="13"/>
                <w:szCs w:val="13"/>
              </w:rPr>
              <w:t>2.0%</w:t>
            </w:r>
            <w:r>
              <w:rPr>
                <w:color w:val="595959"/>
                <w:sz w:val="13"/>
                <w:szCs w:val="13"/>
              </w:rPr>
              <w:t xml:space="preserve"> </w:t>
            </w:r>
            <w:r>
              <w:rPr>
                <w:color w:val="595959"/>
                <w:spacing w:val="-1"/>
                <w:sz w:val="13"/>
                <w:szCs w:val="13"/>
              </w:rPr>
              <w:t>0.0%</w:t>
            </w:r>
          </w:p>
        </w:tc>
        <w:tc>
          <w:tcPr>
            <w:tcW w:w="4262" w:type="dxa"/>
            <w:vAlign w:val="top"/>
          </w:tcPr>
          <w:p>
            <w:pPr>
              <w:pStyle w:val="TableText"/>
              <w:spacing w:line="2209" w:lineRule="exact"/>
              <w:ind w:firstLine="49"/>
            </w:pPr>
            <w:r>
              <w:rPr>
                <w:position w:val="-44"/>
              </w:rPr>
              <w:pict>
                <v:group id="_x0000_i1080" style="width:210.65pt;height:110.5pt;mso-position-horizontal-relative:char;mso-position-vertical-relative:line" coordorigin="0,0" coordsize="4212,2210" filled="f" stroked="f">
                  <v:shape id="_x0000_s1081" type="#_x0000_t75" style="width:3977;height:2011;left:117;position:absolute;top:194" filled="f" stroked="f">
                    <v:imagedata r:id="rId49" o:title=""/>
                  </v:shape>
                  <v:shape id="_x0000_s1082" style="width:4212;height:2136;position:absolute;top:74" coordorigin="0,0" coordsize="4212,2136" path="m3,2132l3,m3,2132l40,2132m3,1865l40,1865m3,1599l40,1599m3,1333l40,1333m3,1066l40,1066m3,800l40,800m3,2132l4208,2132m3,2095l3,2132m385,2095l385,2132m767,2095l767,2132m1149,2095l1149,2132m1532,2095l1532,2132m1914,2095l1914,2132m2298,2095l2298,2132m2680,2095l2680,2132m3062,2095l3062,2132m3444,2095l3444,2132m3826,2095l3826,2132m4208,2095l4208,2132e" filled="f" strokecolor="black" strokeweight="0.35pt"/>
                  <v:shape id="_x0000_s1083" type="#_x0000_t202" style="width:2652;height:731;left:155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78" w:lineRule="exact"/>
                            <w:ind w:left="1932"/>
                            <w:rPr>
                              <w:rFonts w:ascii="KaiTi" w:eastAsia="KaiTi" w:hAnsi="KaiTi" w:cs="KaiT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color w:val="404040"/>
                              <w:spacing w:val="-2"/>
                              <w:position w:val="-2"/>
                              <w:sz w:val="13"/>
                              <w:szCs w:val="13"/>
                            </w:rPr>
                            <w:t>15.1%</w:t>
                          </w:r>
                        </w:p>
                        <w:p>
                          <w:pPr>
                            <w:spacing w:line="72" w:lineRule="exact"/>
                            <w:ind w:left="402"/>
                            <w:rPr>
                              <w:rFonts w:ascii="KaiTi" w:eastAsia="KaiTi" w:hAnsi="KaiTi" w:cs="KaiT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color w:val="404040"/>
                              <w:spacing w:val="-2"/>
                              <w:position w:val="-2"/>
                              <w:sz w:val="13"/>
                              <w:szCs w:val="13"/>
                            </w:rPr>
                            <w:t>14.6%</w:t>
                          </w:r>
                        </w:p>
                        <w:p>
                          <w:pPr>
                            <w:spacing w:line="176" w:lineRule="auto"/>
                            <w:ind w:left="785"/>
                            <w:rPr>
                              <w:rFonts w:ascii="KaiTi" w:eastAsia="KaiTi" w:hAnsi="KaiTi" w:cs="KaiT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color w:val="404040"/>
                              <w:spacing w:val="-2"/>
                              <w:sz w:val="13"/>
                              <w:szCs w:val="13"/>
                            </w:rPr>
                            <w:t>14.0%</w:t>
                          </w:r>
                        </w:p>
                        <w:p>
                          <w:pPr>
                            <w:spacing w:before="69" w:line="86" w:lineRule="exact"/>
                            <w:ind w:left="1550"/>
                            <w:rPr>
                              <w:rFonts w:ascii="KaiTi" w:eastAsia="KaiTi" w:hAnsi="KaiTi" w:cs="KaiT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color w:val="404040"/>
                              <w:spacing w:val="-2"/>
                              <w:position w:val="-2"/>
                              <w:sz w:val="13"/>
                              <w:szCs w:val="13"/>
                            </w:rPr>
                            <w:t>12.5%</w:t>
                          </w:r>
                        </w:p>
                        <w:p>
                          <w:pPr>
                            <w:spacing w:line="176" w:lineRule="auto"/>
                            <w:ind w:left="20"/>
                            <w:rPr>
                              <w:rFonts w:ascii="KaiTi" w:eastAsia="KaiTi" w:hAnsi="KaiTi" w:cs="KaiT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color w:val="404040"/>
                              <w:spacing w:val="-2"/>
                              <w:sz w:val="13"/>
                              <w:szCs w:val="13"/>
                            </w:rPr>
                            <w:t>11.9%</w:t>
                          </w:r>
                        </w:p>
                        <w:p>
                          <w:pPr>
                            <w:spacing w:before="44" w:line="184" w:lineRule="auto"/>
                            <w:ind w:left="2315"/>
                            <w:rPr>
                              <w:rFonts w:ascii="KaiTi" w:eastAsia="KaiTi" w:hAnsi="KaiTi" w:cs="KaiT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color w:val="404040"/>
                              <w:spacing w:val="-2"/>
                              <w:sz w:val="13"/>
                              <w:szCs w:val="13"/>
                            </w:rPr>
                            <w:t>10.6%</w:t>
                          </w:r>
                        </w:p>
                      </w:txbxContent>
                    </v:textbox>
                  </v:shape>
                  <v:shape id="_x0000_s1084" type="#_x0000_t202" style="width:740;height:397;left:402;position:absolute;top:98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66" w:lineRule="exact"/>
                            <w:ind w:right="19"/>
                            <w:jc w:val="right"/>
                            <w:rPr>
                              <w:rFonts w:ascii="KaiTi" w:eastAsia="KaiTi" w:hAnsi="KaiTi" w:cs="KaiT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color w:val="404040"/>
                              <w:spacing w:val="-2"/>
                              <w:position w:val="12"/>
                              <w:sz w:val="13"/>
                              <w:szCs w:val="13"/>
                            </w:rPr>
                            <w:t>14.2%</w:t>
                          </w:r>
                        </w:p>
                        <w:p>
                          <w:pPr>
                            <w:spacing w:line="185" w:lineRule="auto"/>
                            <w:ind w:left="20"/>
                            <w:rPr>
                              <w:rFonts w:ascii="KaiTi" w:eastAsia="KaiTi" w:hAnsi="KaiTi" w:cs="KaiT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color w:val="404040"/>
                              <w:spacing w:val="-2"/>
                              <w:sz w:val="13"/>
                              <w:szCs w:val="13"/>
                            </w:rPr>
                            <w:t>12.2%</w:t>
                          </w:r>
                        </w:p>
                      </w:txbxContent>
                    </v:textbox>
                  </v:shape>
                  <v:rect id="_x0000_s1085" style="width:3938;height:22;left:116;position:absolute;top:795" filled="t" fillcolor="#c00000" stroked="f"/>
                  <v:shape id="_x0000_s1086" type="#_x0000_t202" style="width:357;height:133;left:20;position:absolute;top:618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85" w:lineRule="auto"/>
                            <w:ind w:left="20"/>
                            <w:rPr>
                              <w:rFonts w:ascii="KaiTi" w:eastAsia="KaiTi" w:hAnsi="KaiTi" w:cs="KaiT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color w:val="404040"/>
                              <w:spacing w:val="-2"/>
                              <w:sz w:val="13"/>
                              <w:szCs w:val="13"/>
                            </w:rPr>
                            <w:t>10.3%</w:t>
                          </w:r>
                        </w:p>
                      </w:txbxContent>
                    </v:textbox>
                  </v:shape>
                  <v:shape id="_x0000_s1087" type="#_x0000_t202" style="width:357;height:131;left:1168;position:absolute;top:299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06" w:lineRule="exact"/>
                            <w:ind w:left="20"/>
                            <w:rPr>
                              <w:rFonts w:ascii="KaiTi" w:eastAsia="KaiTi" w:hAnsi="KaiTi" w:cs="KaiT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color w:val="404040"/>
                              <w:spacing w:val="-2"/>
                              <w:position w:val="-1"/>
                              <w:sz w:val="13"/>
                              <w:szCs w:val="13"/>
                            </w:rPr>
                            <w:t>12.7%</w:t>
                          </w:r>
                        </w:p>
                      </w:txbxContent>
                    </v:textbox>
                  </v:shape>
                  <v:shape id="_x0000_s1088" type="#_x0000_t202" style="width:357;height:131;left:2698;position:absolute;top:352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185" w:lineRule="auto"/>
                            <w:ind w:left="20"/>
                            <w:rPr>
                              <w:rFonts w:ascii="KaiTi" w:eastAsia="KaiTi" w:hAnsi="KaiTi" w:cs="KaiT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color w:val="404040"/>
                              <w:spacing w:val="-2"/>
                              <w:sz w:val="13"/>
                              <w:szCs w:val="13"/>
                            </w:rPr>
                            <w:t>12.3%</w:t>
                          </w:r>
                        </w:p>
                      </w:txbxContent>
                    </v:textbox>
                  </v:shape>
                  <v:shape id="_x0000_s1089" style="width:37;height:8;left:3;position:absolute;top:338" coordorigin="0,0" coordsize="37,8" path="m,3l36,3e" filled="f" strokecolor="black" strokeweight="0.35pt"/>
                  <v:shape id="_x0000_s1090" style="width:37;height:8;left:3;position:absolute;top:70" coordorigin="0,0" coordsize="37,8" path="m,3l36,3e" filled="f" strokecolor="black" strokeweight="0.35pt"/>
                  <v:shape id="_x0000_s1091" style="width:37;height:8;left:3;position:absolute;top:604" coordorigin="0,0" coordsize="37,8" path="m,3l36,3e" filled="f" strokecolor="black" strokeweight="0.35pt"/>
                  <w10:wrap type="none"/>
                </v:group>
              </w:pict>
            </w:r>
          </w:p>
          <w:p>
            <w:pPr>
              <w:pStyle w:val="TableText"/>
              <w:spacing w:before="94" w:line="172" w:lineRule="auto"/>
              <w:ind w:left="123"/>
              <w:rPr>
                <w:sz w:val="13"/>
                <w:szCs w:val="13"/>
              </w:rPr>
            </w:pPr>
            <w:r>
              <w:rPr>
                <w:color w:val="595959"/>
                <w:spacing w:val="-2"/>
                <w:sz w:val="13"/>
                <w:szCs w:val="13"/>
              </w:rPr>
              <w:t>北京</w:t>
            </w:r>
            <w:r>
              <w:rPr>
                <w:color w:val="595959"/>
                <w:spacing w:val="-2"/>
                <w:sz w:val="13"/>
                <w:szCs w:val="13"/>
              </w:rPr>
              <w:t xml:space="preserve">  </w:t>
            </w:r>
            <w:r>
              <w:rPr>
                <w:color w:val="595959"/>
                <w:spacing w:val="-2"/>
                <w:sz w:val="13"/>
                <w:szCs w:val="13"/>
              </w:rPr>
              <w:t>河北</w:t>
            </w:r>
            <w:r>
              <w:rPr>
                <w:color w:val="595959"/>
                <w:spacing w:val="-2"/>
                <w:sz w:val="13"/>
                <w:szCs w:val="13"/>
              </w:rPr>
              <w:t xml:space="preserve">  </w:t>
            </w:r>
            <w:r>
              <w:rPr>
                <w:color w:val="595959"/>
                <w:spacing w:val="-2"/>
                <w:sz w:val="13"/>
                <w:szCs w:val="13"/>
              </w:rPr>
              <w:t>辽宁</w:t>
            </w:r>
            <w:r>
              <w:rPr>
                <w:color w:val="595959"/>
                <w:spacing w:val="-2"/>
                <w:sz w:val="13"/>
                <w:szCs w:val="13"/>
              </w:rPr>
              <w:t xml:space="preserve">  </w:t>
            </w:r>
            <w:r>
              <w:rPr>
                <w:color w:val="595959"/>
                <w:spacing w:val="-2"/>
                <w:sz w:val="13"/>
                <w:szCs w:val="13"/>
              </w:rPr>
              <w:t>江苏</w:t>
            </w:r>
            <w:r>
              <w:rPr>
                <w:color w:val="595959"/>
                <w:spacing w:val="-2"/>
                <w:sz w:val="13"/>
                <w:szCs w:val="13"/>
              </w:rPr>
              <w:t xml:space="preserve">  </w:t>
            </w:r>
            <w:r>
              <w:rPr>
                <w:color w:val="595959"/>
                <w:spacing w:val="-2"/>
                <w:sz w:val="13"/>
                <w:szCs w:val="13"/>
              </w:rPr>
              <w:t>浙江</w:t>
            </w:r>
            <w:r>
              <w:rPr>
                <w:color w:val="595959"/>
                <w:spacing w:val="-2"/>
                <w:sz w:val="13"/>
                <w:szCs w:val="13"/>
              </w:rPr>
              <w:t xml:space="preserve">  </w:t>
            </w:r>
            <w:r>
              <w:rPr>
                <w:color w:val="595959"/>
                <w:spacing w:val="-2"/>
                <w:sz w:val="13"/>
                <w:szCs w:val="13"/>
              </w:rPr>
              <w:t>安徽</w:t>
            </w:r>
            <w:r>
              <w:rPr>
                <w:color w:val="595959"/>
                <w:spacing w:val="-2"/>
                <w:sz w:val="13"/>
                <w:szCs w:val="13"/>
              </w:rPr>
              <w:t xml:space="preserve">  </w:t>
            </w:r>
            <w:r>
              <w:rPr>
                <w:color w:val="595959"/>
                <w:spacing w:val="-2"/>
                <w:sz w:val="13"/>
                <w:szCs w:val="13"/>
              </w:rPr>
              <w:t>江西</w:t>
            </w:r>
            <w:r>
              <w:rPr>
                <w:color w:val="595959"/>
                <w:spacing w:val="-2"/>
                <w:sz w:val="13"/>
                <w:szCs w:val="13"/>
              </w:rPr>
              <w:t xml:space="preserve">  </w:t>
            </w:r>
            <w:r>
              <w:rPr>
                <w:color w:val="595959"/>
                <w:spacing w:val="-2"/>
                <w:sz w:val="13"/>
                <w:szCs w:val="13"/>
              </w:rPr>
              <w:t>山东</w:t>
            </w:r>
            <w:r>
              <w:rPr>
                <w:color w:val="595959"/>
                <w:spacing w:val="-2"/>
                <w:sz w:val="13"/>
                <w:szCs w:val="13"/>
              </w:rPr>
              <w:t xml:space="preserve">  </w:t>
            </w:r>
            <w:r>
              <w:rPr>
                <w:color w:val="595959"/>
                <w:spacing w:val="-2"/>
                <w:sz w:val="13"/>
                <w:szCs w:val="13"/>
              </w:rPr>
              <w:t>河南</w:t>
            </w:r>
            <w:r>
              <w:rPr>
                <w:color w:val="595959"/>
                <w:sz w:val="13"/>
                <w:szCs w:val="13"/>
              </w:rPr>
              <w:t xml:space="preserve">  </w:t>
            </w:r>
            <w:r>
              <w:rPr>
                <w:color w:val="595959"/>
                <w:spacing w:val="-2"/>
                <w:sz w:val="13"/>
                <w:szCs w:val="13"/>
              </w:rPr>
              <w:t>四川</w:t>
            </w:r>
            <w:r>
              <w:rPr>
                <w:color w:val="595959"/>
                <w:spacing w:val="-2"/>
                <w:sz w:val="13"/>
                <w:szCs w:val="13"/>
              </w:rPr>
              <w:t xml:space="preserve"> </w:t>
            </w:r>
            <w:r>
              <w:rPr>
                <w:color w:val="595959"/>
                <w:spacing w:val="-3"/>
                <w:sz w:val="13"/>
                <w:szCs w:val="13"/>
              </w:rPr>
              <w:t xml:space="preserve"> </w:t>
            </w:r>
            <w:r>
              <w:rPr>
                <w:color w:val="595959"/>
                <w:spacing w:val="-3"/>
                <w:sz w:val="13"/>
                <w:szCs w:val="13"/>
              </w:rPr>
              <w:t>全国</w:t>
            </w:r>
          </w:p>
        </w:tc>
      </w:tr>
    </w:tbl>
    <w:p>
      <w:pPr>
        <w:pStyle w:val="BodyText"/>
        <w:spacing w:before="279" w:line="186" w:lineRule="auto"/>
        <w:ind w:left="120"/>
        <w:rPr>
          <w:sz w:val="15"/>
          <w:szCs w:val="15"/>
        </w:rPr>
      </w:pPr>
      <w:r>
        <w:rPr>
          <w:spacing w:val="-8"/>
          <w:sz w:val="15"/>
          <w:szCs w:val="15"/>
        </w:rPr>
        <w:t>资料来源：</w:t>
      </w:r>
      <w:r>
        <w:rPr>
          <w:spacing w:val="-8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商务部，</w:t>
      </w:r>
      <w:r>
        <w:rPr>
          <w:spacing w:val="-8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国家统计局，</w:t>
      </w:r>
      <w:r>
        <w:rPr>
          <w:spacing w:val="-3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Wind，国联证券研究所</w:t>
      </w:r>
    </w:p>
    <w:p>
      <w:pPr>
        <w:spacing w:line="186" w:lineRule="auto"/>
        <w:rPr>
          <w:sz w:val="15"/>
          <w:szCs w:val="15"/>
        </w:rPr>
        <w:sectPr>
          <w:headerReference w:type="default" r:id="rId50"/>
          <w:footerReference w:type="default" r:id="rId51"/>
          <w:type w:val="continuous"/>
          <w:pgSz w:w="11907" w:h="16839"/>
          <w:pgMar w:top="943" w:right="765" w:bottom="743" w:left="821" w:header="289" w:footer="220" w:gutter="0"/>
          <w:pgNumType w:start="14"/>
          <w:cols w:num="2" w:space="708" w:equalWidth="0">
            <w:col w:w="5175" w:space="100"/>
            <w:col w:w="5045" w:space="0"/>
          </w:cols>
        </w:sectPr>
      </w:pP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78" w:line="217" w:lineRule="auto"/>
        <w:ind w:left="3021"/>
        <w:outlineLvl w:val="1"/>
        <w:rPr>
          <w:sz w:val="24"/>
          <w:szCs w:val="24"/>
        </w:rPr>
      </w:pPr>
      <w:r>
        <w:rPr>
          <w:rFonts w:ascii="Arial" w:eastAsia="Arial" w:hAnsi="Arial" w:cs="Arial"/>
          <w:b/>
          <w:bCs/>
          <w:spacing w:val="-1"/>
          <w:sz w:val="24"/>
          <w:szCs w:val="24"/>
        </w:rPr>
        <w:t>1.2</w:t>
      </w:r>
      <w:r>
        <w:rPr>
          <w:rFonts w:ascii="Arial" w:eastAsia="Arial" w:hAnsi="Arial" w:cs="Arial"/>
          <w:b/>
          <w:bCs/>
          <w:spacing w:val="37"/>
          <w:sz w:val="24"/>
          <w:szCs w:val="24"/>
        </w:rPr>
        <w:t xml:space="preserve"> </w:t>
      </w:r>
      <w:r>
        <w:rPr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《大气污染防治行动计划》加速淘汰旧车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68" w:line="359" w:lineRule="auto"/>
        <w:ind w:left="2584" w:firstLine="440"/>
        <w:jc w:val="both"/>
      </w:pPr>
      <w:r>
        <w:rPr>
          <w:spacing w:val="-9"/>
          <w14:textOutline w14:w="3831">
            <w14:solidFill>
              <w14:srgbClr w14:val="000000"/>
            </w14:solidFill>
            <w14:prstDash w14:val="solid"/>
            <w14:round/>
          </w14:textOutline>
        </w:rPr>
        <w:t>第二阶段，</w:t>
      </w:r>
      <w:r>
        <w:rPr>
          <w:spacing w:val="35"/>
        </w:rPr>
        <w:t xml:space="preserve"> </w:t>
      </w:r>
      <w:r>
        <w:rPr>
          <w:spacing w:val="-9"/>
          <w14:textOutline w14:w="3831">
            <w14:solidFill>
              <w14:srgbClr w14:val="000000"/>
            </w14:solidFill>
            <w14:prstDash w14:val="solid"/>
            <w14:round/>
          </w14:textOutline>
        </w:rPr>
        <w:t>国务院印发《大气污染防治行动计划》，提出</w:t>
      </w:r>
      <w:r>
        <w:rPr>
          <w:spacing w:val="-45"/>
        </w:rPr>
        <w:t xml:space="preserve"> </w:t>
      </w:r>
      <w:r>
        <w:rPr>
          <w:spacing w:val="-9"/>
          <w14:textOutline w14:w="3831">
            <w14:solidFill>
              <w14:srgbClr w14:val="000000"/>
            </w14:solidFill>
            <w14:prstDash w14:val="solid"/>
            <w14:round/>
          </w14:textOutline>
        </w:rPr>
        <w:t>2014-</w:t>
      </w:r>
      <w:r>
        <w:rPr>
          <w:spacing w:val="-10"/>
          <w14:textOutline w14:w="3831">
            <w14:solidFill>
              <w14:srgbClr w14:val="000000"/>
            </w14:solidFill>
            <w14:prstDash w14:val="solid"/>
            <w14:round/>
          </w14:textOutline>
        </w:rPr>
        <w:t>2017</w:t>
      </w:r>
      <w:r>
        <w:rPr>
          <w:spacing w:val="-43"/>
        </w:rPr>
        <w:t xml:space="preserve"> </w:t>
      </w:r>
      <w:r>
        <w:rPr>
          <w:spacing w:val="-10"/>
          <w14:textOutline w14:w="3831">
            <w14:solidFill>
              <w14:srgbClr w14:val="000000"/>
            </w14:solidFill>
            <w14:prstDash w14:val="solid"/>
            <w14:round/>
          </w14:textOutline>
        </w:rPr>
        <w:t>年，</w:t>
      </w:r>
      <w:r>
        <w:rPr>
          <w:spacing w:val="-41"/>
        </w:rPr>
        <w:t xml:space="preserve"> </w:t>
      </w:r>
      <w:r>
        <w:rPr>
          <w:spacing w:val="-10"/>
          <w14:textOutline w14:w="3831">
            <w14:solidFill>
              <w14:srgbClr w14:val="000000"/>
            </w14:solidFill>
            <w14:prstDash w14:val="solid"/>
            <w14:round/>
          </w14:textOutline>
        </w:rPr>
        <w:t>加快淘</w:t>
      </w:r>
      <w:r>
        <w:t xml:space="preserve">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汰黄标车和老旧车辆。</w:t>
      </w:r>
      <w:r>
        <w:rPr>
          <w:spacing w:val="-3"/>
        </w:rPr>
        <w:t>规定采取划定禁行区域、经济补偿等方式，逐步</w:t>
      </w:r>
      <w:r>
        <w:rPr>
          <w:spacing w:val="-4"/>
        </w:rPr>
        <w:t>淘汰黄标车和</w:t>
      </w:r>
      <w:r>
        <w:rPr>
          <w:spacing w:val="-4"/>
        </w:rPr>
        <w:t xml:space="preserve"> </w:t>
      </w:r>
      <w:r>
        <w:rPr>
          <w:spacing w:val="-4"/>
        </w:rPr>
        <w:t>老旧车辆。到</w:t>
      </w:r>
      <w:r>
        <w:rPr>
          <w:spacing w:val="-33"/>
        </w:rPr>
        <w:t xml:space="preserve"> </w:t>
      </w:r>
      <w:r>
        <w:rPr>
          <w:spacing w:val="-4"/>
        </w:rPr>
        <w:t>2015</w:t>
      </w:r>
      <w:r>
        <w:rPr>
          <w:spacing w:val="-46"/>
        </w:rPr>
        <w:t xml:space="preserve"> </w:t>
      </w:r>
      <w:r>
        <w:rPr>
          <w:spacing w:val="-4"/>
        </w:rPr>
        <w:t>年，淘汰</w:t>
      </w:r>
      <w:r>
        <w:rPr>
          <w:spacing w:val="-46"/>
        </w:rPr>
        <w:t xml:space="preserve"> </w:t>
      </w:r>
      <w:r>
        <w:rPr>
          <w:spacing w:val="-4"/>
        </w:rPr>
        <w:t>2005</w:t>
      </w:r>
      <w:r>
        <w:rPr>
          <w:spacing w:val="-42"/>
        </w:rPr>
        <w:t xml:space="preserve"> </w:t>
      </w:r>
      <w:r>
        <w:rPr>
          <w:spacing w:val="-4"/>
        </w:rPr>
        <w:t>年底前注册营运的黄标车，基本淘汰京津冀、长三</w:t>
      </w:r>
      <w:r>
        <w:rPr>
          <w:spacing w:val="-4"/>
        </w:rPr>
        <w:t xml:space="preserve"> </w:t>
      </w:r>
      <w:r>
        <w:rPr>
          <w:spacing w:val="-2"/>
        </w:rPr>
        <w:t>角、珠三角等区域内的</w:t>
      </w:r>
      <w:r>
        <w:rPr>
          <w:spacing w:val="-21"/>
        </w:rPr>
        <w:t xml:space="preserve"> </w:t>
      </w:r>
      <w:r>
        <w:rPr>
          <w:spacing w:val="-2"/>
        </w:rPr>
        <w:t>500</w:t>
      </w:r>
      <w:r>
        <w:rPr>
          <w:spacing w:val="-2"/>
        </w:rPr>
        <w:t xml:space="preserve"> </w:t>
      </w:r>
      <w:r>
        <w:rPr>
          <w:spacing w:val="-2"/>
        </w:rPr>
        <w:t>万辆黄标车。到</w:t>
      </w:r>
      <w:r>
        <w:rPr>
          <w:spacing w:val="-21"/>
        </w:rPr>
        <w:t xml:space="preserve"> </w:t>
      </w:r>
      <w:r>
        <w:rPr>
          <w:spacing w:val="-2"/>
        </w:rPr>
        <w:t>2017</w:t>
      </w:r>
      <w:r>
        <w:rPr>
          <w:spacing w:val="-19"/>
        </w:rPr>
        <w:t xml:space="preserve"> </w:t>
      </w:r>
      <w:r>
        <w:rPr>
          <w:spacing w:val="-2"/>
        </w:rPr>
        <w:t>年，基本淘汰全国范围的黄标车。</w:t>
      </w:r>
      <w:r>
        <w:t xml:space="preserve"> </w:t>
      </w:r>
      <w:r>
        <w:t>各地政府也相应出台了对黄标车和老旧车提前淘汰的补偿措施。20</w:t>
      </w:r>
      <w:r>
        <w:rPr>
          <w:spacing w:val="-1"/>
        </w:rPr>
        <w:t>14</w:t>
      </w:r>
      <w:r>
        <w:rPr>
          <w:spacing w:val="-1"/>
        </w:rPr>
        <w:t xml:space="preserve"> </w:t>
      </w:r>
      <w:r>
        <w:rPr>
          <w:spacing w:val="-1"/>
        </w:rPr>
        <w:t>年最终淘汰黄</w:t>
      </w:r>
    </w:p>
    <w:p>
      <w:pPr>
        <w:pStyle w:val="BodyText"/>
        <w:spacing w:line="213" w:lineRule="auto"/>
        <w:ind w:left="2589"/>
      </w:pPr>
      <w:r>
        <w:rPr>
          <w:spacing w:val="-2"/>
        </w:rPr>
        <w:t>标车约</w:t>
      </w:r>
      <w:r>
        <w:rPr>
          <w:spacing w:val="-30"/>
        </w:rPr>
        <w:t xml:space="preserve"> </w:t>
      </w:r>
      <w:r>
        <w:rPr>
          <w:spacing w:val="-2"/>
        </w:rPr>
        <w:t>365</w:t>
      </w:r>
      <w:r>
        <w:rPr>
          <w:spacing w:val="-39"/>
        </w:rPr>
        <w:t xml:space="preserve"> </w:t>
      </w:r>
      <w:r>
        <w:rPr>
          <w:spacing w:val="-2"/>
        </w:rPr>
        <w:t>万辆，占比</w:t>
      </w:r>
      <w:r>
        <w:rPr>
          <w:spacing w:val="-45"/>
        </w:rPr>
        <w:t xml:space="preserve"> </w:t>
      </w:r>
      <w:r>
        <w:rPr>
          <w:spacing w:val="-2"/>
        </w:rPr>
        <w:t>2013</w:t>
      </w:r>
      <w:r>
        <w:rPr>
          <w:spacing w:val="-44"/>
        </w:rPr>
        <w:t xml:space="preserve"> </w:t>
      </w:r>
      <w:r>
        <w:rPr>
          <w:spacing w:val="-2"/>
        </w:rPr>
        <w:t>年黄标车保有量约</w:t>
      </w:r>
      <w:r>
        <w:rPr>
          <w:spacing w:val="-45"/>
        </w:rPr>
        <w:t xml:space="preserve"> </w:t>
      </w:r>
      <w:r>
        <w:rPr>
          <w:spacing w:val="-2"/>
        </w:rPr>
        <w:t>27%，效果显著。</w:t>
      </w:r>
    </w:p>
    <w:p>
      <w:pPr>
        <w:spacing w:before="10"/>
      </w:pPr>
    </w:p>
    <w:p>
      <w:pPr>
        <w:sectPr>
          <w:headerReference w:type="default" r:id="rId52"/>
          <w:footerReference w:type="default" r:id="rId53"/>
          <w:type w:val="continuous"/>
          <w:pgSz w:w="11907" w:h="16839"/>
          <w:pgMar w:top="943" w:right="765" w:bottom="743" w:left="821" w:header="289" w:footer="220" w:gutter="0"/>
          <w:pgNumType w:start="15"/>
          <w:cols w:num="1" w:space="708" w:equalWidth="0">
            <w:col w:w="10320" w:space="0"/>
          </w:cols>
        </w:sectPr>
      </w:pPr>
    </w:p>
    <w:p>
      <w:pPr>
        <w:pStyle w:val="BodyText"/>
        <w:spacing w:before="150" w:line="225" w:lineRule="auto"/>
        <w:ind w:left="198"/>
        <w:rPr>
          <w:sz w:val="19"/>
          <w:szCs w:val="19"/>
        </w:rPr>
      </w:pPr>
      <w:r>
        <w:rPr>
          <w:spacing w:val="7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图表</w:t>
      </w:r>
      <w:r>
        <w:rPr>
          <w:rFonts w:ascii="Arial" w:eastAsia="Arial" w:hAnsi="Arial" w:cs="Arial"/>
          <w:b/>
          <w:bCs/>
          <w:spacing w:val="7"/>
          <w:sz w:val="19"/>
          <w:szCs w:val="19"/>
        </w:rPr>
        <w:t>7</w:t>
      </w:r>
      <w:r>
        <w:rPr>
          <w:spacing w:val="7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：2014</w:t>
      </w:r>
      <w:r>
        <w:rPr>
          <w:spacing w:val="-35"/>
          <w:sz w:val="19"/>
          <w:szCs w:val="19"/>
        </w:rPr>
        <w:t xml:space="preserve"> </w:t>
      </w:r>
      <w:r>
        <w:rPr>
          <w:spacing w:val="7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年政策首年换标车保有量下降</w:t>
      </w:r>
      <w:r>
        <w:rPr>
          <w:spacing w:val="-34"/>
          <w:sz w:val="19"/>
          <w:szCs w:val="19"/>
        </w:rPr>
        <w:t xml:space="preserve"> </w:t>
      </w:r>
      <w:r>
        <w:rPr>
          <w:spacing w:val="7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27%</w:t>
      </w:r>
    </w:p>
    <w:tbl>
      <w:tblPr>
        <w:tblStyle w:val="TableNormal4"/>
        <w:tblW w:w="4705" w:type="dxa"/>
        <w:tblInd w:w="15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40"/>
        <w:gridCol w:w="4022"/>
        <w:gridCol w:w="343"/>
      </w:tblGrid>
      <w:tr>
        <w:tblPrEx>
          <w:tblW w:w="4705" w:type="dxa"/>
          <w:tblInd w:w="15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175"/>
        </w:trPr>
        <w:tc>
          <w:tcPr>
            <w:tcW w:w="34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 w:line="187" w:lineRule="auto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</w:rPr>
              <w:t>2000</w:t>
            </w:r>
          </w:p>
          <w:p>
            <w:pPr>
              <w:pStyle w:val="TableText"/>
              <w:spacing w:before="262" w:line="187" w:lineRule="auto"/>
              <w:ind w:left="8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1500</w:t>
            </w:r>
          </w:p>
          <w:p>
            <w:pPr>
              <w:pStyle w:val="TableText"/>
              <w:spacing w:before="263" w:line="187" w:lineRule="auto"/>
              <w:ind w:left="8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1000</w:t>
            </w:r>
          </w:p>
          <w:p>
            <w:pPr>
              <w:pStyle w:val="TableText"/>
              <w:spacing w:before="263" w:line="187" w:lineRule="auto"/>
              <w:ind w:left="70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</w:rPr>
              <w:t>500</w:t>
            </w:r>
          </w:p>
          <w:p>
            <w:pPr>
              <w:pStyle w:val="TableText"/>
              <w:spacing w:before="263" w:line="187" w:lineRule="auto"/>
              <w:ind w:left="21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</w:t>
            </w:r>
          </w:p>
        </w:tc>
        <w:tc>
          <w:tcPr>
            <w:tcW w:w="4022" w:type="dxa"/>
            <w:vAlign w:val="top"/>
          </w:tcPr>
          <w:p>
            <w:pPr>
              <w:pStyle w:val="TableText"/>
              <w:spacing w:line="223" w:lineRule="auto"/>
              <w:ind w:left="797"/>
              <w:rPr>
                <w:sz w:val="14"/>
                <w:szCs w:val="14"/>
              </w:rPr>
            </w:pPr>
            <w:r>
              <w:rPr>
                <w:position w:val="1"/>
                <w:sz w:val="14"/>
                <w:szCs w:val="14"/>
              </w:rPr>
              <w:drawing>
                <wp:inline distT="0" distB="0" distL="0" distR="0">
                  <wp:extent cx="176535" cy="42011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535" cy="42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7"/>
                <w:sz w:val="14"/>
                <w:szCs w:val="14"/>
              </w:rPr>
              <w:t xml:space="preserve"> </w:t>
            </w:r>
            <w:r>
              <w:rPr>
                <w:spacing w:val="-4"/>
                <w:sz w:val="14"/>
                <w:szCs w:val="14"/>
              </w:rPr>
              <w:t>黄标车保有量（万辆）</w:t>
            </w:r>
            <w:r>
              <w:rPr>
                <w:spacing w:val="19"/>
                <w:w w:val="101"/>
                <w:sz w:val="14"/>
                <w:szCs w:val="14"/>
              </w:rPr>
              <w:t xml:space="preserve">   </w:t>
            </w:r>
            <w:r>
              <w:rPr>
                <w:position w:val="3"/>
                <w:sz w:val="14"/>
                <w:szCs w:val="14"/>
              </w:rPr>
              <w:drawing>
                <wp:inline distT="0" distB="0" distL="0" distR="0">
                  <wp:extent cx="197498" cy="21005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498" cy="21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4"/>
                <w:sz w:val="14"/>
                <w:szCs w:val="14"/>
              </w:rPr>
              <w:t xml:space="preserve"> </w:t>
            </w:r>
            <w:r>
              <w:rPr>
                <w:spacing w:val="-4"/>
                <w:sz w:val="14"/>
                <w:szCs w:val="14"/>
              </w:rPr>
              <w:t>YOY</w:t>
            </w:r>
          </w:p>
          <w:p>
            <w:pPr>
              <w:spacing w:line="174" w:lineRule="exact"/>
            </w:pPr>
          </w:p>
          <w:tbl>
            <w:tblPr>
              <w:tblStyle w:val="TableNormal4"/>
              <w:tblW w:w="3904" w:type="dxa"/>
              <w:tblInd w:w="5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3904"/>
            </w:tblGrid>
            <w:tr>
              <w:tblPrEx>
                <w:tblW w:w="3904" w:type="dxa"/>
                <w:tblInd w:w="5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1616"/>
              </w:trPr>
              <w:tc>
                <w:tcPr>
                  <w:tcW w:w="3904" w:type="dxa"/>
                  <w:vAlign w:val="top"/>
                </w:tcPr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  <w:r>
                    <w:drawing>
                      <wp:anchor distT="0" distB="0" distL="0" distR="0" simplePos="0" relativeHeight="251689984" behindDoc="1" locked="0" layoutInCell="1" allowOverlap="1">
                        <wp:simplePos x="0" y="0"/>
                        <wp:positionH relativeFrom="rightMargin">
                          <wp:posOffset>-2291471</wp:posOffset>
                        </wp:positionH>
                        <wp:positionV relativeFrom="topMargin">
                          <wp:posOffset>143864</wp:posOffset>
                        </wp:positionV>
                        <wp:extent cx="2106332" cy="883358"/>
                        <wp:effectExtent l="0" t="0" r="0" b="0"/>
                        <wp:wrapNone/>
                        <wp:docPr id="68" name="IM 6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8" name="IM 68"/>
                                <pic:cNvPicPr/>
                              </pic:nvPicPr>
                              <pic:blipFill>
                                <a:blip xmlns:r="http://schemas.openxmlformats.org/officeDocument/2006/relationships" r:embed="rId5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06332" cy="8833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spacing w:line="1086" w:lineRule="exact"/>
                  </w:pPr>
                  <w:r>
                    <w:rPr>
                      <w:position w:val="-21"/>
                    </w:rPr>
                    <w:pict>
                      <v:group id="_x0000_i1092" style="width:195.15pt;height:54.35pt;mso-position-horizontal-relative:char;mso-position-vertical-relative:line" coordorigin="0,0" coordsize="3902,1086" filled="f" stroked="f">
                        <v:rect id="_x0000_s1093" style="width:41;height:6;position:absolute;top:943" filled="t" fillcolor="black" stroked="f"/>
                        <v:rect id="_x0000_s1094" style="width:41;height:6;left:3860;position:absolute;top:809" filled="t" fillcolor="black" stroked="f"/>
                        <v:rect id="_x0000_s1095" style="width:41;height:6;position:absolute;top:539" filled="t" fillcolor="black" stroked="f"/>
                        <v:rect id="_x0000_s1096" style="width:41;height:6;position:absolute;top:134" filled="t" fillcolor="black" stroked="f"/>
                        <v:rect id="_x0000_s1097" style="width:41;height:6;left:3860;position:absolute;top:269" filled="t" fillcolor="black" stroked="f"/>
                        <v:rect id="_x0000_s1098" style="width:41;height:6;left:3860;position:absolute;top:539" filled="t" fillcolor="black" stroked="f"/>
                        <v:rect id="_x0000_s1099" style="width:41;height:6;left:3860;position:absolute" filled="t" fillcolor="black" stroked="f"/>
                        <v:rect id="_x0000_s1100" style="width:41;height:6;left:3860;position:absolute;top:1079" filled="t" fillcolor="black" stroked="f"/>
                        <w10:wrap type="none"/>
                      </v:group>
                    </w:pict>
                  </w:r>
                </w:p>
              </w:tc>
            </w:tr>
          </w:tbl>
          <w:p>
            <w:pPr>
              <w:pStyle w:val="TableText"/>
              <w:spacing w:before="104" w:line="91" w:lineRule="exact"/>
              <w:ind w:left="406"/>
              <w:rPr>
                <w:sz w:val="14"/>
                <w:szCs w:val="14"/>
              </w:rPr>
            </w:pPr>
            <w:r>
              <w:rPr>
                <w:spacing w:val="1"/>
                <w:position w:val="-2"/>
                <w:sz w:val="14"/>
                <w:szCs w:val="14"/>
              </w:rPr>
              <w:t>2011</w:t>
            </w:r>
            <w:r>
              <w:rPr>
                <w:spacing w:val="7"/>
                <w:position w:val="-2"/>
                <w:sz w:val="14"/>
                <w:szCs w:val="14"/>
              </w:rPr>
              <w:t xml:space="preserve">         </w:t>
            </w:r>
            <w:r>
              <w:rPr>
                <w:spacing w:val="1"/>
                <w:position w:val="-2"/>
                <w:sz w:val="14"/>
                <w:szCs w:val="14"/>
              </w:rPr>
              <w:t>2012</w:t>
            </w:r>
            <w:r>
              <w:rPr>
                <w:spacing w:val="6"/>
                <w:position w:val="-2"/>
                <w:sz w:val="14"/>
                <w:szCs w:val="14"/>
              </w:rPr>
              <w:t xml:space="preserve">         </w:t>
            </w:r>
            <w:r>
              <w:rPr>
                <w:spacing w:val="1"/>
                <w:position w:val="-2"/>
                <w:sz w:val="14"/>
                <w:szCs w:val="14"/>
              </w:rPr>
              <w:t>2013</w:t>
            </w:r>
            <w:r>
              <w:rPr>
                <w:spacing w:val="7"/>
                <w:position w:val="-2"/>
                <w:sz w:val="14"/>
                <w:szCs w:val="14"/>
              </w:rPr>
              <w:t xml:space="preserve">         </w:t>
            </w:r>
            <w:r>
              <w:rPr>
                <w:spacing w:val="1"/>
                <w:position w:val="-2"/>
                <w:sz w:val="14"/>
                <w:szCs w:val="14"/>
              </w:rPr>
              <w:t>2014</w:t>
            </w:r>
          </w:p>
        </w:tc>
        <w:tc>
          <w:tcPr>
            <w:tcW w:w="343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6" w:line="187" w:lineRule="auto"/>
              <w:ind w:left="58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0%</w:t>
            </w:r>
          </w:p>
          <w:p>
            <w:pPr>
              <w:pStyle w:val="TableText"/>
              <w:spacing w:before="127" w:line="356" w:lineRule="auto"/>
              <w:ind w:left="5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-5%</w:t>
            </w:r>
            <w:r>
              <w:rPr>
                <w:sz w:val="14"/>
                <w:szCs w:val="14"/>
              </w:rPr>
              <w:t xml:space="preserve">  </w:t>
            </w:r>
            <w:r>
              <w:rPr>
                <w:spacing w:val="1"/>
                <w:sz w:val="14"/>
                <w:szCs w:val="14"/>
              </w:rPr>
              <w:t>-10%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1"/>
                <w:sz w:val="14"/>
                <w:szCs w:val="14"/>
              </w:rPr>
              <w:t>-15%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1"/>
                <w:sz w:val="14"/>
                <w:szCs w:val="14"/>
              </w:rPr>
              <w:t>-20%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1"/>
                <w:sz w:val="14"/>
                <w:szCs w:val="14"/>
              </w:rPr>
              <w:t>-25%</w:t>
            </w:r>
          </w:p>
          <w:p>
            <w:pPr>
              <w:pStyle w:val="TableText"/>
              <w:spacing w:line="187" w:lineRule="auto"/>
              <w:jc w:val="right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</w:rPr>
              <w:t>-30%</w:t>
            </w:r>
          </w:p>
        </w:tc>
      </w:tr>
    </w:tbl>
    <w:p>
      <w:pPr>
        <w:sectPr>
          <w:headerReference w:type="default" r:id="rId57"/>
          <w:footerReference w:type="default" r:id="rId58"/>
          <w:type w:val="continuous"/>
          <w:pgSz w:w="11907" w:h="16839"/>
          <w:pgMar w:top="943" w:right="765" w:bottom="743" w:left="821" w:header="289" w:footer="220" w:gutter="0"/>
          <w:pgNumType w:start="16"/>
          <w:cols w:num="2" w:space="708" w:equalWidth="0">
            <w:col w:w="5175" w:space="100"/>
            <w:col w:w="5045" w:space="0"/>
          </w:cols>
        </w:sectPr>
      </w:pPr>
    </w:p>
    <w:p>
      <w:pPr>
        <w:spacing w:line="365" w:lineRule="auto"/>
        <w:rPr>
          <w:rFonts w:ascii="Arial"/>
          <w:sz w:val="21"/>
        </w:rPr>
      </w:pPr>
    </w:p>
    <w:p>
      <w:pPr>
        <w:pStyle w:val="BodyText"/>
        <w:spacing w:before="50" w:line="186" w:lineRule="auto"/>
        <w:ind w:left="147"/>
        <w:rPr>
          <w:sz w:val="15"/>
          <w:szCs w:val="15"/>
        </w:rPr>
      </w:pPr>
      <w:r>
        <w:rPr>
          <w:spacing w:val="-8"/>
          <w:sz w:val="15"/>
          <w:szCs w:val="15"/>
        </w:rPr>
        <w:t>资料来源：</w:t>
      </w:r>
      <w:r>
        <w:rPr>
          <w:spacing w:val="-8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生态环境部，</w:t>
      </w:r>
      <w:r>
        <w:rPr>
          <w:spacing w:val="-8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国联证券研究所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48" w:line="225" w:lineRule="auto"/>
        <w:ind w:left="171"/>
        <w:rPr>
          <w:sz w:val="19"/>
          <w:szCs w:val="19"/>
        </w:rPr>
      </w:pPr>
      <w:r>
        <w:rPr>
          <w:spacing w:val="7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图表</w:t>
      </w:r>
      <w:r>
        <w:rPr>
          <w:rFonts w:ascii="Arial" w:eastAsia="Arial" w:hAnsi="Arial" w:cs="Arial"/>
          <w:b/>
          <w:bCs/>
          <w:spacing w:val="7"/>
          <w:sz w:val="19"/>
          <w:szCs w:val="19"/>
        </w:rPr>
        <w:t>8</w:t>
      </w:r>
      <w:r>
        <w:rPr>
          <w:spacing w:val="7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：2014</w:t>
      </w:r>
      <w:r>
        <w:rPr>
          <w:spacing w:val="-28"/>
          <w:sz w:val="19"/>
          <w:szCs w:val="19"/>
        </w:rPr>
        <w:t xml:space="preserve"> </w:t>
      </w:r>
      <w:r>
        <w:rPr>
          <w:spacing w:val="7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年政策首年淘汰量显著增长</w:t>
      </w:r>
    </w:p>
    <w:p>
      <w:pPr>
        <w:spacing w:before="143"/>
      </w:pPr>
    </w:p>
    <w:tbl>
      <w:tblPr>
        <w:tblStyle w:val="TableNormal5"/>
        <w:tblW w:w="4715" w:type="dxa"/>
        <w:tblInd w:w="12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60"/>
        <w:gridCol w:w="4195"/>
        <w:gridCol w:w="260"/>
      </w:tblGrid>
      <w:tr>
        <w:tblPrEx>
          <w:tblW w:w="4715" w:type="dxa"/>
          <w:tblInd w:w="12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36"/>
        </w:trPr>
        <w:tc>
          <w:tcPr>
            <w:tcW w:w="260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3" w:line="191" w:lineRule="auto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400</w:t>
            </w:r>
          </w:p>
          <w:p>
            <w:pPr>
              <w:pStyle w:val="TableText"/>
              <w:spacing w:before="90" w:line="192" w:lineRule="auto"/>
              <w:ind w:left="3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350</w:t>
            </w:r>
          </w:p>
          <w:p>
            <w:pPr>
              <w:pStyle w:val="TableText"/>
              <w:spacing w:before="90" w:line="192" w:lineRule="auto"/>
              <w:ind w:left="3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300</w:t>
            </w:r>
          </w:p>
          <w:p>
            <w:pPr>
              <w:pStyle w:val="TableText"/>
              <w:spacing w:before="90" w:line="192" w:lineRule="auto"/>
              <w:ind w:left="2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250</w:t>
            </w:r>
          </w:p>
          <w:p>
            <w:pPr>
              <w:pStyle w:val="TableText"/>
              <w:spacing w:before="90" w:line="192" w:lineRule="auto"/>
              <w:ind w:left="2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200</w:t>
            </w:r>
          </w:p>
          <w:p>
            <w:pPr>
              <w:pStyle w:val="TableText"/>
              <w:spacing w:before="90" w:line="191" w:lineRule="auto"/>
              <w:ind w:left="1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150</w:t>
            </w:r>
          </w:p>
          <w:p>
            <w:pPr>
              <w:pStyle w:val="TableText"/>
              <w:spacing w:before="91" w:line="191" w:lineRule="auto"/>
              <w:ind w:left="1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100</w:t>
            </w:r>
          </w:p>
          <w:p>
            <w:pPr>
              <w:pStyle w:val="TableText"/>
              <w:spacing w:before="91" w:line="191" w:lineRule="auto"/>
              <w:ind w:left="70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50</w:t>
            </w:r>
          </w:p>
          <w:p>
            <w:pPr>
              <w:pStyle w:val="TableText"/>
              <w:spacing w:before="91" w:line="191" w:lineRule="auto"/>
              <w:ind w:left="141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</w:t>
            </w:r>
          </w:p>
        </w:tc>
        <w:tc>
          <w:tcPr>
            <w:tcW w:w="4195" w:type="dxa"/>
            <w:vAlign w:val="top"/>
          </w:tcPr>
          <w:p>
            <w:pPr>
              <w:pStyle w:val="TableText"/>
              <w:spacing w:line="229" w:lineRule="auto"/>
              <w:ind w:left="93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drawing>
                <wp:inline distT="0" distB="0" distL="0" distR="0">
                  <wp:extent cx="169615" cy="40242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615" cy="402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6"/>
                <w:sz w:val="13"/>
                <w:szCs w:val="13"/>
              </w:rPr>
              <w:t xml:space="preserve"> </w:t>
            </w:r>
            <w:r>
              <w:rPr>
                <w:spacing w:val="4"/>
                <w:sz w:val="13"/>
                <w:szCs w:val="13"/>
              </w:rPr>
              <w:t>黄标车淘汰量（万辆）</w:t>
            </w:r>
            <w:r>
              <w:rPr>
                <w:spacing w:val="1"/>
                <w:sz w:val="13"/>
                <w:szCs w:val="13"/>
              </w:rPr>
              <w:t xml:space="preserve">    </w:t>
            </w:r>
            <w:r>
              <w:rPr>
                <w:position w:val="3"/>
                <w:sz w:val="13"/>
                <w:szCs w:val="13"/>
              </w:rPr>
              <w:drawing>
                <wp:inline distT="0" distB="0" distL="0" distR="0">
                  <wp:extent cx="189757" cy="20121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757" cy="201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9"/>
                <w:sz w:val="13"/>
                <w:szCs w:val="13"/>
              </w:rPr>
              <w:t xml:space="preserve"> </w:t>
            </w:r>
            <w:r>
              <w:rPr>
                <w:spacing w:val="4"/>
                <w:sz w:val="13"/>
                <w:szCs w:val="13"/>
              </w:rPr>
              <w:t>淘汰量占比前一年保有量（%）</w:t>
            </w:r>
          </w:p>
          <w:p>
            <w:pPr>
              <w:spacing w:line="168" w:lineRule="exact"/>
            </w:pPr>
          </w:p>
          <w:tbl>
            <w:tblPr>
              <w:tblStyle w:val="TableNormal5"/>
              <w:tblW w:w="4081" w:type="dxa"/>
              <w:tblInd w:w="5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</w:tblPr>
            <w:tblGrid>
              <w:gridCol w:w="4081"/>
            </w:tblGrid>
            <w:tr>
              <w:tblPrEx>
                <w:tblW w:w="4081" w:type="dxa"/>
                <w:tblInd w:w="5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blBorders>
                <w:tblLayout w:type="fixed"/>
              </w:tblPrEx>
              <w:trPr>
                <w:trHeight w:val="1799"/>
              </w:trPr>
              <w:tc>
                <w:tcPr>
                  <w:tcW w:w="4081" w:type="dxa"/>
                  <w:vAlign w:val="top"/>
                </w:tcPr>
                <w:p>
                  <w:pPr>
                    <w:spacing w:before="220" w:line="1359" w:lineRule="exact"/>
                  </w:pPr>
                  <w:r>
                    <w:drawing>
                      <wp:anchor distT="0" distB="0" distL="0" distR="0" simplePos="0" relativeHeight="251691008" behindDoc="1" locked="0" layoutInCell="1" allowOverlap="1">
                        <wp:simplePos x="0" y="0"/>
                        <wp:positionH relativeFrom="rightMargin">
                          <wp:posOffset>-2330651</wp:posOffset>
                        </wp:positionH>
                        <wp:positionV relativeFrom="topMargin">
                          <wp:posOffset>98490</wp:posOffset>
                        </wp:positionV>
                        <wp:extent cx="2073589" cy="1045228"/>
                        <wp:effectExtent l="0" t="0" r="0" b="0"/>
                        <wp:wrapNone/>
                        <wp:docPr id="74" name="IM 7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4" name="IM 74"/>
                                <pic:cNvPicPr/>
                              </pic:nvPicPr>
                              <pic:blipFill>
                                <a:blip xmlns:r="http://schemas.openxmlformats.org/officeDocument/2006/relationships" r:embed="rId6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73589" cy="10452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position w:val="-27"/>
                    </w:rPr>
                    <w:pict>
                      <v:group id="_x0000_i1101" style="width:204.05pt;height:68pt;mso-position-horizontal-relative:char;mso-position-vertical-relative:line" coordorigin="0,0" coordsize="4081,1360" filled="f" stroked="f">
                        <v:rect id="_x0000_s1102" style="width:40;height:6;left:4040;position:absolute;top:75" filled="t" fillcolor="black" stroked="f"/>
                        <v:rect id="_x0000_s1103" style="width:40;height:6;left:4040;position:absolute;top:975" filled="t" fillcolor="black" stroked="f"/>
                        <v:rect id="_x0000_s1104" style="width:40;height:6;left:4040;position:absolute;top:1275" filled="t" fillcolor="black" stroked="f"/>
                        <v:rect id="_x0000_s1105" style="width:40;height:6;position:absolute;top:900" filled="t" fillcolor="black" stroked="f"/>
                        <v:rect id="_x0000_s1106" style="width:40;height:6;position:absolute;top:1125" filled="t" fillcolor="black" stroked="f"/>
                        <v:rect id="_x0000_s1107" style="width:40;height:6;position:absolute" filled="t" fillcolor="black" stroked="f"/>
                        <v:rect id="_x0000_s1108" style="width:40;height:6;position:absolute;top:1352" filled="t" fillcolor="black" stroked="f"/>
                        <v:rect id="_x0000_s1109" style="width:40;height:6;left:4040;position:absolute;top:375" filled="t" fillcolor="black" stroked="f"/>
                        <v:rect id="_x0000_s1110" style="width:40;height:6;left:4040;position:absolute;top:675" filled="t" fillcolor="black" stroked="f"/>
                        <v:rect id="_x0000_s1111" style="width:40;height:6;position:absolute;top:225" filled="t" fillcolor="black" stroked="f"/>
                        <v:rect id="_x0000_s1112" style="width:40;height:6;position:absolute;top:450" filled="t" fillcolor="black" stroked="f"/>
                        <v:rect id="_x0000_s1113" style="width:40;height:6;position:absolute;top:675" filled="t" fillcolor="black" stroked="f"/>
                        <w10:wrap type="none"/>
                      </v:group>
                    </w:pict>
                  </w:r>
                </w:p>
              </w:tc>
            </w:tr>
          </w:tbl>
          <w:p>
            <w:pPr>
              <w:pStyle w:val="TableText"/>
              <w:spacing w:before="99" w:line="87" w:lineRule="exact"/>
              <w:ind w:left="602"/>
              <w:rPr>
                <w:sz w:val="13"/>
                <w:szCs w:val="13"/>
              </w:rPr>
            </w:pPr>
            <w:r>
              <w:pict>
                <v:shape id="_x0000_s1114" type="#_x0000_t202" style="width:15.7pt;height:8.8pt;margin-top:3.97pt;margin-left:97.13pt;position:absolute;z-index:25169203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2" w:lineRule="auto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pacing w:val="3"/>
                            <w:sz w:val="13"/>
                            <w:szCs w:val="13"/>
                          </w:rPr>
                          <w:t>2013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15" type="#_x0000_t202" style="width:15.7pt;height:8.8pt;margin-top:3.97pt;margin-left:165.16pt;position:absolute;z-index:25169305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2" w:lineRule="auto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pacing w:val="3"/>
                            <w:sz w:val="13"/>
                            <w:szCs w:val="13"/>
                          </w:rPr>
                          <w:t>2014</w:t>
                        </w:r>
                      </w:p>
                    </w:txbxContent>
                  </v:textbox>
                </v:shape>
              </w:pict>
            </w:r>
            <w:r>
              <w:rPr>
                <w:spacing w:val="3"/>
                <w:position w:val="-2"/>
                <w:sz w:val="13"/>
                <w:szCs w:val="13"/>
              </w:rPr>
              <w:t>2012</w:t>
            </w:r>
          </w:p>
        </w:tc>
        <w:tc>
          <w:tcPr>
            <w:tcW w:w="260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2" w:line="397" w:lineRule="auto"/>
              <w:ind w:left="55" w:firstLine="3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30%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3"/>
                <w:sz w:val="13"/>
                <w:szCs w:val="13"/>
              </w:rPr>
              <w:t>25%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3"/>
                <w:sz w:val="13"/>
                <w:szCs w:val="13"/>
              </w:rPr>
              <w:t>20%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3"/>
                <w:sz w:val="13"/>
                <w:szCs w:val="13"/>
              </w:rPr>
              <w:t>15%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3"/>
                <w:sz w:val="13"/>
                <w:szCs w:val="13"/>
              </w:rPr>
              <w:t>10%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3"/>
                <w:sz w:val="13"/>
                <w:szCs w:val="13"/>
              </w:rPr>
              <w:t>5%</w:t>
            </w:r>
            <w:r>
              <w:rPr>
                <w:sz w:val="13"/>
                <w:szCs w:val="13"/>
              </w:rPr>
              <w:t xml:space="preserve">  </w:t>
            </w:r>
            <w:r>
              <w:rPr>
                <w:spacing w:val="3"/>
                <w:sz w:val="13"/>
                <w:szCs w:val="13"/>
              </w:rPr>
              <w:t>0%</w:t>
            </w:r>
          </w:p>
        </w:tc>
      </w:tr>
    </w:tbl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49" w:line="186" w:lineRule="auto"/>
        <w:ind w:left="120"/>
        <w:rPr>
          <w:sz w:val="15"/>
          <w:szCs w:val="15"/>
        </w:rPr>
      </w:pPr>
      <w:r>
        <w:rPr>
          <w:spacing w:val="-9"/>
          <w:sz w:val="15"/>
          <w:szCs w:val="15"/>
        </w:rPr>
        <w:t>资料来源：</w:t>
      </w:r>
      <w:r>
        <w:rPr>
          <w:spacing w:val="-9"/>
          <w:sz w:val="15"/>
          <w:szCs w:val="15"/>
        </w:rPr>
        <w:t xml:space="preserve"> </w:t>
      </w:r>
      <w:r>
        <w:rPr>
          <w:spacing w:val="-9"/>
          <w:sz w:val="15"/>
          <w:szCs w:val="15"/>
        </w:rPr>
        <w:t>生态环境部，</w:t>
      </w:r>
      <w:r>
        <w:rPr>
          <w:spacing w:val="-9"/>
          <w:sz w:val="15"/>
          <w:szCs w:val="15"/>
        </w:rPr>
        <w:t xml:space="preserve"> </w:t>
      </w:r>
      <w:r>
        <w:rPr>
          <w:spacing w:val="-9"/>
          <w:sz w:val="15"/>
          <w:szCs w:val="15"/>
        </w:rPr>
        <w:t>国联证券研究所</w:t>
      </w:r>
    </w:p>
    <w:p>
      <w:pPr>
        <w:spacing w:line="186" w:lineRule="auto"/>
        <w:rPr>
          <w:sz w:val="15"/>
          <w:szCs w:val="15"/>
        </w:rPr>
        <w:sectPr>
          <w:headerReference w:type="default" r:id="rId62"/>
          <w:footerReference w:type="default" r:id="rId63"/>
          <w:type w:val="nextPage"/>
          <w:pgSz w:w="11907" w:h="16839"/>
          <w:pgMar w:top="943" w:right="765" w:bottom="743" w:left="821" w:header="289" w:footer="220" w:gutter="0"/>
          <w:pgNumType w:start="17"/>
          <w:cols w:num="2" w:space="708" w:equalWidth="0">
            <w:col w:w="5175" w:space="100"/>
            <w:col w:w="5045" w:space="0"/>
          </w:cols>
          <w:titlePg w:val="0"/>
        </w:sectPr>
      </w:pP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69" w:line="408" w:lineRule="exact"/>
        <w:ind w:left="3040"/>
      </w:pPr>
      <w:r>
        <w:rPr>
          <w:spacing w:val="1"/>
          <w:position w:val="15"/>
          <w14:textOutline w14:w="3831">
            <w14:solidFill>
              <w14:srgbClr w14:val="000000"/>
            </w14:solidFill>
            <w14:prstDash w14:val="solid"/>
            <w14:round/>
          </w14:textOutline>
        </w:rPr>
        <w:t>以上海市为例，该地区的做法是：配合国家政策对黄标车和老旧车加大限行范</w:t>
      </w:r>
    </w:p>
    <w:p>
      <w:pPr>
        <w:pStyle w:val="BodyText"/>
        <w:spacing w:before="1" w:line="185" w:lineRule="auto"/>
        <w:ind w:left="2617"/>
      </w:pP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围和年检审查力度，</w:t>
      </w:r>
      <w:r>
        <w:rPr>
          <w:spacing w:val="57"/>
        </w:rPr>
        <w:t xml:space="preserve"> 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并配套环保专项基金对提前淘汰车型</w:t>
      </w:r>
      <w:r>
        <w:rPr>
          <w:spacing w:val="-6"/>
          <w14:textOutline w14:w="3831">
            <w14:solidFill>
              <w14:srgbClr w14:val="000000"/>
            </w14:solidFill>
            <w14:prstDash w14:val="solid"/>
            <w14:round/>
          </w14:textOutline>
        </w:rPr>
        <w:t>提供补贴</w:t>
      </w:r>
      <w:r>
        <w:rPr>
          <w:spacing w:val="-6"/>
        </w:rPr>
        <w:t>。2013</w:t>
      </w:r>
      <w:r>
        <w:rPr>
          <w:spacing w:val="-40"/>
        </w:rPr>
        <w:t xml:space="preserve"> </w:t>
      </w:r>
      <w:r>
        <w:rPr>
          <w:spacing w:val="-6"/>
        </w:rPr>
        <w:t>年</w:t>
      </w:r>
      <w:r>
        <w:rPr>
          <w:spacing w:val="-43"/>
        </w:rPr>
        <w:t xml:space="preserve"> </w:t>
      </w:r>
      <w:r>
        <w:rPr>
          <w:spacing w:val="-6"/>
        </w:rPr>
        <w:t>6</w:t>
      </w:r>
      <w:r>
        <w:rPr>
          <w:spacing w:val="-29"/>
        </w:rPr>
        <w:t xml:space="preserve"> </w:t>
      </w:r>
      <w:r>
        <w:rPr>
          <w:spacing w:val="-6"/>
        </w:rPr>
        <w:t>月，</w:t>
      </w:r>
    </w:p>
    <w:p>
      <w:pPr>
        <w:spacing w:line="185" w:lineRule="auto"/>
        <w:sectPr>
          <w:headerReference w:type="default" r:id="rId64"/>
          <w:footerReference w:type="default" r:id="rId65"/>
          <w:type w:val="continuous"/>
          <w:pgSz w:w="11907" w:h="16839"/>
          <w:pgMar w:top="943" w:right="765" w:bottom="743" w:left="821" w:header="289" w:footer="220" w:gutter="0"/>
          <w:pgNumType w:start="18"/>
          <w:cols w:num="1" w:space="708" w:equalWidth="0">
            <w:col w:w="10320" w:space="0"/>
          </w:cols>
        </w:sectPr>
      </w:pPr>
    </w:p>
    <w:p>
      <w:pPr>
        <w:spacing w:line="433" w:lineRule="auto"/>
        <w:rPr>
          <w:rFonts w:ascii="Arial"/>
          <w:sz w:val="21"/>
        </w:rPr>
      </w:pPr>
      <w:r>
        <w:pict>
          <v:rect id="_x0000_s1116" style="width:510.35pt;height:0.5pt;margin-top:180.74pt;margin-left:42.6pt;mso-position-horizontal-relative:page;mso-position-vertical-relative:page;position:absolute;z-index:251700224" o:allowincell="f" filled="t" fillcolor="#c1002c" stroked="f"/>
        </w:pict>
      </w:r>
      <w:r>
        <w:pict>
          <v:shape id="_x0000_s1117" style="width:510.35pt;height:0.5pt;margin-top:160.46pt;margin-left:42.6pt;mso-position-horizontal-relative:page;mso-position-vertical-relative:page;position:absolute;z-index:251703296" coordorigin="0,0" coordsize="10207,10" o:allowincell="f" path="m,9l10206,9l10206,l,l,9xe" filled="t" fillcolor="#c1002c" stroked="f"/>
        </w:pict>
      </w:r>
      <w:r>
        <w:pict>
          <v:shape id="_x0000_s1118" style="width:508.9pt;height:1pt;margin-top:256.1pt;margin-left:43.92pt;mso-position-horizontal-relative:page;mso-position-vertical-relative:page;position:absolute;z-index:251697152" coordorigin="0,0" coordsize="10177,20" o:allowincell="f" path="m,19l1668,19l1668,l,l,19xem1668,19l1687,19l1687,l1668,l1668,19xem1687,19l10177,19l10177,l1687,l1687,19xe" filled="t" fillcolor="black" stroked="f"/>
        </w:pict>
      </w:r>
      <w:r>
        <w:pict>
          <v:shape id="_x0000_s1119" style="width:508.9pt;height:1pt;margin-top:305.69pt;margin-left:43.92pt;mso-position-horizontal-relative:page;mso-position-vertical-relative:page;position:absolute;z-index:251695104" coordorigin="0,0" coordsize="10177,20" o:allowincell="f" path="m,19l1668,19l1668,l,l,19xem1668,19l1687,19l1687,l1668,l1668,19xem1687,19l10177,19l10177,l1687,l1687,19xe" filled="t" fillcolor="black" stroked="f"/>
        </w:pict>
      </w:r>
      <w:r>
        <w:pict>
          <v:shape id="_x0000_s1120" style="width:508.9pt;height:1pt;margin-top:384.65pt;margin-left:43.92pt;mso-position-horizontal-relative:page;mso-position-vertical-relative:page;position:absolute;z-index:251696128" coordorigin="0,0" coordsize="10177,20" o:allowincell="f" path="m,19l1668,19l1668,l,l,19xem1668,19l1687,19l1687,l1668,l1668,19xem1687,19l10177,19l10177,l1687,l1687,19xe" filled="t" fillcolor="black" stroked="f"/>
        </w:pict>
      </w:r>
      <w:r>
        <w:pict>
          <v:shape id="_x0000_s1121" style="width:509.65pt;height:1pt;margin-top:416.93pt;margin-left:43.2pt;mso-position-horizontal-relative:page;mso-position-vertical-relative:page;position:absolute;z-index:251694080" coordorigin="0,0" coordsize="10192,20" o:allowincell="f" path="m,19l1682,19l1682,l,l,19xem1668,19l1687,19l1687,l1668,l1668,19xem1687,19l10192,19l10192,l1687,l1687,19xe" filled="t" fillcolor="black" stroked="f"/>
        </w:pict>
      </w:r>
      <w:r>
        <w:pict>
          <v:shape id="_x0000_s1122" style="width:510.35pt;height:0.5pt;margin-top:419.33pt;margin-left:42.6pt;mso-position-horizontal-relative:page;mso-position-vertical-relative:page;position:absolute;z-index:251698176" coordorigin="0,0" coordsize="10207,10" o:allowincell="f" path="m,9l10206,9l10206,l,l,9xe" filled="t" fillcolor="#c1002c" stroked="f"/>
        </w:pict>
      </w:r>
      <w:r>
        <w:pict>
          <v:shape id="_x0000_s1123" style="width:510.35pt;height:0.5pt;margin-top:496.15pt;margin-left:42.6pt;mso-position-horizontal-relative:page;mso-position-vertical-relative:page;position:absolute;z-index:251699200" coordorigin="0,0" coordsize="10207,10" o:allowincell="f" path="m,9l10206,9l10206,l,l,9xe" filled="t" fillcolor="#c1002c" stroked="f"/>
        </w:pict>
      </w:r>
      <w:r>
        <w:pict>
          <v:shape id="_x0000_s1124" style="width:510.35pt;height:0.5pt;margin-top:516.43pt;margin-left:42.6pt;mso-position-horizontal-relative:page;mso-position-vertical-relative:page;position:absolute;z-index:251701248" coordorigin="0,0" coordsize="10207,10" o:allowincell="f" path="m,9l10206,9l10206,l,l,9xe" filled="t" fillcolor="#c1002c" stroked="f"/>
        </w:pict>
      </w:r>
      <w:r>
        <w:pict>
          <v:shape id="_x0000_s1125" style="width:510.35pt;height:0.5pt;margin-top:745.06pt;margin-left:42.6pt;mso-position-horizontal-relative:page;mso-position-vertical-relative:page;position:absolute;z-index:251702272" coordorigin="0,0" coordsize="10207,10" o:allowincell="f" path="m,9l10206,9l10206,l,l,9xe" filled="t" fillcolor="#c1002c" stroked="f"/>
        </w:pict>
      </w:r>
    </w:p>
    <w:p>
      <w:pPr>
        <w:pStyle w:val="BodyText"/>
        <w:spacing w:before="68" w:line="359" w:lineRule="auto"/>
        <w:ind w:left="2585" w:right="75" w:firstLine="5"/>
        <w:jc w:val="both"/>
      </w:pPr>
      <w:r>
        <w:rPr>
          <w:spacing w:val="-5"/>
        </w:rPr>
        <w:t>上海市政府印发《上海市清洁空气行动计划（2013-</w:t>
      </w:r>
      <w:r>
        <w:rPr>
          <w:spacing w:val="-6"/>
        </w:rPr>
        <w:t>2017）》，加快推淘汰黄标车和老</w:t>
      </w:r>
      <w:r>
        <w:t xml:space="preserve"> </w:t>
      </w:r>
      <w:r>
        <w:rPr>
          <w:spacing w:val="-1"/>
        </w:rPr>
        <w:t>旧车辆。政策主要包括对扩大黄标车和国</w:t>
      </w:r>
      <w:r>
        <w:rPr>
          <w:spacing w:val="36"/>
        </w:rPr>
        <w:t xml:space="preserve"> </w:t>
      </w:r>
      <w:r>
        <w:rPr>
          <w:spacing w:val="-1"/>
        </w:rPr>
        <w:t>I</w:t>
      </w:r>
      <w:r>
        <w:rPr>
          <w:spacing w:val="-1"/>
        </w:rPr>
        <w:t xml:space="preserve"> </w:t>
      </w:r>
      <w:r>
        <w:rPr>
          <w:spacing w:val="-1"/>
        </w:rPr>
        <w:t>老旧车的限行范</w:t>
      </w:r>
      <w:r>
        <w:rPr>
          <w:spacing w:val="-2"/>
        </w:rPr>
        <w:t>围，对全市所有车辆做</w:t>
      </w:r>
      <w:r>
        <w:t xml:space="preserve"> </w:t>
      </w:r>
      <w:r>
        <w:rPr>
          <w:spacing w:val="-1"/>
        </w:rPr>
        <w:t>排放检查以及加强对老旧车的年检制度，</w:t>
      </w:r>
      <w:r>
        <w:rPr>
          <w:spacing w:val="-1"/>
        </w:rPr>
        <w:t xml:space="preserve"> </w:t>
      </w:r>
      <w:r>
        <w:rPr>
          <w:spacing w:val="-1"/>
        </w:rPr>
        <w:t>同时通过环保专项基金对提前淘汰的不同</w:t>
      </w:r>
    </w:p>
    <w:p>
      <w:pPr>
        <w:pStyle w:val="BodyText"/>
        <w:spacing w:line="218" w:lineRule="auto"/>
        <w:ind w:left="2590"/>
      </w:pPr>
      <w:r>
        <w:rPr>
          <w:spacing w:val="-1"/>
        </w:rPr>
        <w:t>年限的车型给予补贴。</w:t>
      </w:r>
    </w:p>
    <w:p>
      <w:pPr>
        <w:spacing w:line="334" w:lineRule="auto"/>
        <w:rPr>
          <w:rFonts w:ascii="Arial"/>
          <w:sz w:val="21"/>
        </w:rPr>
      </w:pPr>
    </w:p>
    <w:p>
      <w:pPr>
        <w:pStyle w:val="BodyText"/>
        <w:spacing w:before="61" w:line="224" w:lineRule="auto"/>
        <w:ind w:left="198"/>
        <w:rPr>
          <w:sz w:val="19"/>
          <w:szCs w:val="19"/>
        </w:rPr>
      </w:pPr>
      <w:r>
        <w:rPr>
          <w:spacing w:val="8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图表</w:t>
      </w:r>
      <w:r>
        <w:rPr>
          <w:rFonts w:ascii="Arial" w:eastAsia="Arial" w:hAnsi="Arial" w:cs="Arial"/>
          <w:b/>
          <w:bCs/>
          <w:spacing w:val="8"/>
          <w:sz w:val="19"/>
          <w:szCs w:val="19"/>
        </w:rPr>
        <w:t>9</w:t>
      </w:r>
      <w:r>
        <w:rPr>
          <w:spacing w:val="8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：《上海市清洁空气计划行动》主要政策梳理</w:t>
      </w:r>
    </w:p>
    <w:p>
      <w:pPr>
        <w:spacing w:line="103" w:lineRule="exact"/>
      </w:pPr>
    </w:p>
    <w:tbl>
      <w:tblPr>
        <w:tblStyle w:val="TableNormal6"/>
        <w:tblW w:w="10177" w:type="dxa"/>
        <w:tblInd w:w="56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C00000"/>
        <w:tblLayout w:type="fixed"/>
      </w:tblPr>
      <w:tblGrid>
        <w:gridCol w:w="1288"/>
        <w:gridCol w:w="8889"/>
      </w:tblGrid>
      <w:tr>
        <w:tblPrEx>
          <w:tblW w:w="10177" w:type="dxa"/>
          <w:tblInd w:w="5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shd w:val="clear" w:color="auto" w:fill="C00000"/>
          <w:tblLayout w:type="fixed"/>
        </w:tblPrEx>
        <w:trPr>
          <w:trHeight w:val="500"/>
        </w:trPr>
        <w:tc>
          <w:tcPr>
            <w:tcW w:w="128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0000"/>
            <w:vAlign w:val="top"/>
          </w:tcPr>
          <w:p>
            <w:pPr>
              <w:pStyle w:val="TableText"/>
              <w:spacing w:before="152" w:line="225" w:lineRule="auto"/>
              <w:ind w:left="114"/>
              <w:rPr>
                <w:sz w:val="19"/>
                <w:szCs w:val="19"/>
              </w:rPr>
            </w:pPr>
            <w:r>
              <w:rPr>
                <w:color w:val="FFFFFF"/>
                <w:spacing w:val="9"/>
                <w:sz w:val="19"/>
                <w:szCs w:val="19"/>
                <w14:textOutline w14:w="3614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政策项目</w:t>
            </w:r>
          </w:p>
        </w:tc>
        <w:tc>
          <w:tcPr>
            <w:tcW w:w="888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C00000"/>
            <w:vAlign w:val="top"/>
          </w:tcPr>
          <w:p>
            <w:pPr>
              <w:pStyle w:val="TableText"/>
              <w:spacing w:before="152" w:line="225" w:lineRule="auto"/>
              <w:ind w:left="497"/>
              <w:rPr>
                <w:sz w:val="19"/>
                <w:szCs w:val="19"/>
              </w:rPr>
            </w:pPr>
            <w:r>
              <w:rPr>
                <w:color w:val="FFFFFF"/>
                <w:spacing w:val="8"/>
                <w:sz w:val="19"/>
                <w:szCs w:val="19"/>
                <w14:textOutline w14:w="3614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具体政策</w:t>
            </w:r>
          </w:p>
        </w:tc>
      </w:tr>
    </w:tbl>
    <w:p>
      <w:pPr>
        <w:spacing w:line="19" w:lineRule="exact"/>
        <w:rPr>
          <w:rFonts w:ascii="Arial"/>
          <w:sz w:val="2"/>
        </w:rPr>
      </w:pPr>
    </w:p>
    <w:p>
      <w:pPr>
        <w:spacing w:line="19" w:lineRule="exact"/>
        <w:rPr>
          <w:rFonts w:ascii="Arial" w:eastAsia="Arial" w:hAnsi="Arial" w:cs="Arial"/>
          <w:sz w:val="2"/>
          <w:szCs w:val="2"/>
        </w:rPr>
        <w:sectPr>
          <w:headerReference w:type="default" r:id="rId66"/>
          <w:footerReference w:type="default" r:id="rId67"/>
          <w:pgSz w:w="11907" w:h="16839"/>
          <w:pgMar w:top="943" w:right="767" w:bottom="743" w:left="821" w:header="289" w:footer="220" w:gutter="0"/>
          <w:pgNumType w:start="19"/>
          <w:cols w:num="1" w:space="708" w:equalWidth="0">
            <w:col w:w="10317" w:space="0"/>
          </w:cols>
        </w:sectPr>
      </w:pPr>
    </w:p>
    <w:p>
      <w:pPr>
        <w:pStyle w:val="BodyText"/>
        <w:spacing w:before="197" w:line="266" w:lineRule="auto"/>
        <w:ind w:left="199" w:right="122" w:hanging="26"/>
        <w:rPr>
          <w:sz w:val="19"/>
          <w:szCs w:val="19"/>
        </w:rPr>
      </w:pPr>
      <w:r>
        <w:rPr>
          <w:spacing w:val="16"/>
          <w:sz w:val="19"/>
          <w:szCs w:val="19"/>
        </w:rPr>
        <w:t>扩大黄标车限行</w:t>
      </w:r>
      <w:r>
        <w:rPr>
          <w:sz w:val="19"/>
          <w:szCs w:val="19"/>
        </w:rPr>
        <w:t xml:space="preserve"> </w:t>
      </w:r>
      <w:r>
        <w:rPr>
          <w:sz w:val="19"/>
          <w:szCs w:val="19"/>
        </w:rPr>
        <w:t>区域范围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8" w:line="267" w:lineRule="auto"/>
        <w:ind w:right="193"/>
        <w:jc w:val="both"/>
        <w:rPr>
          <w:sz w:val="19"/>
          <w:szCs w:val="19"/>
        </w:rPr>
      </w:pPr>
      <w:r>
        <w:rPr>
          <w:spacing w:val="6"/>
          <w:sz w:val="19"/>
          <w:szCs w:val="19"/>
        </w:rPr>
        <w:t>2014</w:t>
      </w:r>
      <w:r>
        <w:rPr>
          <w:spacing w:val="-33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年</w:t>
      </w:r>
      <w:r>
        <w:rPr>
          <w:spacing w:val="-29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7</w:t>
      </w:r>
      <w:r>
        <w:rPr>
          <w:spacing w:val="-22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月</w:t>
      </w:r>
      <w:r>
        <w:rPr>
          <w:spacing w:val="-18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1</w:t>
      </w:r>
      <w:r>
        <w:rPr>
          <w:spacing w:val="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日起，严格实施</w:t>
      </w:r>
      <w:r>
        <w:rPr>
          <w:spacing w:val="-30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S20</w:t>
      </w:r>
      <w:r>
        <w:rPr>
          <w:spacing w:val="-2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外环高速范围内全天禁止无国家绿色环保检验合格标志的车</w:t>
      </w:r>
      <w:r>
        <w:rPr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辆行驶的基础上，进一步扩大限行范围。从</w:t>
      </w:r>
      <w:r>
        <w:rPr>
          <w:spacing w:val="-32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2015</w:t>
      </w:r>
      <w:r>
        <w:rPr>
          <w:spacing w:val="-30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年</w:t>
      </w:r>
      <w:r>
        <w:rPr>
          <w:spacing w:val="-35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4</w:t>
      </w:r>
      <w:r>
        <w:rPr>
          <w:spacing w:val="-24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月</w:t>
      </w:r>
      <w:r>
        <w:rPr>
          <w:spacing w:val="-19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1</w:t>
      </w:r>
      <w:r>
        <w:rPr>
          <w:spacing w:val="4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日起，</w:t>
      </w:r>
      <w:r>
        <w:rPr>
          <w:spacing w:val="4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G1501</w:t>
      </w:r>
      <w:r>
        <w:rPr>
          <w:spacing w:val="-30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上海绕城高速范围内全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天禁止无国家绿色环保检验合格标志的车辆行驶。</w:t>
      </w:r>
    </w:p>
    <w:p>
      <w:pPr>
        <w:spacing w:line="267" w:lineRule="auto"/>
        <w:rPr>
          <w:sz w:val="19"/>
          <w:szCs w:val="19"/>
        </w:rPr>
        <w:sectPr>
          <w:headerReference w:type="default" r:id="rId68"/>
          <w:footerReference w:type="default" r:id="rId69"/>
          <w:type w:val="continuous"/>
          <w:pgSz w:w="11907" w:h="16839"/>
          <w:pgMar w:top="943" w:right="767" w:bottom="743" w:left="821" w:header="289" w:footer="220" w:gutter="0"/>
          <w:pgNumType w:start="20"/>
          <w:cols w:num="2" w:space="708" w:equalWidth="0">
            <w:col w:w="1739" w:space="100"/>
            <w:col w:w="8478" w:space="0"/>
          </w:cols>
        </w:sectPr>
      </w:pPr>
    </w:p>
    <w:p>
      <w:pPr>
        <w:spacing w:before="26"/>
      </w:pPr>
    </w:p>
    <w:p>
      <w:pPr>
        <w:sectPr>
          <w:headerReference w:type="default" r:id="rId70"/>
          <w:footerReference w:type="default" r:id="rId71"/>
          <w:type w:val="continuous"/>
          <w:pgSz w:w="11907" w:h="16839"/>
          <w:pgMar w:top="943" w:right="767" w:bottom="743" w:left="821" w:header="289" w:footer="220" w:gutter="0"/>
          <w:pgNumType w:start="21"/>
          <w:cols w:num="1" w:space="708" w:equalWidth="0">
            <w:col w:w="10317" w:space="0"/>
          </w:cols>
        </w:sectPr>
      </w:pPr>
    </w:p>
    <w:p>
      <w:pPr>
        <w:pStyle w:val="BodyText"/>
        <w:spacing w:before="41" w:line="248" w:lineRule="auto"/>
        <w:ind w:left="184" w:right="119" w:hanging="5"/>
        <w:rPr>
          <w:sz w:val="19"/>
          <w:szCs w:val="19"/>
        </w:rPr>
      </w:pPr>
      <w:r>
        <w:rPr>
          <w:spacing w:val="-2"/>
          <w:sz w:val="19"/>
          <w:szCs w:val="19"/>
        </w:rPr>
        <w:t>实施国</w:t>
      </w:r>
      <w:r>
        <w:rPr>
          <w:spacing w:val="26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I</w:t>
      </w:r>
      <w:r>
        <w:rPr>
          <w:spacing w:val="-2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标准汽</w:t>
      </w:r>
      <w:r>
        <w:rPr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油车限行政策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9" w:line="248" w:lineRule="auto"/>
        <w:ind w:left="15" w:right="194" w:hanging="15"/>
        <w:rPr>
          <w:sz w:val="19"/>
          <w:szCs w:val="19"/>
        </w:rPr>
      </w:pPr>
      <w:r>
        <w:rPr>
          <w:spacing w:val="5"/>
          <w:sz w:val="19"/>
          <w:szCs w:val="19"/>
        </w:rPr>
        <w:t>在</w:t>
      </w:r>
      <w:r>
        <w:rPr>
          <w:spacing w:val="-3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2015</w:t>
      </w:r>
      <w:r>
        <w:rPr>
          <w:spacing w:val="-3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年</w:t>
      </w:r>
      <w:r>
        <w:rPr>
          <w:spacing w:val="-42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4</w:t>
      </w:r>
      <w:r>
        <w:rPr>
          <w:spacing w:val="-31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月</w:t>
      </w:r>
      <w:r>
        <w:rPr>
          <w:spacing w:val="-2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</w:t>
      </w:r>
      <w:r>
        <w:rPr>
          <w:spacing w:val="5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日起实施</w:t>
      </w:r>
      <w:r>
        <w:rPr>
          <w:spacing w:val="-3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G1501</w:t>
      </w:r>
      <w:r>
        <w:rPr>
          <w:spacing w:val="-38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上海绕城高速范围内以及</w:t>
      </w:r>
      <w:r>
        <w:rPr>
          <w:spacing w:val="-3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S20</w:t>
      </w:r>
      <w:r>
        <w:rPr>
          <w:spacing w:val="-32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外环高速范围内全天禁止国Ⅰ标</w:t>
      </w:r>
      <w:r>
        <w:rPr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准汽油车通行。</w:t>
      </w:r>
    </w:p>
    <w:p>
      <w:pPr>
        <w:spacing w:line="248" w:lineRule="auto"/>
        <w:rPr>
          <w:sz w:val="19"/>
          <w:szCs w:val="19"/>
        </w:rPr>
        <w:sectPr>
          <w:headerReference w:type="default" r:id="rId72"/>
          <w:footerReference w:type="default" r:id="rId73"/>
          <w:type w:val="continuous"/>
          <w:pgSz w:w="11907" w:h="16839"/>
          <w:pgMar w:top="943" w:right="767" w:bottom="743" w:left="821" w:header="289" w:footer="220" w:gutter="0"/>
          <w:pgNumType w:start="22"/>
          <w:cols w:num="2" w:space="708" w:equalWidth="0">
            <w:col w:w="1737" w:space="100"/>
            <w:col w:w="8481" w:space="0"/>
          </w:cols>
        </w:sectPr>
      </w:pPr>
    </w:p>
    <w:p>
      <w:pPr>
        <w:spacing w:before="23"/>
      </w:pPr>
    </w:p>
    <w:p>
      <w:pPr>
        <w:sectPr>
          <w:headerReference w:type="default" r:id="rId74"/>
          <w:footerReference w:type="default" r:id="rId75"/>
          <w:type w:val="continuous"/>
          <w:pgSz w:w="11907" w:h="16839"/>
          <w:pgMar w:top="943" w:right="767" w:bottom="743" w:left="821" w:header="289" w:footer="220" w:gutter="0"/>
          <w:pgNumType w:start="23"/>
          <w:cols w:num="1" w:space="708" w:equalWidth="0">
            <w:col w:w="10317" w:space="0"/>
          </w:cols>
        </w:sectPr>
      </w:pPr>
    </w:p>
    <w:p>
      <w:pPr>
        <w:spacing w:line="442" w:lineRule="auto"/>
        <w:rPr>
          <w:rFonts w:ascii="Arial"/>
          <w:sz w:val="21"/>
        </w:rPr>
      </w:pPr>
    </w:p>
    <w:p>
      <w:pPr>
        <w:pStyle w:val="BodyText"/>
        <w:spacing w:before="62" w:line="264" w:lineRule="auto"/>
        <w:ind w:left="172" w:right="122" w:firstLine="7"/>
        <w:rPr>
          <w:sz w:val="19"/>
          <w:szCs w:val="19"/>
        </w:rPr>
      </w:pPr>
      <w:r>
        <w:rPr>
          <w:spacing w:val="15"/>
          <w:sz w:val="19"/>
          <w:szCs w:val="19"/>
        </w:rPr>
        <w:t>强化机动车环保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年审要求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0" w:line="281" w:lineRule="auto"/>
        <w:ind w:left="1" w:right="190" w:hanging="1"/>
        <w:jc w:val="both"/>
        <w:rPr>
          <w:sz w:val="19"/>
          <w:szCs w:val="19"/>
        </w:rPr>
      </w:pPr>
      <w:r>
        <w:rPr>
          <w:spacing w:val="5"/>
          <w:sz w:val="19"/>
          <w:szCs w:val="19"/>
        </w:rPr>
        <w:t>从</w:t>
      </w:r>
      <w:r>
        <w:rPr>
          <w:spacing w:val="-36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2014</w:t>
      </w:r>
      <w:r>
        <w:rPr>
          <w:spacing w:val="-3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年</w:t>
      </w:r>
      <w:r>
        <w:rPr>
          <w:spacing w:val="-36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7</w:t>
      </w:r>
      <w:r>
        <w:rPr>
          <w:spacing w:val="-25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月</w:t>
      </w:r>
      <w:r>
        <w:rPr>
          <w:spacing w:val="-2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</w:t>
      </w:r>
      <w:r>
        <w:rPr>
          <w:spacing w:val="5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日起起,本市运营车辆全面实行简易工况法</w:t>
      </w:r>
      <w:r>
        <w:rPr>
          <w:spacing w:val="4"/>
          <w:sz w:val="19"/>
          <w:szCs w:val="19"/>
        </w:rPr>
        <w:t>进行尾气排放检测。从</w:t>
      </w:r>
      <w:r>
        <w:rPr>
          <w:spacing w:val="-36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2015</w:t>
      </w:r>
      <w:r>
        <w:rPr>
          <w:spacing w:val="-37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年</w:t>
      </w:r>
      <w:r>
        <w:rPr>
          <w:spacing w:val="-27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1</w:t>
      </w:r>
      <w:r>
        <w:rPr>
          <w:spacing w:val="-26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月</w:t>
      </w:r>
      <w:r>
        <w:rPr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1</w:t>
      </w:r>
      <w:r>
        <w:rPr>
          <w:spacing w:val="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日起,本市非运营黄标车和注册日期已满</w:t>
      </w:r>
      <w:r>
        <w:rPr>
          <w:spacing w:val="-22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10</w:t>
      </w:r>
      <w:r>
        <w:rPr>
          <w:spacing w:val="-2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的老旧车辆全面实行简易</w:t>
      </w:r>
      <w:r>
        <w:rPr>
          <w:spacing w:val="5"/>
          <w:sz w:val="19"/>
          <w:szCs w:val="19"/>
        </w:rPr>
        <w:t>工况法进行尾气；增加机</w:t>
      </w:r>
      <w:r>
        <w:rPr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动车环保检测频次，</w:t>
      </w:r>
      <w:r>
        <w:rPr>
          <w:spacing w:val="3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已满</w:t>
      </w:r>
      <w:r>
        <w:rPr>
          <w:spacing w:val="-6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10</w:t>
      </w:r>
      <w:r>
        <w:rPr>
          <w:spacing w:val="-34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年的老旧车辆每</w:t>
      </w:r>
      <w:r>
        <w:rPr>
          <w:spacing w:val="-37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6</w:t>
      </w:r>
      <w:r>
        <w:rPr>
          <w:spacing w:val="-40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个月进行一次尾气排放检测，</w:t>
      </w:r>
      <w:r>
        <w:rPr>
          <w:spacing w:val="3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安排专门检测点实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施检排放检测。经检测不达标的车辆对尾气排放检测不达标的车辆,不得发放国家环保检验合格</w:t>
      </w:r>
      <w:r>
        <w:rPr>
          <w:spacing w:val="18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标志，不予发放机动车安全技术检验合格证明,不予核发机动车检验合格标志。</w:t>
      </w:r>
    </w:p>
    <w:p>
      <w:pPr>
        <w:spacing w:line="281" w:lineRule="auto"/>
        <w:rPr>
          <w:sz w:val="19"/>
          <w:szCs w:val="19"/>
        </w:rPr>
        <w:sectPr>
          <w:headerReference w:type="default" r:id="rId76"/>
          <w:footerReference w:type="default" r:id="rId77"/>
          <w:type w:val="continuous"/>
          <w:pgSz w:w="11907" w:h="16839"/>
          <w:pgMar w:top="943" w:right="767" w:bottom="743" w:left="821" w:header="289" w:footer="220" w:gutter="0"/>
          <w:pgNumType w:start="24"/>
          <w:cols w:num="2" w:space="708" w:equalWidth="0">
            <w:col w:w="1739" w:space="100"/>
            <w:col w:w="8478" w:space="0"/>
          </w:cols>
        </w:sectPr>
      </w:pPr>
    </w:p>
    <w:p>
      <w:pPr>
        <w:spacing w:line="94" w:lineRule="exact"/>
      </w:pPr>
    </w:p>
    <w:p>
      <w:pPr>
        <w:spacing w:line="94" w:lineRule="exact"/>
        <w:sectPr>
          <w:headerReference w:type="default" r:id="rId78"/>
          <w:footerReference w:type="default" r:id="rId79"/>
          <w:type w:val="continuous"/>
          <w:pgSz w:w="11907" w:h="16839"/>
          <w:pgMar w:top="943" w:right="767" w:bottom="743" w:left="821" w:header="289" w:footer="220" w:gutter="0"/>
          <w:pgNumType w:start="25"/>
          <w:cols w:num="1" w:space="708" w:equalWidth="0">
            <w:col w:w="10317" w:space="0"/>
          </w:cols>
        </w:sectPr>
      </w:pPr>
    </w:p>
    <w:p>
      <w:pPr>
        <w:pStyle w:val="BodyText"/>
        <w:spacing w:before="196" w:line="225" w:lineRule="auto"/>
        <w:ind w:left="176"/>
        <w:rPr>
          <w:sz w:val="19"/>
          <w:szCs w:val="19"/>
        </w:rPr>
      </w:pPr>
      <w:r>
        <w:rPr>
          <w:spacing w:val="7"/>
          <w:sz w:val="19"/>
          <w:szCs w:val="19"/>
        </w:rPr>
        <w:t>配套补贴政策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9" w:line="248" w:lineRule="auto"/>
        <w:ind w:left="6" w:right="195" w:hanging="6"/>
        <w:rPr>
          <w:sz w:val="19"/>
          <w:szCs w:val="19"/>
        </w:rPr>
      </w:pPr>
      <w:r>
        <w:rPr>
          <w:spacing w:val="4"/>
          <w:sz w:val="19"/>
          <w:szCs w:val="19"/>
        </w:rPr>
        <w:t>本市注册、符合补贴要求的黄标车提前淘汰的，</w:t>
      </w:r>
      <w:r>
        <w:rPr>
          <w:spacing w:val="-16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以及老旧车辆提前淘汰的，</w:t>
      </w:r>
      <w:r>
        <w:rPr>
          <w:spacing w:val="-44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按车辆注</w:t>
      </w:r>
      <w:r>
        <w:rPr>
          <w:spacing w:val="3"/>
          <w:sz w:val="19"/>
          <w:szCs w:val="19"/>
        </w:rPr>
        <w:t>册的时间给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予差别化经济补贴,鼓励尽早淘汰。补贴资金来源为本市节能减排专项资金。</w:t>
      </w:r>
    </w:p>
    <w:p>
      <w:pPr>
        <w:spacing w:line="248" w:lineRule="auto"/>
        <w:rPr>
          <w:sz w:val="19"/>
          <w:szCs w:val="19"/>
        </w:rPr>
        <w:sectPr>
          <w:headerReference w:type="default" r:id="rId80"/>
          <w:footerReference w:type="default" r:id="rId81"/>
          <w:type w:val="continuous"/>
          <w:pgSz w:w="11907" w:h="16839"/>
          <w:pgMar w:top="943" w:right="767" w:bottom="743" w:left="821" w:header="289" w:footer="220" w:gutter="0"/>
          <w:pgNumType w:start="26"/>
          <w:cols w:num="2" w:space="708" w:equalWidth="0">
            <w:col w:w="1748" w:space="100"/>
            <w:col w:w="8470" w:space="0"/>
          </w:cols>
        </w:sectPr>
      </w:pPr>
    </w:p>
    <w:p>
      <w:pPr>
        <w:pStyle w:val="BodyText"/>
        <w:spacing w:before="135" w:line="214" w:lineRule="auto"/>
        <w:ind w:left="147"/>
        <w:rPr>
          <w:sz w:val="15"/>
          <w:szCs w:val="15"/>
        </w:rPr>
      </w:pPr>
      <w:r>
        <w:rPr>
          <w:spacing w:val="-4"/>
          <w:sz w:val="15"/>
          <w:szCs w:val="15"/>
        </w:rPr>
        <w:t>资料来源：</w:t>
      </w:r>
      <w:r>
        <w:rPr>
          <w:spacing w:val="-9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上海市交通委，国联证券研究所</w:t>
      </w: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68" w:line="411" w:lineRule="exact"/>
        <w:ind w:left="3011"/>
      </w:pPr>
      <w:r>
        <w:rPr>
          <w:spacing w:val="-3"/>
          <w:position w:val="15"/>
          <w14:textOutline w14:w="3831">
            <w14:solidFill>
              <w14:srgbClr w14:val="000000"/>
            </w14:solidFill>
            <w14:prstDash w14:val="solid"/>
            <w14:round/>
          </w14:textOutline>
        </w:rPr>
        <w:t>政策推出上海黄标车保有量降幅显著。</w:t>
      </w:r>
      <w:r>
        <w:rPr>
          <w:spacing w:val="-3"/>
          <w:position w:val="15"/>
        </w:rPr>
        <w:t>政策推出后，2014</w:t>
      </w:r>
      <w:r>
        <w:rPr>
          <w:spacing w:val="-40"/>
          <w:position w:val="15"/>
        </w:rPr>
        <w:t xml:space="preserve"> </w:t>
      </w:r>
      <w:r>
        <w:rPr>
          <w:spacing w:val="-3"/>
          <w:position w:val="15"/>
        </w:rPr>
        <w:t>年上海淘汰约</w:t>
      </w:r>
      <w:r>
        <w:rPr>
          <w:spacing w:val="-33"/>
          <w:position w:val="15"/>
        </w:rPr>
        <w:t xml:space="preserve"> </w:t>
      </w:r>
      <w:r>
        <w:rPr>
          <w:spacing w:val="-3"/>
          <w:position w:val="15"/>
        </w:rPr>
        <w:t>14</w:t>
      </w:r>
      <w:r>
        <w:rPr>
          <w:spacing w:val="-37"/>
          <w:position w:val="15"/>
        </w:rPr>
        <w:t xml:space="preserve"> </w:t>
      </w:r>
      <w:r>
        <w:rPr>
          <w:spacing w:val="-3"/>
          <w:position w:val="15"/>
        </w:rPr>
        <w:t>万辆</w:t>
      </w:r>
    </w:p>
    <w:p>
      <w:pPr>
        <w:pStyle w:val="BodyText"/>
        <w:spacing w:before="1" w:line="213" w:lineRule="auto"/>
        <w:jc w:val="right"/>
      </w:pPr>
      <w:r>
        <w:rPr>
          <w:spacing w:val="-3"/>
        </w:rPr>
        <w:t>黄标车，保有量降幅约</w:t>
      </w:r>
      <w:r>
        <w:rPr>
          <w:spacing w:val="-33"/>
        </w:rPr>
        <w:t xml:space="preserve"> </w:t>
      </w:r>
      <w:r>
        <w:rPr>
          <w:spacing w:val="-3"/>
        </w:rPr>
        <w:t>61%，较</w:t>
      </w:r>
      <w:r>
        <w:rPr>
          <w:spacing w:val="-42"/>
        </w:rPr>
        <w:t xml:space="preserve"> </w:t>
      </w:r>
      <w:r>
        <w:rPr>
          <w:spacing w:val="-3"/>
        </w:rPr>
        <w:t>2012</w:t>
      </w:r>
      <w:r>
        <w:rPr>
          <w:spacing w:val="-38"/>
        </w:rPr>
        <w:t xml:space="preserve"> </w:t>
      </w:r>
      <w:r>
        <w:rPr>
          <w:spacing w:val="-3"/>
        </w:rPr>
        <w:t>年的</w:t>
      </w:r>
      <w:r>
        <w:rPr>
          <w:spacing w:val="-41"/>
        </w:rPr>
        <w:t xml:space="preserve"> </w:t>
      </w:r>
      <w:r>
        <w:rPr>
          <w:spacing w:val="-3"/>
        </w:rPr>
        <w:t>26</w:t>
      </w:r>
      <w:r>
        <w:rPr>
          <w:spacing w:val="-32"/>
        </w:rPr>
        <w:t xml:space="preserve"> </w:t>
      </w:r>
      <w:r>
        <w:rPr>
          <w:spacing w:val="-3"/>
        </w:rPr>
        <w:t>万辆以及</w:t>
      </w:r>
      <w:r>
        <w:rPr>
          <w:spacing w:val="-41"/>
        </w:rPr>
        <w:t xml:space="preserve"> </w:t>
      </w:r>
      <w:r>
        <w:rPr>
          <w:spacing w:val="-3"/>
        </w:rPr>
        <w:t>2013</w:t>
      </w:r>
      <w:r>
        <w:rPr>
          <w:spacing w:val="-38"/>
        </w:rPr>
        <w:t xml:space="preserve"> </w:t>
      </w:r>
      <w:r>
        <w:rPr>
          <w:spacing w:val="-3"/>
        </w:rPr>
        <w:t>年的</w:t>
      </w:r>
      <w:r>
        <w:rPr>
          <w:spacing w:val="-41"/>
        </w:rPr>
        <w:t xml:space="preserve"> </w:t>
      </w:r>
      <w:r>
        <w:rPr>
          <w:spacing w:val="-3"/>
        </w:rPr>
        <w:t>23</w:t>
      </w:r>
      <w:r>
        <w:rPr>
          <w:spacing w:val="-32"/>
        </w:rPr>
        <w:t xml:space="preserve"> </w:t>
      </w:r>
      <w:r>
        <w:rPr>
          <w:spacing w:val="-3"/>
        </w:rPr>
        <w:t>万辆快速降低。</w:t>
      </w: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62" w:line="226" w:lineRule="auto"/>
        <w:ind w:left="198"/>
        <w:rPr>
          <w:sz w:val="19"/>
          <w:szCs w:val="19"/>
        </w:rPr>
      </w:pPr>
      <w:r>
        <w:rPr>
          <w:spacing w:val="7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图表</w:t>
      </w:r>
      <w:r>
        <w:rPr>
          <w:rFonts w:ascii="Arial" w:eastAsia="Arial" w:hAnsi="Arial" w:cs="Arial"/>
          <w:b/>
          <w:bCs/>
          <w:spacing w:val="7"/>
          <w:sz w:val="19"/>
          <w:szCs w:val="19"/>
        </w:rPr>
        <w:t>10</w:t>
      </w:r>
      <w:r>
        <w:rPr>
          <w:spacing w:val="7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：2014</w:t>
      </w:r>
      <w:r>
        <w:rPr>
          <w:spacing w:val="-27"/>
          <w:sz w:val="19"/>
          <w:szCs w:val="19"/>
        </w:rPr>
        <w:t xml:space="preserve"> </w:t>
      </w:r>
      <w:r>
        <w:rPr>
          <w:spacing w:val="7"/>
          <w:sz w:val="19"/>
          <w:szCs w:val="19"/>
          <w14:textOutline w14:w="3614">
            <w14:solidFill>
              <w14:srgbClr w14:val="000000"/>
            </w14:solidFill>
            <w14:prstDash w14:val="solid"/>
            <w14:round/>
          </w14:textOutline>
        </w:rPr>
        <w:t>年上海黄标车保有量降幅显著</w:t>
      </w:r>
    </w:p>
    <w:p>
      <w:pPr>
        <w:spacing w:line="212" w:lineRule="exact"/>
      </w:pPr>
    </w:p>
    <w:p>
      <w:pPr>
        <w:spacing w:line="212" w:lineRule="exact"/>
        <w:sectPr>
          <w:headerReference w:type="default" r:id="rId82"/>
          <w:footerReference w:type="default" r:id="rId83"/>
          <w:type w:val="continuous"/>
          <w:pgSz w:w="11907" w:h="16839"/>
          <w:pgMar w:top="943" w:right="767" w:bottom="743" w:left="821" w:header="289" w:footer="220" w:gutter="0"/>
          <w:pgNumType w:start="27"/>
          <w:cols w:num="1" w:space="708" w:equalWidth="0">
            <w:col w:w="10317" w:space="0"/>
          </w:cols>
        </w:sectPr>
      </w:pPr>
    </w:p>
    <w:p>
      <w:pPr>
        <w:spacing w:line="386" w:lineRule="auto"/>
        <w:rPr>
          <w:rFonts w:ascii="Arial"/>
          <w:sz w:val="21"/>
        </w:rPr>
      </w:pPr>
    </w:p>
    <w:p>
      <w:pPr>
        <w:pStyle w:val="BodyText"/>
        <w:spacing w:before="63" w:line="189" w:lineRule="auto"/>
        <w:ind w:left="644"/>
        <w:rPr>
          <w:sz w:val="19"/>
          <w:szCs w:val="19"/>
        </w:rPr>
      </w:pPr>
      <w:r>
        <w:rPr>
          <w:spacing w:val="1"/>
          <w:sz w:val="19"/>
          <w:szCs w:val="19"/>
        </w:rPr>
        <w:t>30</w:t>
      </w: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62" w:line="189" w:lineRule="auto"/>
        <w:ind w:left="643"/>
        <w:rPr>
          <w:sz w:val="19"/>
          <w:szCs w:val="19"/>
        </w:rPr>
      </w:pPr>
      <w:r>
        <w:rPr>
          <w:spacing w:val="2"/>
          <w:sz w:val="19"/>
          <w:szCs w:val="19"/>
        </w:rPr>
        <w:t>25</w:t>
      </w: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63" w:line="189" w:lineRule="auto"/>
        <w:ind w:left="643"/>
        <w:rPr>
          <w:sz w:val="19"/>
          <w:szCs w:val="19"/>
        </w:rPr>
      </w:pPr>
      <w:r>
        <w:rPr>
          <w:spacing w:val="2"/>
          <w:sz w:val="19"/>
          <w:szCs w:val="19"/>
        </w:rPr>
        <w:t>20</w:t>
      </w: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62" w:line="188" w:lineRule="auto"/>
        <w:ind w:left="654"/>
        <w:rPr>
          <w:sz w:val="19"/>
          <w:szCs w:val="19"/>
        </w:rPr>
      </w:pPr>
      <w:r>
        <w:rPr>
          <w:spacing w:val="-2"/>
          <w:sz w:val="19"/>
          <w:szCs w:val="19"/>
        </w:rPr>
        <w:t>15</w:t>
      </w: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62" w:line="189" w:lineRule="auto"/>
        <w:ind w:left="654"/>
        <w:rPr>
          <w:sz w:val="19"/>
          <w:szCs w:val="19"/>
        </w:rPr>
      </w:pPr>
      <w:r>
        <w:rPr>
          <w:spacing w:val="-2"/>
          <w:sz w:val="19"/>
          <w:szCs w:val="19"/>
        </w:rPr>
        <w:t>10</w:t>
      </w: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63" w:line="186" w:lineRule="auto"/>
        <w:ind w:left="740"/>
        <w:rPr>
          <w:sz w:val="19"/>
          <w:szCs w:val="19"/>
        </w:rPr>
        <w:sectPr>
          <w:headerReference w:type="default" r:id="rId84"/>
          <w:footerReference w:type="default" r:id="rId85"/>
          <w:type w:val="continuous"/>
          <w:pgSz w:w="11907" w:h="16839"/>
          <w:pgMar w:top="943" w:right="767" w:bottom="743" w:left="821" w:header="289" w:footer="220" w:gutter="0"/>
          <w:pgNumType w:start="28"/>
          <w:cols w:num="3" w:space="708" w:equalWidth="0">
            <w:col w:w="890" w:space="100"/>
            <w:col w:w="8141" w:space="100"/>
            <w:col w:w="1087" w:space="0"/>
          </w:cols>
        </w:sectPr>
      </w:pPr>
      <w:r>
        <w:rPr>
          <w:spacing w:val="1"/>
          <w:sz w:val="19"/>
          <w:szCs w:val="19"/>
        </w:rPr>
        <w:t>5</w:t>
      </w: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62" w:line="189" w:lineRule="auto"/>
        <w:ind w:left="743"/>
        <w:rPr>
          <w:sz w:val="19"/>
          <w:szCs w:val="19"/>
        </w:rPr>
      </w:pPr>
      <w:r>
        <w:rPr>
          <w:sz w:val="19"/>
          <w:szCs w:val="19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9" w:line="226" w:lineRule="auto"/>
        <w:ind w:left="1614"/>
        <w:rPr>
          <w:sz w:val="19"/>
          <w:szCs w:val="19"/>
        </w:rPr>
      </w:pPr>
      <w:r>
        <w:rPr>
          <w:position w:val="2"/>
          <w:sz w:val="19"/>
          <w:szCs w:val="19"/>
        </w:rPr>
        <w:drawing>
          <wp:inline distT="0" distB="0" distL="0" distR="0">
            <wp:extent cx="243705" cy="57841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43705" cy="57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4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上海黄标车保有量（万辆）</w:t>
      </w:r>
      <w:r>
        <w:rPr>
          <w:spacing w:val="6"/>
          <w:sz w:val="19"/>
          <w:szCs w:val="19"/>
        </w:rPr>
        <w:t xml:space="preserve">    </w:t>
      </w:r>
      <w:r>
        <w:rPr>
          <w:position w:val="4"/>
          <w:sz w:val="19"/>
          <w:szCs w:val="19"/>
        </w:rPr>
        <w:drawing>
          <wp:inline distT="0" distB="0" distL="0" distR="0">
            <wp:extent cx="272645" cy="28920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72645" cy="2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1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保有量降幅（%）</w:t>
      </w:r>
    </w:p>
    <w:p/>
    <w:tbl>
      <w:tblPr>
        <w:tblStyle w:val="TableNormal7"/>
        <w:tblW w:w="807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078"/>
      </w:tblGrid>
      <w:tr>
        <w:tblPrEx>
          <w:tblW w:w="807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3446"/>
        </w:trPr>
        <w:tc>
          <w:tcPr>
            <w:tcW w:w="8078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  <w:r>
              <w:pict>
                <v:shape id="_x0000_s1126" style="width:2.9pt;height:115.45pt;margin-top:28.4pt;margin-left:-403.66pt;mso-position-horizontal-relative:right-margin-area;mso-position-vertical-relative:top-margin-area;position:absolute;z-index:251706368" coordorigin="0,0" coordsize="58,2308" path="m,2303l57,2303m,1728l57,1728m,1155l57,1155m,580l57,580m,4l57,4e" filled="f" strokecolor="black" strokeweight="0.48pt"/>
              </w:pict>
            </w:r>
            <w:r>
              <w:pict>
                <v:shape id="_x0000_s1127" style="width:2.9pt;height:123.6pt;margin-top:24.32pt;margin-left:-2.85pt;mso-position-horizontal-relative:right-margin-area;mso-position-vertical-relative:top-margin-area;position:absolute;z-index:251707392" coordorigin="0,0" coordsize="58,2471" path="m,2466l57,2466m,1975l57,1975m,1481l57,1481m,989l57,989m,498l57,498m,4l57,4e" filled="f" strokecolor="black" strokeweight="0.48pt"/>
              </w:pict>
            </w:r>
          </w:p>
          <w:p>
            <w:pPr>
              <w:spacing w:line="2979" w:lineRule="exact"/>
              <w:ind w:firstLine="808"/>
            </w:pPr>
            <w:r>
              <w:rPr>
                <w:position w:val="-59"/>
              </w:rPr>
              <w:drawing>
                <wp:inline distT="0" distB="0" distL="0" distR="0">
                  <wp:extent cx="4100406" cy="1891261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0406" cy="18912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143" w:line="141" w:lineRule="exact"/>
        <w:ind w:left="1156"/>
        <w:rPr>
          <w:sz w:val="19"/>
          <w:szCs w:val="19"/>
        </w:rPr>
      </w:pPr>
      <w:r>
        <w:pict>
          <v:shape id="_x0000_s1128" type="#_x0000_t202" style="width:21.65pt;height:11.75pt;margin-top:6.16pt;margin-left:191.41pt;position:absolute;z-index:25170432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9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spacing w:val="3"/>
                      <w:sz w:val="19"/>
                      <w:szCs w:val="19"/>
                    </w:rPr>
                    <w:t>2013</w:t>
                  </w:r>
                </w:p>
              </w:txbxContent>
            </v:textbox>
          </v:shape>
        </w:pict>
      </w:r>
      <w:r>
        <w:pict>
          <v:shape id="_x0000_s1129" type="#_x0000_t202" style="width:21.65pt;height:11.75pt;margin-top:6.16pt;margin-left:325.99pt;position:absolute;z-index:25170534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9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spacing w:val="3"/>
                      <w:sz w:val="19"/>
                      <w:szCs w:val="19"/>
                    </w:rPr>
                    <w:t>2014</w:t>
                  </w:r>
                </w:p>
              </w:txbxContent>
            </v:textbox>
          </v:shape>
        </w:pict>
      </w:r>
      <w:r>
        <w:rPr>
          <w:spacing w:val="3"/>
          <w:position w:val="-2"/>
          <w:sz w:val="19"/>
          <w:szCs w:val="19"/>
        </w:rPr>
        <w:t>2012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85" w:lineRule="auto"/>
        <w:rPr>
          <w:rFonts w:ascii="Arial"/>
          <w:sz w:val="21"/>
        </w:rPr>
      </w:pPr>
    </w:p>
    <w:p>
      <w:pPr>
        <w:pStyle w:val="BodyText"/>
        <w:spacing w:before="62" w:line="189" w:lineRule="auto"/>
        <w:ind w:left="2"/>
        <w:rPr>
          <w:sz w:val="19"/>
          <w:szCs w:val="19"/>
        </w:rPr>
      </w:pPr>
      <w:r>
        <w:rPr>
          <w:spacing w:val="2"/>
          <w:sz w:val="19"/>
          <w:szCs w:val="19"/>
        </w:rPr>
        <w:t>0%</w:t>
      </w:r>
    </w:p>
    <w:p>
      <w:pPr>
        <w:pStyle w:val="BodyText"/>
        <w:spacing w:before="299" w:line="189" w:lineRule="auto"/>
        <w:rPr>
          <w:sz w:val="19"/>
          <w:szCs w:val="19"/>
        </w:rPr>
      </w:pPr>
      <w:r>
        <w:rPr>
          <w:spacing w:val="3"/>
          <w:sz w:val="19"/>
          <w:szCs w:val="19"/>
        </w:rPr>
        <w:t>-10%</w:t>
      </w:r>
    </w:p>
    <w:p>
      <w:pPr>
        <w:pStyle w:val="BodyText"/>
        <w:spacing w:before="298" w:line="189" w:lineRule="auto"/>
        <w:rPr>
          <w:sz w:val="19"/>
          <w:szCs w:val="19"/>
        </w:rPr>
      </w:pPr>
      <w:r>
        <w:rPr>
          <w:spacing w:val="3"/>
          <w:sz w:val="19"/>
          <w:szCs w:val="19"/>
        </w:rPr>
        <w:t>-20%</w:t>
      </w:r>
    </w:p>
    <w:p>
      <w:pPr>
        <w:pStyle w:val="BodyText"/>
        <w:spacing w:before="298" w:line="189" w:lineRule="auto"/>
        <w:rPr>
          <w:sz w:val="19"/>
          <w:szCs w:val="19"/>
        </w:rPr>
      </w:pPr>
      <w:r>
        <w:rPr>
          <w:spacing w:val="3"/>
          <w:sz w:val="19"/>
          <w:szCs w:val="19"/>
        </w:rPr>
        <w:t>-30%</w:t>
      </w:r>
    </w:p>
    <w:p>
      <w:pPr>
        <w:pStyle w:val="BodyText"/>
        <w:spacing w:before="298" w:line="189" w:lineRule="auto"/>
        <w:rPr>
          <w:sz w:val="19"/>
          <w:szCs w:val="19"/>
        </w:rPr>
      </w:pPr>
      <w:r>
        <w:rPr>
          <w:spacing w:val="3"/>
          <w:sz w:val="19"/>
          <w:szCs w:val="19"/>
        </w:rPr>
        <w:t>-40%</w:t>
      </w:r>
    </w:p>
    <w:p>
      <w:pPr>
        <w:pStyle w:val="BodyText"/>
        <w:spacing w:before="299" w:line="189" w:lineRule="auto"/>
        <w:rPr>
          <w:sz w:val="19"/>
          <w:szCs w:val="19"/>
        </w:rPr>
      </w:pPr>
      <w:r>
        <w:rPr>
          <w:spacing w:val="3"/>
          <w:sz w:val="19"/>
          <w:szCs w:val="19"/>
        </w:rPr>
        <w:t>-50%</w:t>
      </w:r>
    </w:p>
    <w:p>
      <w:pPr>
        <w:pStyle w:val="BodyText"/>
        <w:spacing w:before="297" w:line="189" w:lineRule="auto"/>
        <w:rPr>
          <w:sz w:val="19"/>
          <w:szCs w:val="19"/>
        </w:rPr>
      </w:pPr>
      <w:r>
        <w:rPr>
          <w:spacing w:val="3"/>
          <w:sz w:val="19"/>
          <w:szCs w:val="19"/>
        </w:rPr>
        <w:t>-60%</w:t>
      </w:r>
    </w:p>
    <w:p>
      <w:pPr>
        <w:pStyle w:val="BodyText"/>
        <w:spacing w:before="299" w:line="189" w:lineRule="auto"/>
        <w:rPr>
          <w:sz w:val="19"/>
          <w:szCs w:val="19"/>
        </w:rPr>
      </w:pPr>
      <w:r>
        <w:rPr>
          <w:spacing w:val="3"/>
          <w:sz w:val="19"/>
          <w:szCs w:val="19"/>
        </w:rPr>
        <w:t>-70%</w:t>
      </w:r>
    </w:p>
    <w:p>
      <w:pPr>
        <w:spacing w:line="189" w:lineRule="auto"/>
        <w:rPr>
          <w:sz w:val="19"/>
          <w:szCs w:val="19"/>
        </w:rPr>
        <w:sectPr>
          <w:headerReference w:type="default" r:id="rId89"/>
          <w:footerReference w:type="default" r:id="rId90"/>
          <w:type w:val="nextPage"/>
          <w:pgSz w:w="11907" w:h="16839"/>
          <w:pgMar w:top="943" w:right="767" w:bottom="743" w:left="821" w:header="289" w:footer="220" w:gutter="0"/>
          <w:pgNumType w:start="29"/>
          <w:cols w:num="3" w:space="708" w:equalWidth="0">
            <w:col w:w="890" w:space="100"/>
            <w:col w:w="8141" w:space="100"/>
            <w:col w:w="1087" w:space="0"/>
          </w:cols>
          <w:titlePg w:val="0"/>
        </w:sectPr>
      </w:pPr>
    </w:p>
    <w:p>
      <w:pPr>
        <w:pStyle w:val="BodyText"/>
        <w:spacing w:before="199" w:line="214" w:lineRule="auto"/>
        <w:ind w:left="147"/>
        <w:rPr>
          <w:sz w:val="15"/>
          <w:szCs w:val="15"/>
        </w:rPr>
      </w:pPr>
      <w:r>
        <w:rPr>
          <w:spacing w:val="-8"/>
          <w:sz w:val="15"/>
          <w:szCs w:val="15"/>
        </w:rPr>
        <w:t>资料来源：</w:t>
      </w:r>
      <w:r>
        <w:rPr>
          <w:spacing w:val="-18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环球网，</w:t>
      </w:r>
      <w:r>
        <w:rPr>
          <w:spacing w:val="-8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解放日报，长江网，</w:t>
      </w:r>
      <w:r>
        <w:rPr>
          <w:spacing w:val="-8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国联证券研究所</w:t>
      </w: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79" w:line="185" w:lineRule="auto"/>
        <w:ind w:left="3021"/>
        <w:outlineLvl w:val="1"/>
        <w:rPr>
          <w:sz w:val="24"/>
          <w:szCs w:val="24"/>
        </w:rPr>
      </w:pPr>
      <w:r>
        <w:rPr>
          <w:rFonts w:ascii="Arial" w:eastAsia="Arial" w:hAnsi="Arial" w:cs="Arial"/>
          <w:b/>
          <w:bCs/>
          <w:spacing w:val="-1"/>
          <w:sz w:val="24"/>
          <w:szCs w:val="24"/>
        </w:rPr>
        <w:t>1.3</w:t>
      </w:r>
      <w:r>
        <w:rPr>
          <w:rFonts w:ascii="Arial" w:eastAsia="Arial" w:hAnsi="Arial" w:cs="Arial"/>
          <w:b/>
          <w:bCs/>
          <w:spacing w:val="30"/>
          <w:w w:val="101"/>
          <w:sz w:val="24"/>
          <w:szCs w:val="24"/>
        </w:rPr>
        <w:t xml:space="preserve"> </w:t>
      </w:r>
      <w:r>
        <w:rPr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政策多维度持续加码汽车报废更新</w:t>
      </w:r>
    </w:p>
    <w:p>
      <w:pPr>
        <w:spacing w:line="185" w:lineRule="auto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https://d.book118.com/218006006107006042</w:t>
        </w:r>
      </w:hyperlink>
    </w:p>
    <w:p>
      <w:pPr>
        <w:spacing w:line="185" w:lineRule="auto"/>
        <w:rPr>
          <w:sz w:val="24"/>
          <w:szCs w:val="24"/>
        </w:rPr>
      </w:pPr>
    </w:p>
    <w:sectPr>
      <w:headerReference w:type="default" r:id="rId92"/>
      <w:footerReference w:type="default" r:id="rId93"/>
      <w:type w:val="continuous"/>
      <w:pgSz w:w="11907" w:h="16839"/>
      <w:pgMar w:top="943" w:right="767" w:bottom="743" w:left="821" w:header="289" w:footer="220" w:gutter="0"/>
      <w:pgNumType w:start="30"/>
      <w:cols w:num="1" w:space="708" w:equalWidth="0">
        <w:col w:w="103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50" style="width:513.05pt;height:0.75pt;margin-top:804.72pt;margin-left:41.1pt;mso-position-horizontal-relative:page;mso-position-vertical-relative:page;position:absolute;z-index:251658240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88"/>
      <w:rPr>
        <w:sz w:val="18"/>
        <w:szCs w:val="18"/>
      </w:rPr>
    </w:pPr>
    <w:r>
      <w:rPr>
        <w:rFonts w:ascii="Arial" w:eastAsia="Arial" w:hAnsi="Arial" w:cs="Arial"/>
        <w:position w:val="1"/>
        <w:sz w:val="18"/>
        <w:szCs w:val="18"/>
      </w:rPr>
      <w:t xml:space="preserve">2                                                  </w:t>
    </w:r>
    <w:r>
      <w:rPr>
        <w:sz w:val="18"/>
        <w:szCs w:val="18"/>
      </w:rPr>
      <w:t>请务必阅读报告末页的重要声明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52" style="width:513.05pt;height:0.75pt;margin-top:804.72pt;margin-left:41.1pt;mso-position-horizontal-relative:page;mso-position-vertical-relative:page;position:absolute;z-index:251659264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88"/>
      <w:rPr>
        <w:sz w:val="18"/>
        <w:szCs w:val="18"/>
      </w:rPr>
    </w:pPr>
    <w:r>
      <w:rPr>
        <w:rFonts w:ascii="Arial" w:eastAsia="Arial" w:hAnsi="Arial" w:cs="Arial"/>
        <w:position w:val="1"/>
        <w:sz w:val="18"/>
        <w:szCs w:val="18"/>
      </w:rPr>
      <w:t xml:space="preserve">2                                                  </w:t>
    </w:r>
    <w:r>
      <w:rPr>
        <w:sz w:val="18"/>
        <w:szCs w:val="18"/>
      </w:rPr>
      <w:t>请务必阅读报告末页的重要声明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54" style="width:513.05pt;height:0.75pt;margin-top:804.72pt;margin-left:41.1pt;mso-position-horizontal-relative:page;mso-position-vertical-relative:page;position:absolute;z-index:251660288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90"/>
      <w:rPr>
        <w:sz w:val="18"/>
        <w:szCs w:val="18"/>
      </w:rPr>
    </w:pPr>
    <w:r>
      <w:rPr>
        <w:rFonts w:ascii="Arial" w:eastAsia="Arial" w:hAnsi="Arial" w:cs="Arial"/>
        <w:spacing w:val="-2"/>
        <w:position w:val="1"/>
        <w:sz w:val="18"/>
        <w:szCs w:val="18"/>
      </w:rPr>
      <w:t>3</w:t>
    </w:r>
    <w:r>
      <w:rPr>
        <w:rFonts w:ascii="Arial" w:eastAsia="Arial" w:hAnsi="Arial" w:cs="Arial"/>
        <w:spacing w:val="1"/>
        <w:position w:val="1"/>
        <w:sz w:val="18"/>
        <w:szCs w:val="18"/>
      </w:rPr>
      <w:t xml:space="preserve">                                            </w:t>
    </w:r>
    <w:r>
      <w:rPr>
        <w:rFonts w:ascii="Arial" w:eastAsia="Arial" w:hAnsi="Arial" w:cs="Arial"/>
        <w:position w:val="1"/>
        <w:sz w:val="18"/>
        <w:szCs w:val="18"/>
      </w:rPr>
      <w:t xml:space="preserve">      </w:t>
    </w:r>
    <w:r>
      <w:rPr>
        <w:spacing w:val="-2"/>
        <w:sz w:val="18"/>
        <w:szCs w:val="18"/>
      </w:rPr>
      <w:t>请务必阅读报告末页的重要声明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56" style="width:513.05pt;height:0.75pt;margin-top:804.72pt;margin-left:41.1pt;mso-position-horizontal-relative:page;mso-position-vertical-relative:page;position:absolute;z-index:251661312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90"/>
      <w:rPr>
        <w:sz w:val="18"/>
        <w:szCs w:val="18"/>
      </w:rPr>
    </w:pPr>
    <w:r>
      <w:rPr>
        <w:rFonts w:ascii="Arial" w:eastAsia="Arial" w:hAnsi="Arial" w:cs="Arial"/>
        <w:spacing w:val="-2"/>
        <w:position w:val="1"/>
        <w:sz w:val="18"/>
        <w:szCs w:val="18"/>
      </w:rPr>
      <w:t>3</w:t>
    </w:r>
    <w:r>
      <w:rPr>
        <w:rFonts w:ascii="Arial" w:eastAsia="Arial" w:hAnsi="Arial" w:cs="Arial"/>
        <w:spacing w:val="1"/>
        <w:position w:val="1"/>
        <w:sz w:val="18"/>
        <w:szCs w:val="18"/>
      </w:rPr>
      <w:t xml:space="preserve">                                            </w:t>
    </w:r>
    <w:r>
      <w:rPr>
        <w:rFonts w:ascii="Arial" w:eastAsia="Arial" w:hAnsi="Arial" w:cs="Arial"/>
        <w:position w:val="1"/>
        <w:sz w:val="18"/>
        <w:szCs w:val="18"/>
      </w:rPr>
      <w:t xml:space="preserve">      </w:t>
    </w:r>
    <w:r>
      <w:rPr>
        <w:spacing w:val="-2"/>
        <w:sz w:val="18"/>
        <w:szCs w:val="18"/>
      </w:rPr>
      <w:t>请务必阅读报告末页的重要声明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58" style="width:513.05pt;height:0.75pt;margin-top:804.72pt;margin-left:41.1pt;mso-position-horizontal-relative:page;mso-position-vertical-relative:page;position:absolute;z-index:251662336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85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4                   </w:t>
    </w:r>
    <w:r>
      <w:rPr>
        <w:rFonts w:ascii="Arial" w:eastAsia="Arial" w:hAnsi="Arial" w:cs="Arial"/>
        <w:position w:val="1"/>
        <w:sz w:val="18"/>
        <w:szCs w:val="18"/>
      </w:rPr>
      <w:t xml:space="preserve">                               </w:t>
    </w:r>
    <w:r>
      <w:rPr>
        <w:sz w:val="18"/>
        <w:szCs w:val="18"/>
      </w:rPr>
      <w:t>请务必阅读报告末页的重要声明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60" style="width:513.05pt;height:0.75pt;margin-top:804.72pt;margin-left:41.1pt;mso-position-horizontal-relative:page;mso-position-vertical-relative:page;position:absolute;z-index:251663360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85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4                   </w:t>
    </w:r>
    <w:r>
      <w:rPr>
        <w:rFonts w:ascii="Arial" w:eastAsia="Arial" w:hAnsi="Arial" w:cs="Arial"/>
        <w:position w:val="1"/>
        <w:sz w:val="18"/>
        <w:szCs w:val="18"/>
      </w:rPr>
      <w:t xml:space="preserve">                               </w:t>
    </w:r>
    <w:r>
      <w:rPr>
        <w:sz w:val="18"/>
        <w:szCs w:val="18"/>
      </w:rPr>
      <w:t>请务必阅读报告末页的重要声明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62" style="width:513.05pt;height:0.75pt;margin-top:804.72pt;margin-left:41.1pt;mso-position-horizontal-relative:page;mso-position-vertical-relative:page;position:absolute;z-index:251664384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85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4                   </w:t>
    </w:r>
    <w:r>
      <w:rPr>
        <w:rFonts w:ascii="Arial" w:eastAsia="Arial" w:hAnsi="Arial" w:cs="Arial"/>
        <w:position w:val="1"/>
        <w:sz w:val="18"/>
        <w:szCs w:val="18"/>
      </w:rPr>
      <w:t xml:space="preserve">                               </w:t>
    </w:r>
    <w:r>
      <w:rPr>
        <w:sz w:val="18"/>
        <w:szCs w:val="18"/>
      </w:rPr>
      <w:t>请务必阅读报告末页的重要声明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64" style="width:513.05pt;height:0.75pt;margin-top:804.72pt;margin-left:41.1pt;mso-position-horizontal-relative:page;mso-position-vertical-relative:page;position:absolute;z-index:251665408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85"/>
      <w:rPr>
        <w:sz w:val="18"/>
        <w:szCs w:val="18"/>
      </w:rPr>
    </w:pPr>
    <w:r>
      <w:rPr>
        <w:rFonts w:ascii="Arial" w:eastAsia="Arial" w:hAnsi="Arial" w:cs="Arial"/>
        <w:spacing w:val="1"/>
        <w:position w:val="1"/>
        <w:sz w:val="18"/>
        <w:szCs w:val="18"/>
      </w:rPr>
      <w:t xml:space="preserve">4                   </w:t>
    </w:r>
    <w:r>
      <w:rPr>
        <w:rFonts w:ascii="Arial" w:eastAsia="Arial" w:hAnsi="Arial" w:cs="Arial"/>
        <w:position w:val="1"/>
        <w:sz w:val="18"/>
        <w:szCs w:val="18"/>
      </w:rPr>
      <w:t xml:space="preserve">                               </w:t>
    </w:r>
    <w:r>
      <w:rPr>
        <w:sz w:val="18"/>
        <w:szCs w:val="18"/>
      </w:rPr>
      <w:t>请务必阅读报告末页的重要声明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66" style="width:513.05pt;height:0.75pt;margin-top:804.72pt;margin-left:41.1pt;mso-position-horizontal-relative:page;mso-position-vertical-relative:page;position:absolute;z-index:251666432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90"/>
      <w:rPr>
        <w:sz w:val="18"/>
        <w:szCs w:val="18"/>
      </w:rPr>
    </w:pPr>
    <w:r>
      <w:rPr>
        <w:rFonts w:ascii="Arial" w:eastAsia="Arial" w:hAnsi="Arial" w:cs="Arial"/>
        <w:spacing w:val="-2"/>
        <w:position w:val="1"/>
        <w:sz w:val="18"/>
        <w:szCs w:val="18"/>
      </w:rPr>
      <w:t>5</w:t>
    </w:r>
    <w:r>
      <w:rPr>
        <w:rFonts w:ascii="Arial" w:eastAsia="Arial" w:hAnsi="Arial" w:cs="Arial"/>
        <w:spacing w:val="1"/>
        <w:position w:val="1"/>
        <w:sz w:val="18"/>
        <w:szCs w:val="18"/>
      </w:rPr>
      <w:t xml:space="preserve">                                            </w:t>
    </w:r>
    <w:r>
      <w:rPr>
        <w:rFonts w:ascii="Arial" w:eastAsia="Arial" w:hAnsi="Arial" w:cs="Arial"/>
        <w:position w:val="1"/>
        <w:sz w:val="18"/>
        <w:szCs w:val="18"/>
      </w:rPr>
      <w:t xml:space="preserve">      </w:t>
    </w:r>
    <w:r>
      <w:rPr>
        <w:spacing w:val="-2"/>
        <w:sz w:val="18"/>
        <w:szCs w:val="18"/>
      </w:rPr>
      <w:t>请务必阅读报告末页的重要声明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68" style="width:513.05pt;height:0.75pt;margin-top:804.72pt;margin-left:41.1pt;mso-position-horizontal-relative:page;mso-position-vertical-relative:page;position:absolute;z-index:251667456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90"/>
      <w:rPr>
        <w:sz w:val="18"/>
        <w:szCs w:val="18"/>
      </w:rPr>
    </w:pPr>
    <w:r>
      <w:rPr>
        <w:rFonts w:ascii="Arial" w:eastAsia="Arial" w:hAnsi="Arial" w:cs="Arial"/>
        <w:spacing w:val="-2"/>
        <w:position w:val="1"/>
        <w:sz w:val="18"/>
        <w:szCs w:val="18"/>
      </w:rPr>
      <w:t>5</w:t>
    </w:r>
    <w:r>
      <w:rPr>
        <w:rFonts w:ascii="Arial" w:eastAsia="Arial" w:hAnsi="Arial" w:cs="Arial"/>
        <w:spacing w:val="1"/>
        <w:position w:val="1"/>
        <w:sz w:val="18"/>
        <w:szCs w:val="18"/>
      </w:rPr>
      <w:t xml:space="preserve">                                            </w:t>
    </w:r>
    <w:r>
      <w:rPr>
        <w:rFonts w:ascii="Arial" w:eastAsia="Arial" w:hAnsi="Arial" w:cs="Arial"/>
        <w:position w:val="1"/>
        <w:sz w:val="18"/>
        <w:szCs w:val="18"/>
      </w:rPr>
      <w:t xml:space="preserve">      </w:t>
    </w:r>
    <w:r>
      <w:rPr>
        <w:spacing w:val="-2"/>
        <w:sz w:val="18"/>
        <w:szCs w:val="18"/>
      </w:rPr>
      <w:t>请务必阅读报告末页的重要声明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70" style="width:513.05pt;height:0.75pt;margin-top:804.72pt;margin-left:41.1pt;mso-position-horizontal-relative:page;mso-position-vertical-relative:page;position:absolute;z-index:251668480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90"/>
      <w:rPr>
        <w:sz w:val="18"/>
        <w:szCs w:val="18"/>
      </w:rPr>
    </w:pPr>
    <w:r>
      <w:rPr>
        <w:rFonts w:ascii="Arial" w:eastAsia="Arial" w:hAnsi="Arial" w:cs="Arial"/>
        <w:spacing w:val="-2"/>
        <w:position w:val="1"/>
        <w:sz w:val="18"/>
        <w:szCs w:val="18"/>
      </w:rPr>
      <w:t>5</w:t>
    </w:r>
    <w:r>
      <w:rPr>
        <w:rFonts w:ascii="Arial" w:eastAsia="Arial" w:hAnsi="Arial" w:cs="Arial"/>
        <w:spacing w:val="1"/>
        <w:position w:val="1"/>
        <w:sz w:val="18"/>
        <w:szCs w:val="18"/>
      </w:rPr>
      <w:t xml:space="preserve">                                            </w:t>
    </w:r>
    <w:r>
      <w:rPr>
        <w:rFonts w:ascii="Arial" w:eastAsia="Arial" w:hAnsi="Arial" w:cs="Arial"/>
        <w:position w:val="1"/>
        <w:sz w:val="18"/>
        <w:szCs w:val="18"/>
      </w:rPr>
      <w:t xml:space="preserve">      </w:t>
    </w:r>
    <w:r>
      <w:rPr>
        <w:spacing w:val="-2"/>
        <w:sz w:val="18"/>
        <w:szCs w:val="18"/>
      </w:rPr>
      <w:t>请务必阅读报告末页的重要声明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72" style="width:513.05pt;height:0.75pt;margin-top:804.72pt;margin-left:41.1pt;mso-position-horizontal-relative:page;mso-position-vertical-relative:page;position:absolute;z-index:251669504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90"/>
      <w:rPr>
        <w:sz w:val="18"/>
        <w:szCs w:val="18"/>
      </w:rPr>
    </w:pPr>
    <w:r>
      <w:rPr>
        <w:rFonts w:ascii="Arial" w:eastAsia="Arial" w:hAnsi="Arial" w:cs="Arial"/>
        <w:spacing w:val="-2"/>
        <w:position w:val="1"/>
        <w:sz w:val="18"/>
        <w:szCs w:val="18"/>
      </w:rPr>
      <w:t>5</w:t>
    </w:r>
    <w:r>
      <w:rPr>
        <w:rFonts w:ascii="Arial" w:eastAsia="Arial" w:hAnsi="Arial" w:cs="Arial"/>
        <w:spacing w:val="1"/>
        <w:position w:val="1"/>
        <w:sz w:val="18"/>
        <w:szCs w:val="18"/>
      </w:rPr>
      <w:t xml:space="preserve">                                            </w:t>
    </w:r>
    <w:r>
      <w:rPr>
        <w:rFonts w:ascii="Arial" w:eastAsia="Arial" w:hAnsi="Arial" w:cs="Arial"/>
        <w:position w:val="1"/>
        <w:sz w:val="18"/>
        <w:szCs w:val="18"/>
      </w:rPr>
      <w:t xml:space="preserve">      </w:t>
    </w:r>
    <w:r>
      <w:rPr>
        <w:spacing w:val="-2"/>
        <w:sz w:val="18"/>
        <w:szCs w:val="18"/>
      </w:rPr>
      <w:t>请务必阅读报告末页的重要声明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74" style="width:513.05pt;height:0.75pt;margin-top:804.72pt;margin-left:41.1pt;mso-position-horizontal-relative:page;mso-position-vertical-relative:page;position:absolute;z-index:251670528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90"/>
      <w:rPr>
        <w:sz w:val="18"/>
        <w:szCs w:val="18"/>
      </w:rPr>
    </w:pPr>
    <w:r>
      <w:rPr>
        <w:rFonts w:ascii="Arial" w:eastAsia="Arial" w:hAnsi="Arial" w:cs="Arial"/>
        <w:spacing w:val="-2"/>
        <w:position w:val="1"/>
        <w:sz w:val="18"/>
        <w:szCs w:val="18"/>
      </w:rPr>
      <w:t>5</w:t>
    </w:r>
    <w:r>
      <w:rPr>
        <w:rFonts w:ascii="Arial" w:eastAsia="Arial" w:hAnsi="Arial" w:cs="Arial"/>
        <w:spacing w:val="1"/>
        <w:position w:val="1"/>
        <w:sz w:val="18"/>
        <w:szCs w:val="18"/>
      </w:rPr>
      <w:t xml:space="preserve">                                            </w:t>
    </w:r>
    <w:r>
      <w:rPr>
        <w:rFonts w:ascii="Arial" w:eastAsia="Arial" w:hAnsi="Arial" w:cs="Arial"/>
        <w:position w:val="1"/>
        <w:sz w:val="18"/>
        <w:szCs w:val="18"/>
      </w:rPr>
      <w:t xml:space="preserve">      </w:t>
    </w:r>
    <w:r>
      <w:rPr>
        <w:spacing w:val="-2"/>
        <w:sz w:val="18"/>
        <w:szCs w:val="18"/>
      </w:rPr>
      <w:t>请务必阅读报告末页的重要声明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76" style="width:513.05pt;height:0.75pt;margin-top:804.72pt;margin-left:41.1pt;mso-position-horizontal-relative:page;mso-position-vertical-relative:page;position:absolute;z-index:251671552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90"/>
      <w:rPr>
        <w:sz w:val="18"/>
        <w:szCs w:val="18"/>
      </w:rPr>
    </w:pPr>
    <w:r>
      <w:rPr>
        <w:rFonts w:ascii="Arial" w:eastAsia="Arial" w:hAnsi="Arial" w:cs="Arial"/>
        <w:spacing w:val="-2"/>
        <w:position w:val="1"/>
        <w:sz w:val="18"/>
        <w:szCs w:val="18"/>
      </w:rPr>
      <w:t>5</w:t>
    </w:r>
    <w:r>
      <w:rPr>
        <w:rFonts w:ascii="Arial" w:eastAsia="Arial" w:hAnsi="Arial" w:cs="Arial"/>
        <w:spacing w:val="1"/>
        <w:position w:val="1"/>
        <w:sz w:val="18"/>
        <w:szCs w:val="18"/>
      </w:rPr>
      <w:t xml:space="preserve">                                            </w:t>
    </w:r>
    <w:r>
      <w:rPr>
        <w:rFonts w:ascii="Arial" w:eastAsia="Arial" w:hAnsi="Arial" w:cs="Arial"/>
        <w:position w:val="1"/>
        <w:sz w:val="18"/>
        <w:szCs w:val="18"/>
      </w:rPr>
      <w:t xml:space="preserve">      </w:t>
    </w:r>
    <w:r>
      <w:rPr>
        <w:spacing w:val="-2"/>
        <w:sz w:val="18"/>
        <w:szCs w:val="18"/>
      </w:rPr>
      <w:t>请务必阅读报告末页的重要声明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78" style="width:513.05pt;height:0.75pt;margin-top:804.72pt;margin-left:41.1pt;mso-position-horizontal-relative:page;mso-position-vertical-relative:page;position:absolute;z-index:251672576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position w:val="1"/>
        <w:sz w:val="18"/>
        <w:szCs w:val="18"/>
      </w:rPr>
      <w:t xml:space="preserve">6                                                  </w:t>
    </w:r>
    <w:r>
      <w:rPr>
        <w:sz w:val="18"/>
        <w:szCs w:val="18"/>
      </w:rPr>
      <w:t>请务必阅读报告末页的重要声明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80" style="width:513.05pt;height:0.75pt;margin-top:804.72pt;margin-left:41.1pt;mso-position-horizontal-relative:page;mso-position-vertical-relative:page;position:absolute;z-index:251673600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position w:val="1"/>
        <w:sz w:val="18"/>
        <w:szCs w:val="18"/>
      </w:rPr>
      <w:t xml:space="preserve">6                                                  </w:t>
    </w:r>
    <w:r>
      <w:rPr>
        <w:sz w:val="18"/>
        <w:szCs w:val="18"/>
      </w:rPr>
      <w:t>请务必阅读报告末页的重要声明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82" style="width:513.05pt;height:0.75pt;margin-top:804.72pt;margin-left:41.1pt;mso-position-horizontal-relative:page;mso-position-vertical-relative:page;position:absolute;z-index:251674624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position w:val="1"/>
        <w:sz w:val="18"/>
        <w:szCs w:val="18"/>
      </w:rPr>
      <w:t xml:space="preserve">6                                                  </w:t>
    </w:r>
    <w:r>
      <w:rPr>
        <w:sz w:val="18"/>
        <w:szCs w:val="18"/>
      </w:rPr>
      <w:t>请务必阅读报告末页的重要声明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84" style="width:513.05pt;height:0.75pt;margin-top:804.72pt;margin-left:41.1pt;mso-position-horizontal-relative:page;mso-position-vertical-relative:page;position:absolute;z-index:251675648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position w:val="1"/>
        <w:sz w:val="18"/>
        <w:szCs w:val="18"/>
      </w:rPr>
      <w:t xml:space="preserve">6                                                  </w:t>
    </w:r>
    <w:r>
      <w:rPr>
        <w:sz w:val="18"/>
        <w:szCs w:val="18"/>
      </w:rPr>
      <w:t>请务必阅读报告末页的重要声明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86" style="width:513.05pt;height:0.75pt;margin-top:804.72pt;margin-left:41.1pt;mso-position-horizontal-relative:page;mso-position-vertical-relative:page;position:absolute;z-index:251676672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position w:val="1"/>
        <w:sz w:val="18"/>
        <w:szCs w:val="18"/>
      </w:rPr>
      <w:t xml:space="preserve">6                                                  </w:t>
    </w:r>
    <w:r>
      <w:rPr>
        <w:sz w:val="18"/>
        <w:szCs w:val="18"/>
      </w:rPr>
      <w:t>请务必阅读报告末页的重要声明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88" style="width:513.05pt;height:0.75pt;margin-top:804.72pt;margin-left:41.1pt;mso-position-horizontal-relative:page;mso-position-vertical-relative:page;position:absolute;z-index:251677696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position w:val="1"/>
        <w:sz w:val="18"/>
        <w:szCs w:val="18"/>
      </w:rPr>
      <w:t xml:space="preserve">6                                                  </w:t>
    </w:r>
    <w:r>
      <w:rPr>
        <w:sz w:val="18"/>
        <w:szCs w:val="18"/>
      </w:rPr>
      <w:t>请务必阅读报告末页的重要声明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90" style="width:513.05pt;height:0.75pt;margin-top:804.72pt;margin-left:41.1pt;mso-position-horizontal-relative:page;mso-position-vertical-relative:page;position:absolute;z-index:251678720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position w:val="1"/>
        <w:sz w:val="18"/>
        <w:szCs w:val="18"/>
      </w:rPr>
      <w:t xml:space="preserve">6                                                  </w:t>
    </w:r>
    <w:r>
      <w:rPr>
        <w:sz w:val="18"/>
        <w:szCs w:val="18"/>
      </w:rPr>
      <w:t>请务必阅读报告末页的重要声明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92" style="width:513.05pt;height:0.75pt;margin-top:804.72pt;margin-left:41.1pt;mso-position-horizontal-relative:page;mso-position-vertical-relative:page;position:absolute;z-index:251679744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position w:val="1"/>
        <w:sz w:val="18"/>
        <w:szCs w:val="18"/>
      </w:rPr>
      <w:t xml:space="preserve">6                                                  </w:t>
    </w:r>
    <w:r>
      <w:rPr>
        <w:sz w:val="18"/>
        <w:szCs w:val="18"/>
      </w:rPr>
      <w:t>请务必阅读报告末页的重要声明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94" style="width:513.05pt;height:0.75pt;margin-top:804.72pt;margin-left:41.1pt;mso-position-horizontal-relative:page;mso-position-vertical-relative:page;position:absolute;z-index:251680768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position w:val="1"/>
        <w:sz w:val="18"/>
        <w:szCs w:val="18"/>
      </w:rPr>
      <w:t xml:space="preserve">6                                                  </w:t>
    </w:r>
    <w:r>
      <w:rPr>
        <w:sz w:val="18"/>
        <w:szCs w:val="18"/>
      </w:rPr>
      <w:t>请务必阅读报告末页的重要声明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96" style="width:513.05pt;height:0.75pt;margin-top:804.72pt;margin-left:41.1pt;mso-position-horizontal-relative:page;mso-position-vertical-relative:page;position:absolute;z-index:251681792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position w:val="1"/>
        <w:sz w:val="18"/>
        <w:szCs w:val="18"/>
      </w:rPr>
      <w:t xml:space="preserve">6                                                  </w:t>
    </w:r>
    <w:r>
      <w:rPr>
        <w:sz w:val="18"/>
        <w:szCs w:val="18"/>
      </w:rPr>
      <w:t>请务必阅读报告末页的重要声明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098" style="width:513.05pt;height:0.75pt;margin-top:804.72pt;margin-left:41.1pt;mso-position-horizontal-relative:page;mso-position-vertical-relative:page;position:absolute;z-index:251682816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position w:val="1"/>
        <w:sz w:val="18"/>
        <w:szCs w:val="18"/>
      </w:rPr>
      <w:t xml:space="preserve">6                                                  </w:t>
    </w:r>
    <w:r>
      <w:rPr>
        <w:sz w:val="18"/>
        <w:szCs w:val="18"/>
      </w:rPr>
      <w:t>请务必阅读报告末页的重要声明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55" w:lineRule="auto"/>
      <w:rPr>
        <w:rFonts w:ascii="Arial"/>
        <w:sz w:val="21"/>
      </w:rPr>
    </w:pPr>
    <w:r>
      <w:pict>
        <v:shape id="_x0000_s2100" style="width:513.05pt;height:0.75pt;margin-top:804.72pt;margin-left:41.1pt;mso-position-horizontal-relative:page;mso-position-vertical-relative:page;position:absolute;z-index:251683840" coordorigin="0,0" coordsize="10260,15" o:allowincell="f" path="m,7l10260,7e" filled="f" strokecolor="#c00000" strokeweight="0.75pt"/>
      </w:pict>
    </w:r>
  </w:p>
  <w:p>
    <w:pPr>
      <w:pStyle w:val="BodyText"/>
      <w:spacing w:before="59" w:line="203" w:lineRule="auto"/>
      <w:ind w:left="5089"/>
      <w:rPr>
        <w:sz w:val="18"/>
        <w:szCs w:val="18"/>
      </w:rPr>
    </w:pPr>
    <w:r>
      <w:rPr>
        <w:rFonts w:ascii="Arial" w:eastAsia="Arial" w:hAnsi="Arial" w:cs="Arial"/>
        <w:position w:val="1"/>
        <w:sz w:val="18"/>
        <w:szCs w:val="18"/>
      </w:rPr>
      <w:t xml:space="preserve">6                                                  </w:t>
    </w:r>
    <w:r>
      <w:rPr>
        <w:sz w:val="18"/>
        <w:szCs w:val="18"/>
      </w:rPr>
      <w:t>请务必阅读报告末页的重要声明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49" style="width:513.05pt;height:0.75pt;margin-top:46.43pt;margin-left:41.25pt;mso-position-horizontal-relative:page;mso-position-vertical-relative:page;position:absolute;z-index:251659264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51" style="width:513.05pt;height:0.75pt;margin-top:46.43pt;margin-left:41.25pt;mso-position-horizontal-relative:page;mso-position-vertical-relative:page;position:absolute;z-index:251661312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1832096638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2096638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53" style="width:513.05pt;height:0.75pt;margin-top:46.43pt;margin-left:41.25pt;mso-position-horizontal-relative:page;mso-position-vertical-relative:page;position:absolute;z-index:251663360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55" style="width:513.05pt;height:0.75pt;margin-top:46.43pt;margin-left:41.25pt;mso-position-horizontal-relative:page;mso-position-vertical-relative:page;position:absolute;z-index:251665408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1379049328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9049328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57" style="width:513.05pt;height:0.75pt;margin-top:46.43pt;margin-left:41.25pt;mso-position-horizontal-relative:page;mso-position-vertical-relative:page;position:absolute;z-index:251667456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2" w:name="bookmark16"/>
    <w:bookmarkEnd w:id="2"/>
    <w:bookmarkStart w:id="3" w:name="bookmark17"/>
    <w:bookmarkEnd w:id="3"/>
    <w:bookmarkStart w:id="4" w:name="bookmark18"/>
    <w:bookmarkEnd w:id="4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59" style="width:513.05pt;height:0.75pt;margin-top:46.43pt;margin-left:41.25pt;mso-position-horizontal-relative:page;mso-position-vertical-relative:page;position:absolute;z-index:251669504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190035473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035473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5" w:name="bookmark16_0"/>
    <w:bookmarkEnd w:id="5"/>
    <w:bookmarkStart w:id="6" w:name="bookmark17_0"/>
    <w:bookmarkEnd w:id="6"/>
    <w:bookmarkStart w:id="7" w:name="bookmark18_0"/>
    <w:bookmarkEnd w:id="7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61" style="width:513.05pt;height:0.75pt;margin-top:46.43pt;margin-left:41.25pt;mso-position-horizontal-relative:page;mso-position-vertical-relative:page;position:absolute;z-index:251671552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285149887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5149887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8" w:name="bookmark16_1"/>
    <w:bookmarkEnd w:id="8"/>
    <w:bookmarkStart w:id="9" w:name="bookmark17_1"/>
    <w:bookmarkEnd w:id="9"/>
    <w:bookmarkStart w:id="10" w:name="bookmark18_1"/>
    <w:bookmarkEnd w:id="10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63" style="width:513.05pt;height:0.75pt;margin-top:46.43pt;margin-left:41.25pt;mso-position-horizontal-relative:page;mso-position-vertical-relative:page;position:absolute;z-index:251673600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952778645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2778645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11" w:name="bookmark16_0_0"/>
    <w:bookmarkEnd w:id="11"/>
    <w:bookmarkStart w:id="12" w:name="bookmark17_0_0"/>
    <w:bookmarkEnd w:id="12"/>
    <w:bookmarkStart w:id="13" w:name="bookmark18_0_0"/>
    <w:bookmarkEnd w:id="13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65" style="width:513.05pt;height:0.75pt;margin-top:46.43pt;margin-left:41.25pt;mso-position-horizontal-relative:page;mso-position-vertical-relative:page;position:absolute;z-index:251675648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14" w:name="bookmark3"/>
    <w:bookmarkEnd w:id="14"/>
    <w:bookmarkStart w:id="15" w:name="bookmark19"/>
    <w:bookmarkEnd w:id="15"/>
    <w:bookmarkStart w:id="16" w:name="bookmark20"/>
    <w:bookmarkEnd w:id="16"/>
    <w:bookmarkStart w:id="17" w:name="bookmark21"/>
    <w:bookmarkEnd w:id="17"/>
    <w:bookmarkStart w:id="18" w:name="bookmark22"/>
    <w:bookmarkEnd w:id="18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67" style="width:513.05pt;height:0.75pt;margin-top:46.43pt;margin-left:41.25pt;mso-position-horizontal-relative:page;mso-position-vertical-relative:page;position:absolute;z-index:251677696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743218023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3218023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19" w:name="bookmark3_0"/>
    <w:bookmarkEnd w:id="19"/>
    <w:bookmarkStart w:id="20" w:name="bookmark19_0"/>
    <w:bookmarkEnd w:id="20"/>
    <w:bookmarkStart w:id="21" w:name="bookmark20_0"/>
    <w:bookmarkEnd w:id="21"/>
    <w:bookmarkStart w:id="22" w:name="bookmark21_0"/>
    <w:bookmarkEnd w:id="22"/>
    <w:bookmarkStart w:id="23" w:name="bookmark22_0"/>
    <w:bookmarkEnd w:id="23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69" style="width:513.05pt;height:0.75pt;margin-top:46.43pt;margin-left:41.25pt;mso-position-horizontal-relative:page;mso-position-vertical-relative:page;position:absolute;z-index:251679744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452655034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2655034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24" w:name="bookmark3_1"/>
    <w:bookmarkEnd w:id="24"/>
    <w:bookmarkStart w:id="25" w:name="bookmark19_1"/>
    <w:bookmarkEnd w:id="25"/>
    <w:bookmarkStart w:id="26" w:name="bookmark20_1"/>
    <w:bookmarkEnd w:id="26"/>
    <w:bookmarkStart w:id="27" w:name="bookmark21_1"/>
    <w:bookmarkEnd w:id="27"/>
    <w:bookmarkStart w:id="28" w:name="bookmark22_1"/>
    <w:bookmarkEnd w:id="28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71" style="width:513.05pt;height:0.75pt;margin-top:46.43pt;margin-left:41.25pt;mso-position-horizontal-relative:page;mso-position-vertical-relative:page;position:absolute;z-index:251681792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1995501584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5501584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29" w:name="bookmark3_2"/>
    <w:bookmarkEnd w:id="29"/>
    <w:bookmarkStart w:id="30" w:name="bookmark19_2"/>
    <w:bookmarkEnd w:id="30"/>
    <w:bookmarkStart w:id="31" w:name="bookmark20_2"/>
    <w:bookmarkEnd w:id="31"/>
    <w:bookmarkStart w:id="32" w:name="bookmark21_2"/>
    <w:bookmarkEnd w:id="32"/>
    <w:bookmarkStart w:id="33" w:name="bookmark22_2"/>
    <w:bookmarkEnd w:id="33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73" style="width:513.05pt;height:0.75pt;margin-top:46.43pt;margin-left:41.25pt;mso-position-horizontal-relative:page;mso-position-vertical-relative:page;position:absolute;z-index:251683840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551124086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1124086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34" w:name="bookmark3_3"/>
    <w:bookmarkEnd w:id="34"/>
    <w:bookmarkStart w:id="35" w:name="bookmark19_3"/>
    <w:bookmarkEnd w:id="35"/>
    <w:bookmarkStart w:id="36" w:name="bookmark20_3"/>
    <w:bookmarkEnd w:id="36"/>
    <w:bookmarkStart w:id="37" w:name="bookmark21_3"/>
    <w:bookmarkEnd w:id="37"/>
    <w:bookmarkStart w:id="38" w:name="bookmark22_3"/>
    <w:bookmarkEnd w:id="38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75" style="width:513.05pt;height:0.75pt;margin-top:46.43pt;margin-left:41.25pt;mso-position-horizontal-relative:page;mso-position-vertical-relative:page;position:absolute;z-index:251685888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1037119881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7119881" name="IM 3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39" w:name="bookmark3_0_0"/>
    <w:bookmarkEnd w:id="39"/>
    <w:bookmarkStart w:id="40" w:name="bookmark19_0_0"/>
    <w:bookmarkEnd w:id="40"/>
    <w:bookmarkStart w:id="41" w:name="bookmark20_0_0"/>
    <w:bookmarkEnd w:id="41"/>
    <w:bookmarkStart w:id="42" w:name="bookmark21_0_0"/>
    <w:bookmarkEnd w:id="42"/>
    <w:bookmarkStart w:id="43" w:name="bookmark22_0_0"/>
    <w:bookmarkEnd w:id="43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77" style="width:513.05pt;height:0.75pt;margin-top:46.43pt;margin-left:41.25pt;mso-position-horizontal-relative:page;mso-position-vertical-relative:page;position:absolute;z-index:251687936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76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IM 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44" w:name="bookmark24"/>
    <w:bookmarkEnd w:id="44"/>
    <w:bookmarkStart w:id="45" w:name="bookmark4"/>
    <w:bookmarkEnd w:id="45"/>
    <w:bookmarkStart w:id="46" w:name="bookmark23"/>
    <w:bookmarkEnd w:id="46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79" style="width:513.05pt;height:0.75pt;margin-top:46.43pt;margin-left:41.25pt;mso-position-horizontal-relative:page;mso-position-vertical-relative:page;position:absolute;z-index:251689984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88960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1253839197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3839197" name="IM 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47" w:name="bookmark24_0"/>
    <w:bookmarkEnd w:id="47"/>
    <w:bookmarkStart w:id="48" w:name="bookmark4_0"/>
    <w:bookmarkEnd w:id="48"/>
    <w:bookmarkStart w:id="49" w:name="bookmark23_0"/>
    <w:bookmarkEnd w:id="49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81" style="width:513.05pt;height:0.75pt;margin-top:46.43pt;margin-left:41.25pt;mso-position-horizontal-relative:page;mso-position-vertical-relative:page;position:absolute;z-index:251692032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91008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25334827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334827" name="IM 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50" w:name="bookmark24_1"/>
    <w:bookmarkEnd w:id="50"/>
    <w:bookmarkStart w:id="51" w:name="bookmark4_1"/>
    <w:bookmarkEnd w:id="51"/>
    <w:bookmarkStart w:id="52" w:name="bookmark23_1"/>
    <w:bookmarkEnd w:id="52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83" style="width:513.05pt;height:0.75pt;margin-top:46.43pt;margin-left:41.25pt;mso-position-horizontal-relative:page;mso-position-vertical-relative:page;position:absolute;z-index:251694080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93056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1437167641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7167641" name="IM 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53" w:name="bookmark24_2"/>
    <w:bookmarkEnd w:id="53"/>
    <w:bookmarkStart w:id="54" w:name="bookmark4_2"/>
    <w:bookmarkEnd w:id="54"/>
    <w:bookmarkStart w:id="55" w:name="bookmark23_2"/>
    <w:bookmarkEnd w:id="55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85" style="width:513.05pt;height:0.75pt;margin-top:46.43pt;margin-left:41.25pt;mso-position-horizontal-relative:page;mso-position-vertical-relative:page;position:absolute;z-index:251696128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95104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1947478577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7478577" name="IM 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56" w:name="bookmark24_3"/>
    <w:bookmarkEnd w:id="56"/>
    <w:bookmarkStart w:id="57" w:name="bookmark4_3"/>
    <w:bookmarkEnd w:id="57"/>
    <w:bookmarkStart w:id="58" w:name="bookmark23_3"/>
    <w:bookmarkEnd w:id="58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87" style="width:513.05pt;height:0.75pt;margin-top:46.43pt;margin-left:41.25pt;mso-position-horizontal-relative:page;mso-position-vertical-relative:page;position:absolute;z-index:251698176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97152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1836150725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6150725" name="IM 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59" w:name="bookmark24_4"/>
    <w:bookmarkEnd w:id="59"/>
    <w:bookmarkStart w:id="60" w:name="bookmark4_4"/>
    <w:bookmarkEnd w:id="60"/>
    <w:bookmarkStart w:id="61" w:name="bookmark23_4"/>
    <w:bookmarkEnd w:id="61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89" style="width:513.05pt;height:0.75pt;margin-top:46.43pt;margin-left:41.25pt;mso-position-horizontal-relative:page;mso-position-vertical-relative:page;position:absolute;z-index:251700224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699200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1763789607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3789607" name="IM 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62" w:name="bookmark24_5"/>
    <w:bookmarkEnd w:id="62"/>
    <w:bookmarkStart w:id="63" w:name="bookmark4_5"/>
    <w:bookmarkEnd w:id="63"/>
    <w:bookmarkStart w:id="64" w:name="bookmark23_5"/>
    <w:bookmarkEnd w:id="64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91" style="width:513.05pt;height:0.75pt;margin-top:46.43pt;margin-left:41.25pt;mso-position-horizontal-relative:page;mso-position-vertical-relative:page;position:absolute;z-index:251702272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701248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774473383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4473383" name="IM 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65" w:name="bookmark24_6"/>
    <w:bookmarkEnd w:id="65"/>
    <w:bookmarkStart w:id="66" w:name="bookmark4_6"/>
    <w:bookmarkEnd w:id="66"/>
    <w:bookmarkStart w:id="67" w:name="bookmark23_6"/>
    <w:bookmarkEnd w:id="67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93" style="width:513.05pt;height:0.75pt;margin-top:46.43pt;margin-left:41.25pt;mso-position-horizontal-relative:page;mso-position-vertical-relative:page;position:absolute;z-index:251704320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703296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1694612291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4612291" name="IM 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68" w:name="bookmark24_7"/>
    <w:bookmarkEnd w:id="68"/>
    <w:bookmarkStart w:id="69" w:name="bookmark4_7"/>
    <w:bookmarkEnd w:id="69"/>
    <w:bookmarkStart w:id="70" w:name="bookmark23_7"/>
    <w:bookmarkEnd w:id="70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95" style="width:513.05pt;height:0.75pt;margin-top:46.43pt;margin-left:41.25pt;mso-position-horizontal-relative:page;mso-position-vertical-relative:page;position:absolute;z-index:251706368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705344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941845071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1845071" name="IM 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71" w:name="bookmark24_8"/>
    <w:bookmarkEnd w:id="71"/>
    <w:bookmarkStart w:id="72" w:name="bookmark4_8"/>
    <w:bookmarkEnd w:id="72"/>
    <w:bookmarkStart w:id="73" w:name="bookmark23_8"/>
    <w:bookmarkEnd w:id="73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97" style="width:513.05pt;height:0.75pt;margin-top:46.43pt;margin-left:41.25pt;mso-position-horizontal-relative:page;mso-position-vertical-relative:page;position:absolute;z-index:251708416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707392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719504807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9504807" name="IM 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74" w:name="bookmark24_9"/>
    <w:bookmarkEnd w:id="74"/>
    <w:bookmarkStart w:id="75" w:name="bookmark4_9"/>
    <w:bookmarkEnd w:id="75"/>
    <w:bookmarkStart w:id="76" w:name="bookmark23_9"/>
    <w:bookmarkEnd w:id="76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2" w:line="216" w:lineRule="auto"/>
      <w:ind w:left="7878"/>
    </w:pPr>
    <w:r>
      <w:pict>
        <v:shape id="_x0000_s2099" style="width:513.05pt;height:0.75pt;margin-top:46.43pt;margin-left:41.25pt;mso-position-horizontal-relative:page;mso-position-vertical-relative:page;position:absolute;z-index:251710464" coordorigin="0,0" coordsize="10260,15" o:allowincell="f" path="m,7l10260,7e" filled="f" strokecolor="#c00000" strokeweight="0.75pt"/>
      </w:pict>
    </w:r>
    <w:r>
      <w:drawing>
        <wp:anchor distT="0" distB="0" distL="0" distR="0" simplePos="0" relativeHeight="251709440" behindDoc="0" locked="0" layoutInCell="0" allowOverlap="1">
          <wp:simplePos x="0" y="0"/>
          <wp:positionH relativeFrom="page">
            <wp:posOffset>540384</wp:posOffset>
          </wp:positionH>
          <wp:positionV relativeFrom="page">
            <wp:posOffset>183515</wp:posOffset>
          </wp:positionV>
          <wp:extent cx="1384553" cy="395605"/>
          <wp:effectExtent l="0" t="0" r="0" b="0"/>
          <wp:wrapNone/>
          <wp:docPr id="2036231048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6231048" name="IM 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384553" cy="395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77" w:name="bookmark24_0_0"/>
    <w:bookmarkEnd w:id="77"/>
    <w:bookmarkStart w:id="78" w:name="bookmark4_0_0"/>
    <w:bookmarkEnd w:id="78"/>
    <w:bookmarkStart w:id="79" w:name="bookmark23_0_0"/>
    <w:bookmarkEnd w:id="79"/>
    <w:r>
      <w:rPr>
        <w:spacing w:val="-1"/>
        <w14:textOutline w14:w="3831">
          <w14:solidFill>
            <w14:srgbClr w14:val="000000"/>
          </w14:solidFill>
          <w14:prstDash w14:val="solid"/>
          <w14:round/>
        </w14:textOutline>
      </w:rPr>
      <w:t>行业报告│行业专题研究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header" Target="header2.xml" /><Relationship Id="rId13" Type="http://schemas.openxmlformats.org/officeDocument/2006/relationships/footer" Target="footer2.xml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header" Target="header3.xml" /><Relationship Id="rId18" Type="http://schemas.openxmlformats.org/officeDocument/2006/relationships/footer" Target="footer3.xm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header" Target="header5.xml" /><Relationship Id="rId22" Type="http://schemas.openxmlformats.org/officeDocument/2006/relationships/footer" Target="footer5.xml" /><Relationship Id="rId23" Type="http://schemas.openxmlformats.org/officeDocument/2006/relationships/image" Target="media/image11.png" /><Relationship Id="rId24" Type="http://schemas.openxmlformats.org/officeDocument/2006/relationships/image" Target="media/image12.png" /><Relationship Id="rId25" Type="http://schemas.openxmlformats.org/officeDocument/2006/relationships/image" Target="media/image13.png" /><Relationship Id="rId26" Type="http://schemas.openxmlformats.org/officeDocument/2006/relationships/header" Target="header6.xml" /><Relationship Id="rId27" Type="http://schemas.openxmlformats.org/officeDocument/2006/relationships/footer" Target="footer6.xml" /><Relationship Id="rId28" Type="http://schemas.openxmlformats.org/officeDocument/2006/relationships/image" Target="media/image14.png" /><Relationship Id="rId29" Type="http://schemas.openxmlformats.org/officeDocument/2006/relationships/image" Target="media/image15.png" /><Relationship Id="rId3" Type="http://schemas.openxmlformats.org/officeDocument/2006/relationships/fontTable" Target="fontTable.xml" /><Relationship Id="rId30" Type="http://schemas.openxmlformats.org/officeDocument/2006/relationships/image" Target="media/image16.png" /><Relationship Id="rId31" Type="http://schemas.openxmlformats.org/officeDocument/2006/relationships/header" Target="header7.xml" /><Relationship Id="rId32" Type="http://schemas.openxmlformats.org/officeDocument/2006/relationships/footer" Target="footer7.xml" /><Relationship Id="rId33" Type="http://schemas.openxmlformats.org/officeDocument/2006/relationships/header" Target="header8.xml" /><Relationship Id="rId34" Type="http://schemas.openxmlformats.org/officeDocument/2006/relationships/footer" Target="footer8.xml" /><Relationship Id="rId35" Type="http://schemas.openxmlformats.org/officeDocument/2006/relationships/header" Target="header9.xml" /><Relationship Id="rId36" Type="http://schemas.openxmlformats.org/officeDocument/2006/relationships/footer" Target="footer9.xml" /><Relationship Id="rId37" Type="http://schemas.openxmlformats.org/officeDocument/2006/relationships/image" Target="media/image17.png" /><Relationship Id="rId38" Type="http://schemas.openxmlformats.org/officeDocument/2006/relationships/image" Target="media/image18.png" /><Relationship Id="rId39" Type="http://schemas.openxmlformats.org/officeDocument/2006/relationships/image" Target="media/image19.png" /><Relationship Id="rId4" Type="http://schemas.openxmlformats.org/officeDocument/2006/relationships/image" Target="media/image1.png" /><Relationship Id="rId40" Type="http://schemas.openxmlformats.org/officeDocument/2006/relationships/image" Target="media/image20.png" /><Relationship Id="rId41" Type="http://schemas.openxmlformats.org/officeDocument/2006/relationships/image" Target="media/image21.png" /><Relationship Id="rId42" Type="http://schemas.openxmlformats.org/officeDocument/2006/relationships/image" Target="media/image22.png" /><Relationship Id="rId43" Type="http://schemas.openxmlformats.org/officeDocument/2006/relationships/image" Target="media/image23.png" /><Relationship Id="rId44" Type="http://schemas.openxmlformats.org/officeDocument/2006/relationships/image" Target="media/image24.png" /><Relationship Id="rId45" Type="http://schemas.openxmlformats.org/officeDocument/2006/relationships/image" Target="media/image25.png" /><Relationship Id="rId46" Type="http://schemas.openxmlformats.org/officeDocument/2006/relationships/image" Target="media/image26.png" /><Relationship Id="rId47" Type="http://schemas.openxmlformats.org/officeDocument/2006/relationships/image" Target="media/image27.png" /><Relationship Id="rId48" Type="http://schemas.openxmlformats.org/officeDocument/2006/relationships/image" Target="media/image28.png" /><Relationship Id="rId49" Type="http://schemas.openxmlformats.org/officeDocument/2006/relationships/image" Target="media/image29.png" /><Relationship Id="rId5" Type="http://schemas.openxmlformats.org/officeDocument/2006/relationships/image" Target="media/image2.jpeg" /><Relationship Id="rId50" Type="http://schemas.openxmlformats.org/officeDocument/2006/relationships/header" Target="header10.xml" /><Relationship Id="rId51" Type="http://schemas.openxmlformats.org/officeDocument/2006/relationships/footer" Target="footer10.xml" /><Relationship Id="rId52" Type="http://schemas.openxmlformats.org/officeDocument/2006/relationships/header" Target="header11.xml" /><Relationship Id="rId53" Type="http://schemas.openxmlformats.org/officeDocument/2006/relationships/footer" Target="footer11.xml" /><Relationship Id="rId54" Type="http://schemas.openxmlformats.org/officeDocument/2006/relationships/image" Target="media/image30.png" /><Relationship Id="rId55" Type="http://schemas.openxmlformats.org/officeDocument/2006/relationships/image" Target="media/image31.png" /><Relationship Id="rId56" Type="http://schemas.openxmlformats.org/officeDocument/2006/relationships/image" Target="media/image32.png" /><Relationship Id="rId57" Type="http://schemas.openxmlformats.org/officeDocument/2006/relationships/header" Target="header12.xml" /><Relationship Id="rId58" Type="http://schemas.openxmlformats.org/officeDocument/2006/relationships/footer" Target="footer12.xml" /><Relationship Id="rId59" Type="http://schemas.openxmlformats.org/officeDocument/2006/relationships/image" Target="media/image33.png" /><Relationship Id="rId6" Type="http://schemas.openxmlformats.org/officeDocument/2006/relationships/image" Target="media/image3.png" /><Relationship Id="rId60" Type="http://schemas.openxmlformats.org/officeDocument/2006/relationships/image" Target="media/image34.png" /><Relationship Id="rId61" Type="http://schemas.openxmlformats.org/officeDocument/2006/relationships/image" Target="media/image35.png" /><Relationship Id="rId62" Type="http://schemas.openxmlformats.org/officeDocument/2006/relationships/header" Target="header13.xml" /><Relationship Id="rId63" Type="http://schemas.openxmlformats.org/officeDocument/2006/relationships/footer" Target="footer13.xml" /><Relationship Id="rId64" Type="http://schemas.openxmlformats.org/officeDocument/2006/relationships/header" Target="header14.xml" /><Relationship Id="rId65" Type="http://schemas.openxmlformats.org/officeDocument/2006/relationships/footer" Target="footer14.xml" /><Relationship Id="rId66" Type="http://schemas.openxmlformats.org/officeDocument/2006/relationships/header" Target="header15.xml" /><Relationship Id="rId67" Type="http://schemas.openxmlformats.org/officeDocument/2006/relationships/footer" Target="footer15.xml" /><Relationship Id="rId68" Type="http://schemas.openxmlformats.org/officeDocument/2006/relationships/header" Target="header16.xml" /><Relationship Id="rId69" Type="http://schemas.openxmlformats.org/officeDocument/2006/relationships/footer" Target="footer16.xml" /><Relationship Id="rId7" Type="http://schemas.openxmlformats.org/officeDocument/2006/relationships/image" Target="media/image4.png" /><Relationship Id="rId70" Type="http://schemas.openxmlformats.org/officeDocument/2006/relationships/header" Target="header17.xml" /><Relationship Id="rId71" Type="http://schemas.openxmlformats.org/officeDocument/2006/relationships/footer" Target="footer17.xml" /><Relationship Id="rId72" Type="http://schemas.openxmlformats.org/officeDocument/2006/relationships/header" Target="header18.xml" /><Relationship Id="rId73" Type="http://schemas.openxmlformats.org/officeDocument/2006/relationships/footer" Target="footer18.xml" /><Relationship Id="rId74" Type="http://schemas.openxmlformats.org/officeDocument/2006/relationships/header" Target="header19.xml" /><Relationship Id="rId75" Type="http://schemas.openxmlformats.org/officeDocument/2006/relationships/footer" Target="footer19.xml" /><Relationship Id="rId76" Type="http://schemas.openxmlformats.org/officeDocument/2006/relationships/header" Target="header20.xml" /><Relationship Id="rId77" Type="http://schemas.openxmlformats.org/officeDocument/2006/relationships/footer" Target="footer20.xml" /><Relationship Id="rId78" Type="http://schemas.openxmlformats.org/officeDocument/2006/relationships/header" Target="header21.xml" /><Relationship Id="rId79" Type="http://schemas.openxmlformats.org/officeDocument/2006/relationships/footer" Target="footer21.xml" /><Relationship Id="rId8" Type="http://schemas.openxmlformats.org/officeDocument/2006/relationships/image" Target="media/image5.png" /><Relationship Id="rId80" Type="http://schemas.openxmlformats.org/officeDocument/2006/relationships/header" Target="header22.xml" /><Relationship Id="rId81" Type="http://schemas.openxmlformats.org/officeDocument/2006/relationships/footer" Target="footer22.xml" /><Relationship Id="rId82" Type="http://schemas.openxmlformats.org/officeDocument/2006/relationships/header" Target="header23.xml" /><Relationship Id="rId83" Type="http://schemas.openxmlformats.org/officeDocument/2006/relationships/footer" Target="footer23.xml" /><Relationship Id="rId84" Type="http://schemas.openxmlformats.org/officeDocument/2006/relationships/header" Target="header24.xml" /><Relationship Id="rId85" Type="http://schemas.openxmlformats.org/officeDocument/2006/relationships/footer" Target="footer24.xml" /><Relationship Id="rId86" Type="http://schemas.openxmlformats.org/officeDocument/2006/relationships/image" Target="media/image36.png" /><Relationship Id="rId87" Type="http://schemas.openxmlformats.org/officeDocument/2006/relationships/image" Target="media/image37.png" /><Relationship Id="rId88" Type="http://schemas.openxmlformats.org/officeDocument/2006/relationships/image" Target="media/image38.png" /><Relationship Id="rId89" Type="http://schemas.openxmlformats.org/officeDocument/2006/relationships/header" Target="header25.xml" /><Relationship Id="rId9" Type="http://schemas.openxmlformats.org/officeDocument/2006/relationships/image" Target="media/image6.png" /><Relationship Id="rId90" Type="http://schemas.openxmlformats.org/officeDocument/2006/relationships/footer" Target="footer25.xml" /><Relationship Id="rId91" Type="http://schemas.openxmlformats.org/officeDocument/2006/relationships/hyperlink" Target="https://d.book118.com/218006006107006042" TargetMode="External" /><Relationship Id="rId92" Type="http://schemas.openxmlformats.org/officeDocument/2006/relationships/header" Target="header26.xml" /><Relationship Id="rId93" Type="http://schemas.openxmlformats.org/officeDocument/2006/relationships/footer" Target="footer26.xml" /><Relationship Id="rId94" Type="http://schemas.openxmlformats.org/officeDocument/2006/relationships/theme" Target="theme/theme1.xml" /><Relationship Id="rId95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2024-03-05T15:41:19Z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2024-03-05T19:40:52Z</vt:filetime>
  </property>
  <property fmtid="{D5CDD505-2E9C-101B-9397-08002B2CF9AE}" pid="3" name="CRO">
    <vt:lpwstr>wqlLaW5nc29mdCBQREYgdG8gV1BTIDkw</vt:lpwstr>
  </property>
</Properties>
</file>