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11912600</wp:posOffset>
            </wp:positionH>
            <wp:positionV relativeFrom="topMargin">
              <wp:posOffset>10909300</wp:posOffset>
            </wp:positionV>
            <wp:extent cx="304800" cy="304800"/>
            <wp:effectExtent l="0" t="0" r="0" b="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学年度（上）期末考试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高一生物试题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下列关于细胞及细胞学说的叙述，</w:t>
      </w:r>
      <w:r>
        <w:rPr>
          <w:rFonts w:ascii="宋体" w:eastAsia="宋体" w:hAnsi="宋体" w:cs="宋体"/>
          <w:color w:val="auto"/>
          <w:em w:val="dot"/>
        </w:rPr>
        <w:t>错误</w:t>
      </w:r>
      <w:r>
        <w:rPr>
          <w:rFonts w:ascii="宋体" w:eastAsia="宋体" w:hAnsi="宋体" w:cs="宋体"/>
          <w:color w:val="auto"/>
        </w:rPr>
        <w:t>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无论是单细胞生物、多细胞生物还是病毒，它们的生命活动都离不开细胞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细胞学说将生物学从器官、组织水平带进细胞水平，并为后来进入分子水平打下基础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列文虎克用自制的显微镜观察并命名细胞，施莱登和施旺创立了细胞学说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细胞学说揭示了动物和植物的统一性，从而阐明了生物界的统一性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下列能体现生命系统的层次由简单到复杂的顺序的组合是（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①组织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②个体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③细胞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④器官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⑤蛋白质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①②③④⑤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②③④⑤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③⑤④①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③①④②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用显微镜的一个目镜分别与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个不同物镜组合来观察某一细胞装片。当成像清晰时，每一物镜与载玻片的距离如图甲所示。图乙是选用图甲中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物镜时观察到的视野，下列说法正确的是（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638675" cy="110490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选用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物镜时视野的亮度比选用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物镜时更亮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选用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物镜时观察到的细胞最大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选用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物镜比选用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物镜观察到的细胞数目多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物镜转换为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物镜观察时，应先将装片向左下方移动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支原体肺炎是一种常见的传染病，其病原体是一种称为肺炎支原体的单细胞生物，其结构模式如图所示。请据图分析，以下说法错误的是（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38350" cy="1438275"/>
            <wp:effectExtent l="0" t="0" r="635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肺炎支原体是原核生物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B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与蓝细菌相比，肺炎支原体无细胞壁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肺炎支原体是自养生物，能进行光合作用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肺炎支原体和蓝细菌都只有核糖体这一种细胞器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近期，曲“红伞伞，白杆杆，吃完一起躺板板”将致幻毒菇毒蝇伞推向网络热搜，鹅膏蕈碱是毒蝇伞中所含有的主要致幻毒物之一，它是一种环状八肽。下列关于毒蝇伞及板（木材）中还原糖、脂肪、蛋白质（或多肽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的鉴定实验的叙述中，错误的是（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在三个实验中，只有一个实验需要进行水浴加热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在三个实验中，只有一个实验需要使用显微镜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鉴定还原糖和蛋白质（或多肽）时都使用</w:t>
      </w:r>
      <w:r>
        <w:rPr>
          <w:rFonts w:ascii="Times New Roman" w:eastAsia="Times New Roman" w:hAnsi="Times New Roman" w:cs="Times New Roman"/>
          <w:color w:val="000000"/>
        </w:rPr>
        <w:t>NaOH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CuSO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溶液，原理基本相同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鉴定的都是细胞中的化学成分，一般应先提取组织样液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下列有关组成细胞的元素和化合物的叙述，正确的是（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生物体内的无机盐大多数以离子的形式存在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细胞鲜重和细胞干重中含量最多的元素都是氧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缺钙会影响血红素的合成，从而影响人体内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的运输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糖类是细胞中的主要能源物质，所有糖类都能提供能量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如图甲为渗透作用装置吸水示意图，图乙表示图甲中漏斗内液面上升的高度与时间的关系，图丙表示成熟植物细胞在某外界溶液中的一种状态（此时细胞有活性）。下列相关叙述中错误的是（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667125" cy="1323975"/>
            <wp:effectExtent l="0" t="0" r="317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由图甲可知，实验开始时</w:t>
      </w:r>
      <w:r>
        <w:rPr>
          <w:rFonts w:ascii="Times New Roman" w:eastAsia="Times New Roman" w:hAnsi="Times New Roman" w:cs="Times New Roman"/>
          <w:color w:val="000000"/>
        </w:rPr>
        <w:t xml:space="preserve"> b </w:t>
      </w:r>
      <w:r>
        <w:rPr>
          <w:rFonts w:ascii="宋体" w:eastAsia="宋体" w:hAnsi="宋体" w:cs="宋体"/>
          <w:color w:val="000000"/>
        </w:rPr>
        <w:t>侧溶液浓度大于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侧，液面不再升高时，两侧溶液浓度相等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由图乙可知，图甲中漏斗内溶液的吸水能力逐渐下降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图丙中</w:t>
      </w:r>
      <w:r>
        <w:rPr>
          <w:rFonts w:ascii="Times New Roman" w:eastAsia="Times New Roman" w:hAnsi="Times New Roman" w:cs="Times New Roman"/>
          <w:color w:val="000000"/>
        </w:rPr>
        <w:t>③④⑤</w:t>
      </w:r>
      <w:r>
        <w:rPr>
          <w:rFonts w:ascii="宋体" w:eastAsia="宋体" w:hAnsi="宋体" w:cs="宋体"/>
          <w:color w:val="000000"/>
        </w:rPr>
        <w:t>组成的结构相当于图甲中的</w:t>
      </w:r>
      <w:r>
        <w:rPr>
          <w:rFonts w:ascii="Times New Roman" w:eastAsia="Times New Roman" w:hAnsi="Times New Roman" w:cs="Times New Roman"/>
          <w:color w:val="000000"/>
        </w:rPr>
        <w:t xml:space="preserve"> 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如果图丙细胞没有细胞壁支持，置于清水中会发生吸水涨破的现象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下图为酶的曲线图，下列叙述错误的是（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867025" cy="1733550"/>
            <wp:effectExtent l="0" t="0" r="3175" b="635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段表示无酶催化时反应所需的活化能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段表示有酶催化时反应所需的活化能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段表示酶催化反应时降低的活化能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若将酶变为无机催化剂，则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在纵轴上将上移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下列有关酶的探究实验的叙述，合理的是（　　）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81"/>
        <w:gridCol w:w="1523"/>
        <w:gridCol w:w="6221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探究内容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实验方案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温度对酶活性的影响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用淀粉酶分别在热水、冰水和常温条件下催化淀粉水解，反应相同且适当时间后，检测淀粉分解程度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r>
              <w:rPr>
                <w:rFonts w:ascii="宋体" w:eastAsia="宋体" w:hAnsi="宋体" w:cs="宋体"/>
                <w:color w:val="000000"/>
              </w:rPr>
              <w:t>对酶活性的影响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用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酶在不同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r>
              <w:rPr>
                <w:rFonts w:ascii="宋体" w:eastAsia="宋体" w:hAnsi="宋体" w:cs="宋体"/>
                <w:color w:val="000000"/>
              </w:rPr>
              <w:t>条件下催化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分解，用斐林试剂检测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酶</w:t>
            </w:r>
            <w:r>
              <w:rPr>
                <w:rFonts w:ascii="宋体" w:eastAsia="宋体" w:hAnsi="宋体" w:cs="宋体"/>
                <w:color w:val="000000"/>
                <w:position w:val="0"/>
              </w:rPr>
              <w:drawing>
                <wp:inline distT="0" distB="0" distL="114300" distR="114300">
                  <wp:extent cx="133350" cy="177800"/>
                  <wp:effectExtent l="0" t="0" r="6350" b="0"/>
                  <wp:docPr id="100029" name="图片 100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图片 10002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000000"/>
              </w:rPr>
              <w:t>高效性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用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FeCl</w:t>
            </w:r>
            <w:r>
              <w:rPr>
                <w:color w:val="000000"/>
                <w:vertAlign w:val="subscript"/>
              </w:rPr>
              <w:t>3</w:t>
            </w:r>
            <w:r>
              <w:rPr>
                <w:rFonts w:ascii="宋体" w:eastAsia="宋体" w:hAnsi="宋体" w:cs="宋体"/>
                <w:color w:val="000000"/>
              </w:rPr>
              <w:t>和过氧化氢酶分别催化等量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分解，待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完全分解后检测产生的气体总量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酶的专一性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用淀粉酶催化淀粉水解，检测是否有大量还原糖生成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是细胞中的能量“货币”，相关叙述正确的是（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细胞中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含量很多，有利于及时提供能量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分子的结构可以简写成</w:t>
      </w:r>
      <w:r>
        <w:rPr>
          <w:rFonts w:ascii="Times New Roman" w:eastAsia="Times New Roman" w:hAnsi="Times New Roman" w:cs="Times New Roman"/>
          <w:color w:val="000000"/>
        </w:rPr>
        <w:t>A-P-P~P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细胞中绝大多数生命活动都由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直接提供能量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细胞内葡萄糖的氧化分解为放能反应，与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的水解相联系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线粒体是细胞的“动力车间”，下列关于线粒体的说法错误的是（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有氧呼吸主要发生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0" b="0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线粒体当中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https://d.book118.com/218051106133006025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2A47270A"/>
    <w:rsid w:val="38274566"/>
    <w:rsid w:val="5D7C005D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image" Target="media/image8.wmf" /><Relationship Id="rId13" Type="http://schemas.openxmlformats.org/officeDocument/2006/relationships/hyperlink" Target="https://d.book118.com/218051106133006025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16255</Words>
  <Characters>17635</Characters>
  <Application>Microsoft Office Word</Application>
  <DocSecurity>0</DocSecurity>
  <Lines>0</Lines>
  <Paragraphs>0</Paragraphs>
  <ScaleCrop>false</ScaleCrop>
  <Company/>
  <LinksUpToDate>false</LinksUpToDate>
  <CharactersWithSpaces>18281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2024-01-11T14:13:00Z</dcterms:created>
  <dcterms:modified xsi:type="dcterms:W3CDTF">2024-01-13T12:54:07Z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B3F90BA8DEED4791981E7F7DD424C5CA_12</vt:lpwstr>
  </property>
  <property fmtid="{D5CDD505-2E9C-101B-9397-08002B2CF9AE}" pid="3" name="KSOProductBuildVer">
    <vt:lpwstr>2052-12.1.0.16120</vt:lpwstr>
  </property>
</Properties>
</file>