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超临界CO2萃取装置膜生物反应器及其他项目规划设计方案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2" w:history="1">
        <w:r>
          <w:rPr>
            <w:rFonts w:ascii="仿宋" w:eastAsia="仿宋" w:hAnsi="仿宋" w:cs="仿宋" w:hint="eastAsia"/>
            <w:lang w:eastAsia="zh-CN"/>
          </w:rPr>
          <w:t>序言</w:t>
        </w:r>
        <w:r>
          <w:tab/>
        </w:r>
        <w:r>
          <w:fldChar w:fldCharType="begin"/>
        </w:r>
        <w:r>
          <w:instrText xml:space="preserve"> PAGEREF _Toc23962 \h </w:instrText>
        </w:r>
        <w:r>
          <w:fldChar w:fldCharType="separate"/>
        </w:r>
        <w:r>
          <w:t>3</w:t>
        </w:r>
        <w:r>
          <w:fldChar w:fldCharType="end"/>
        </w:r>
      </w:hyperlink>
    </w:p>
    <w:p>
      <w:pPr>
        <w:pStyle w:val="TOC1"/>
        <w:tabs>
          <w:tab w:val="right" w:leader="dot" w:pos="8306"/>
        </w:tabs>
      </w:pPr>
      <w:hyperlink w:anchor="_Toc21088" w:history="1">
        <w:r>
          <w:rPr>
            <w:rFonts w:ascii="仿宋" w:eastAsia="仿宋" w:hAnsi="仿宋" w:cs="仿宋" w:hint="eastAsia"/>
            <w:lang w:eastAsia="zh-CN"/>
          </w:rPr>
          <w:t>一、超临界CO2萃取装置膜生物反应器及其他项目建设背景及必要性分析</w:t>
        </w:r>
        <w:r>
          <w:tab/>
        </w:r>
        <w:r>
          <w:fldChar w:fldCharType="begin"/>
        </w:r>
        <w:r>
          <w:instrText xml:space="preserve"> PAGEREF _Toc21088 \h </w:instrText>
        </w:r>
        <w:r>
          <w:fldChar w:fldCharType="separate"/>
        </w:r>
        <w:r>
          <w:t>3</w:t>
        </w:r>
        <w:r>
          <w:fldChar w:fldCharType="end"/>
        </w:r>
      </w:hyperlink>
    </w:p>
    <w:p>
      <w:pPr>
        <w:pStyle w:val="TOC2"/>
        <w:tabs>
          <w:tab w:val="right" w:leader="dot" w:pos="8306"/>
        </w:tabs>
      </w:pPr>
      <w:hyperlink w:anchor="_Toc10335" w:history="1">
        <w:r>
          <w:rPr>
            <w:rFonts w:ascii="仿宋" w:eastAsia="仿宋" w:hAnsi="仿宋" w:cs="仿宋" w:hint="eastAsia"/>
            <w:lang w:eastAsia="zh-CN"/>
          </w:rPr>
          <w:t>(一)、超临界CO2萃取装置膜生物反应器及其他项目背景分析</w:t>
        </w:r>
        <w:r>
          <w:tab/>
        </w:r>
        <w:r>
          <w:fldChar w:fldCharType="begin"/>
        </w:r>
        <w:r>
          <w:instrText xml:space="preserve"> PAGEREF _Toc10335 \h </w:instrText>
        </w:r>
        <w:r>
          <w:fldChar w:fldCharType="separate"/>
        </w:r>
        <w:r>
          <w:t>3</w:t>
        </w:r>
        <w:r>
          <w:fldChar w:fldCharType="end"/>
        </w:r>
      </w:hyperlink>
    </w:p>
    <w:p>
      <w:pPr>
        <w:pStyle w:val="TOC2"/>
        <w:tabs>
          <w:tab w:val="right" w:leader="dot" w:pos="8306"/>
        </w:tabs>
      </w:pPr>
      <w:hyperlink w:anchor="_Toc27545" w:history="1">
        <w:r>
          <w:rPr>
            <w:rFonts w:ascii="仿宋" w:eastAsia="仿宋" w:hAnsi="仿宋" w:cs="仿宋" w:hint="eastAsia"/>
            <w:lang w:eastAsia="zh-CN"/>
          </w:rPr>
          <w:t>(二)、超临界CO2萃取装置膜生物反应器及其他项目建设必要性分析</w:t>
        </w:r>
        <w:r>
          <w:tab/>
        </w:r>
        <w:r>
          <w:fldChar w:fldCharType="begin"/>
        </w:r>
        <w:r>
          <w:instrText xml:space="preserve"> PAGEREF _Toc27545 \h </w:instrText>
        </w:r>
        <w:r>
          <w:fldChar w:fldCharType="separate"/>
        </w:r>
        <w:r>
          <w:t>5</w:t>
        </w:r>
        <w:r>
          <w:fldChar w:fldCharType="end"/>
        </w:r>
      </w:hyperlink>
    </w:p>
    <w:p>
      <w:pPr>
        <w:pStyle w:val="TOC1"/>
        <w:tabs>
          <w:tab w:val="right" w:leader="dot" w:pos="8306"/>
        </w:tabs>
      </w:pPr>
      <w:hyperlink w:anchor="_Toc27573" w:history="1">
        <w:r>
          <w:rPr>
            <w:rFonts w:ascii="仿宋" w:eastAsia="仿宋" w:hAnsi="仿宋" w:cs="仿宋" w:hint="eastAsia"/>
            <w:lang w:eastAsia="zh-CN"/>
          </w:rPr>
          <w:t>二、超临界CO2萃取装置膜生物反应器及其他项目土建工程</w:t>
        </w:r>
        <w:r>
          <w:tab/>
        </w:r>
        <w:r>
          <w:fldChar w:fldCharType="begin"/>
        </w:r>
        <w:r>
          <w:instrText xml:space="preserve"> PAGEREF _Toc27573 \h </w:instrText>
        </w:r>
        <w:r>
          <w:fldChar w:fldCharType="separate"/>
        </w:r>
        <w:r>
          <w:t>7</w:t>
        </w:r>
        <w:r>
          <w:fldChar w:fldCharType="end"/>
        </w:r>
      </w:hyperlink>
    </w:p>
    <w:p>
      <w:pPr>
        <w:pStyle w:val="TOC2"/>
        <w:tabs>
          <w:tab w:val="right" w:leader="dot" w:pos="8306"/>
        </w:tabs>
      </w:pPr>
      <w:hyperlink w:anchor="_Toc437" w:history="1">
        <w:r>
          <w:rPr>
            <w:rFonts w:ascii="仿宋" w:eastAsia="仿宋" w:hAnsi="仿宋" w:cs="仿宋" w:hint="eastAsia"/>
            <w:lang w:eastAsia="zh-CN"/>
          </w:rPr>
          <w:t>(一)、建筑工程设计原则</w:t>
        </w:r>
        <w:r>
          <w:tab/>
        </w:r>
        <w:r>
          <w:fldChar w:fldCharType="begin"/>
        </w:r>
        <w:r>
          <w:instrText xml:space="preserve"> PAGEREF _Toc437 \h </w:instrText>
        </w:r>
        <w:r>
          <w:fldChar w:fldCharType="separate"/>
        </w:r>
        <w:r>
          <w:t>7</w:t>
        </w:r>
        <w:r>
          <w:fldChar w:fldCharType="end"/>
        </w:r>
      </w:hyperlink>
    </w:p>
    <w:p>
      <w:pPr>
        <w:pStyle w:val="TOC2"/>
        <w:tabs>
          <w:tab w:val="right" w:leader="dot" w:pos="8306"/>
        </w:tabs>
      </w:pPr>
      <w:hyperlink w:anchor="_Toc25000" w:history="1">
        <w:r>
          <w:rPr>
            <w:rFonts w:ascii="仿宋" w:eastAsia="仿宋" w:hAnsi="仿宋" w:cs="仿宋" w:hint="eastAsia"/>
            <w:lang w:eastAsia="zh-CN"/>
          </w:rPr>
          <w:t>(二)、土建工程设计年限及安全等级</w:t>
        </w:r>
        <w:r>
          <w:tab/>
        </w:r>
        <w:r>
          <w:fldChar w:fldCharType="begin"/>
        </w:r>
        <w:r>
          <w:instrText xml:space="preserve"> PAGEREF _Toc25000 \h </w:instrText>
        </w:r>
        <w:r>
          <w:fldChar w:fldCharType="separate"/>
        </w:r>
        <w:r>
          <w:t>8</w:t>
        </w:r>
        <w:r>
          <w:fldChar w:fldCharType="end"/>
        </w:r>
      </w:hyperlink>
    </w:p>
    <w:p>
      <w:pPr>
        <w:pStyle w:val="TOC2"/>
        <w:tabs>
          <w:tab w:val="right" w:leader="dot" w:pos="8306"/>
        </w:tabs>
      </w:pPr>
      <w:hyperlink w:anchor="_Toc27944" w:history="1">
        <w:r>
          <w:rPr>
            <w:rFonts w:ascii="仿宋" w:eastAsia="仿宋" w:hAnsi="仿宋" w:cs="仿宋" w:hint="eastAsia"/>
            <w:lang w:eastAsia="zh-CN"/>
          </w:rPr>
          <w:t>(三)、建筑工程设计总体要求</w:t>
        </w:r>
        <w:r>
          <w:tab/>
        </w:r>
        <w:r>
          <w:fldChar w:fldCharType="begin"/>
        </w:r>
        <w:r>
          <w:instrText xml:space="preserve"> PAGEREF _Toc27944 \h </w:instrText>
        </w:r>
        <w:r>
          <w:fldChar w:fldCharType="separate"/>
        </w:r>
        <w:r>
          <w:t>9</w:t>
        </w:r>
        <w:r>
          <w:fldChar w:fldCharType="end"/>
        </w:r>
      </w:hyperlink>
    </w:p>
    <w:p>
      <w:pPr>
        <w:pStyle w:val="TOC2"/>
        <w:tabs>
          <w:tab w:val="right" w:leader="dot" w:pos="8306"/>
        </w:tabs>
      </w:pPr>
      <w:hyperlink w:anchor="_Toc21776" w:history="1">
        <w:r>
          <w:rPr>
            <w:rFonts w:ascii="仿宋" w:eastAsia="仿宋" w:hAnsi="仿宋" w:cs="仿宋" w:hint="eastAsia"/>
            <w:lang w:eastAsia="zh-CN"/>
          </w:rPr>
          <w:t>(四)、土建工程建设指标</w:t>
        </w:r>
        <w:r>
          <w:tab/>
        </w:r>
        <w:r>
          <w:fldChar w:fldCharType="begin"/>
        </w:r>
        <w:r>
          <w:instrText xml:space="preserve"> PAGEREF _Toc21776 \h </w:instrText>
        </w:r>
        <w:r>
          <w:fldChar w:fldCharType="separate"/>
        </w:r>
        <w:r>
          <w:t>10</w:t>
        </w:r>
        <w:r>
          <w:fldChar w:fldCharType="end"/>
        </w:r>
      </w:hyperlink>
    </w:p>
    <w:p>
      <w:pPr>
        <w:pStyle w:val="TOC1"/>
        <w:tabs>
          <w:tab w:val="right" w:leader="dot" w:pos="8306"/>
        </w:tabs>
      </w:pPr>
      <w:hyperlink w:anchor="_Toc6355" w:history="1">
        <w:r>
          <w:rPr>
            <w:rFonts w:ascii="仿宋" w:eastAsia="仿宋" w:hAnsi="仿宋" w:cs="仿宋" w:hint="eastAsia"/>
            <w:lang w:eastAsia="zh-CN"/>
          </w:rPr>
          <w:t>三、超临界CO2萃取装置膜生物反应器及其他项目建设单位说明</w:t>
        </w:r>
        <w:r>
          <w:tab/>
        </w:r>
        <w:r>
          <w:fldChar w:fldCharType="begin"/>
        </w:r>
        <w:r>
          <w:instrText xml:space="preserve"> PAGEREF _Toc6355 \h </w:instrText>
        </w:r>
        <w:r>
          <w:fldChar w:fldCharType="separate"/>
        </w:r>
        <w:r>
          <w:t>10</w:t>
        </w:r>
        <w:r>
          <w:fldChar w:fldCharType="end"/>
        </w:r>
      </w:hyperlink>
    </w:p>
    <w:p>
      <w:pPr>
        <w:pStyle w:val="TOC2"/>
        <w:tabs>
          <w:tab w:val="right" w:leader="dot" w:pos="8306"/>
        </w:tabs>
      </w:pPr>
      <w:hyperlink w:anchor="_Toc19206" w:history="1">
        <w:r>
          <w:rPr>
            <w:rFonts w:ascii="仿宋" w:eastAsia="仿宋" w:hAnsi="仿宋" w:cs="仿宋" w:hint="eastAsia"/>
            <w:lang w:eastAsia="zh-CN"/>
          </w:rPr>
          <w:t>(一)、超临界CO2萃取装置膜生物反应器及其他项目承办单位基本情况</w:t>
        </w:r>
        <w:r>
          <w:tab/>
        </w:r>
        <w:r>
          <w:fldChar w:fldCharType="begin"/>
        </w:r>
        <w:r>
          <w:instrText xml:space="preserve"> PAGEREF _Toc19206 \h </w:instrText>
        </w:r>
        <w:r>
          <w:fldChar w:fldCharType="separate"/>
        </w:r>
        <w:r>
          <w:t>10</w:t>
        </w:r>
        <w:r>
          <w:fldChar w:fldCharType="end"/>
        </w:r>
      </w:hyperlink>
    </w:p>
    <w:p>
      <w:pPr>
        <w:pStyle w:val="TOC2"/>
        <w:tabs>
          <w:tab w:val="right" w:leader="dot" w:pos="8306"/>
        </w:tabs>
      </w:pPr>
      <w:hyperlink w:anchor="_Toc11299" w:history="1">
        <w:r>
          <w:rPr>
            <w:rFonts w:ascii="仿宋" w:eastAsia="仿宋" w:hAnsi="仿宋" w:cs="仿宋" w:hint="eastAsia"/>
            <w:lang w:eastAsia="zh-CN"/>
          </w:rPr>
          <w:t>(二)、公司经济效益分析</w:t>
        </w:r>
        <w:r>
          <w:tab/>
        </w:r>
        <w:r>
          <w:fldChar w:fldCharType="begin"/>
        </w:r>
        <w:r>
          <w:instrText xml:space="preserve"> PAGEREF _Toc11299 \h </w:instrText>
        </w:r>
        <w:r>
          <w:fldChar w:fldCharType="separate"/>
        </w:r>
        <w:r>
          <w:t>11</w:t>
        </w:r>
        <w:r>
          <w:fldChar w:fldCharType="end"/>
        </w:r>
      </w:hyperlink>
    </w:p>
    <w:p>
      <w:pPr>
        <w:pStyle w:val="TOC1"/>
        <w:tabs>
          <w:tab w:val="right" w:leader="dot" w:pos="8306"/>
        </w:tabs>
      </w:pPr>
      <w:hyperlink w:anchor="_Toc4382" w:history="1">
        <w:r>
          <w:rPr>
            <w:rFonts w:ascii="仿宋" w:eastAsia="仿宋" w:hAnsi="仿宋" w:cs="仿宋" w:hint="eastAsia"/>
            <w:lang w:eastAsia="zh-CN"/>
          </w:rPr>
          <w:t>四、产品规划分析</w:t>
        </w:r>
        <w:r>
          <w:tab/>
        </w:r>
        <w:r>
          <w:fldChar w:fldCharType="begin"/>
        </w:r>
        <w:r>
          <w:instrText xml:space="preserve"> PAGEREF _Toc4382 \h </w:instrText>
        </w:r>
        <w:r>
          <w:fldChar w:fldCharType="separate"/>
        </w:r>
        <w:r>
          <w:t>12</w:t>
        </w:r>
        <w:r>
          <w:fldChar w:fldCharType="end"/>
        </w:r>
      </w:hyperlink>
    </w:p>
    <w:p>
      <w:pPr>
        <w:pStyle w:val="TOC2"/>
        <w:tabs>
          <w:tab w:val="right" w:leader="dot" w:pos="8306"/>
        </w:tabs>
      </w:pPr>
      <w:hyperlink w:anchor="_Toc15083" w:history="1">
        <w:r>
          <w:rPr>
            <w:rFonts w:ascii="仿宋" w:eastAsia="仿宋" w:hAnsi="仿宋" w:cs="仿宋" w:hint="eastAsia"/>
            <w:lang w:eastAsia="zh-CN"/>
          </w:rPr>
          <w:t>(一)、产品规划</w:t>
        </w:r>
        <w:r>
          <w:tab/>
        </w:r>
        <w:r>
          <w:fldChar w:fldCharType="begin"/>
        </w:r>
        <w:r>
          <w:instrText xml:space="preserve"> PAGEREF _Toc15083 \h </w:instrText>
        </w:r>
        <w:r>
          <w:fldChar w:fldCharType="separate"/>
        </w:r>
        <w:r>
          <w:t>12</w:t>
        </w:r>
        <w:r>
          <w:fldChar w:fldCharType="end"/>
        </w:r>
      </w:hyperlink>
    </w:p>
    <w:p>
      <w:pPr>
        <w:pStyle w:val="TOC2"/>
        <w:tabs>
          <w:tab w:val="right" w:leader="dot" w:pos="8306"/>
        </w:tabs>
      </w:pPr>
      <w:hyperlink w:anchor="_Toc7736" w:history="1">
        <w:r>
          <w:rPr>
            <w:rFonts w:ascii="仿宋" w:eastAsia="仿宋" w:hAnsi="仿宋" w:cs="仿宋" w:hint="eastAsia"/>
            <w:lang w:eastAsia="zh-CN"/>
          </w:rPr>
          <w:t>(二)、建设规模</w:t>
        </w:r>
        <w:r>
          <w:tab/>
        </w:r>
        <w:r>
          <w:fldChar w:fldCharType="begin"/>
        </w:r>
        <w:r>
          <w:instrText xml:space="preserve"> PAGEREF _Toc7736 \h </w:instrText>
        </w:r>
        <w:r>
          <w:fldChar w:fldCharType="separate"/>
        </w:r>
        <w:r>
          <w:t>13</w:t>
        </w:r>
        <w:r>
          <w:fldChar w:fldCharType="end"/>
        </w:r>
      </w:hyperlink>
    </w:p>
    <w:p>
      <w:pPr>
        <w:pStyle w:val="TOC1"/>
        <w:tabs>
          <w:tab w:val="right" w:leader="dot" w:pos="8306"/>
        </w:tabs>
      </w:pPr>
      <w:hyperlink w:anchor="_Toc20832" w:history="1">
        <w:r>
          <w:rPr>
            <w:rFonts w:ascii="仿宋" w:eastAsia="仿宋" w:hAnsi="仿宋" w:cs="仿宋" w:hint="eastAsia"/>
            <w:lang w:eastAsia="zh-CN"/>
          </w:rPr>
          <w:t>五、超临界CO2萃取装置膜生物反应器及其他项目绩效评估</w:t>
        </w:r>
        <w:r>
          <w:tab/>
        </w:r>
        <w:r>
          <w:fldChar w:fldCharType="begin"/>
        </w:r>
        <w:r>
          <w:instrText xml:space="preserve"> PAGEREF _Toc20832 \h </w:instrText>
        </w:r>
        <w:r>
          <w:fldChar w:fldCharType="separate"/>
        </w:r>
        <w:r>
          <w:t>14</w:t>
        </w:r>
        <w:r>
          <w:fldChar w:fldCharType="end"/>
        </w:r>
      </w:hyperlink>
    </w:p>
    <w:p>
      <w:pPr>
        <w:pStyle w:val="TOC2"/>
        <w:tabs>
          <w:tab w:val="right" w:leader="dot" w:pos="8306"/>
        </w:tabs>
      </w:pPr>
      <w:hyperlink w:anchor="_Toc25392" w:history="1">
        <w:r>
          <w:rPr>
            <w:rFonts w:ascii="仿宋" w:eastAsia="仿宋" w:hAnsi="仿宋" w:cs="仿宋" w:hint="eastAsia"/>
            <w:lang w:eastAsia="zh-CN"/>
          </w:rPr>
          <w:t>(一)、绩效评估指标</w:t>
        </w:r>
        <w:r>
          <w:tab/>
        </w:r>
        <w:r>
          <w:fldChar w:fldCharType="begin"/>
        </w:r>
        <w:r>
          <w:instrText xml:space="preserve"> PAGEREF _Toc25392 \h </w:instrText>
        </w:r>
        <w:r>
          <w:fldChar w:fldCharType="separate"/>
        </w:r>
        <w:r>
          <w:t>14</w:t>
        </w:r>
        <w:r>
          <w:fldChar w:fldCharType="end"/>
        </w:r>
      </w:hyperlink>
    </w:p>
    <w:p>
      <w:pPr>
        <w:pStyle w:val="TOC2"/>
        <w:tabs>
          <w:tab w:val="right" w:leader="dot" w:pos="8306"/>
        </w:tabs>
      </w:pPr>
      <w:hyperlink w:anchor="_Toc9372" w:history="1">
        <w:r>
          <w:rPr>
            <w:rFonts w:ascii="仿宋" w:eastAsia="仿宋" w:hAnsi="仿宋" w:cs="仿宋" w:hint="eastAsia"/>
            <w:lang w:eastAsia="zh-CN"/>
          </w:rPr>
          <w:t>(二)、绩效评估方法</w:t>
        </w:r>
        <w:r>
          <w:tab/>
        </w:r>
        <w:r>
          <w:fldChar w:fldCharType="begin"/>
        </w:r>
        <w:r>
          <w:instrText xml:space="preserve"> PAGEREF _Toc9372 \h </w:instrText>
        </w:r>
        <w:r>
          <w:fldChar w:fldCharType="separate"/>
        </w:r>
        <w:r>
          <w:t>16</w:t>
        </w:r>
        <w:r>
          <w:fldChar w:fldCharType="end"/>
        </w:r>
      </w:hyperlink>
    </w:p>
    <w:p>
      <w:pPr>
        <w:pStyle w:val="TOC2"/>
        <w:tabs>
          <w:tab w:val="right" w:leader="dot" w:pos="8306"/>
        </w:tabs>
      </w:pPr>
      <w:hyperlink w:anchor="_Toc20913" w:history="1">
        <w:r>
          <w:rPr>
            <w:rFonts w:ascii="仿宋" w:eastAsia="仿宋" w:hAnsi="仿宋" w:cs="仿宋" w:hint="eastAsia"/>
            <w:lang w:eastAsia="zh-CN"/>
          </w:rPr>
          <w:t>(三)、绩效评估周期</w:t>
        </w:r>
        <w:r>
          <w:tab/>
        </w:r>
        <w:r>
          <w:fldChar w:fldCharType="begin"/>
        </w:r>
        <w:r>
          <w:instrText xml:space="preserve"> PAGEREF _Toc20913 \h </w:instrText>
        </w:r>
        <w:r>
          <w:fldChar w:fldCharType="separate"/>
        </w:r>
        <w:r>
          <w:t>17</w:t>
        </w:r>
        <w:r>
          <w:fldChar w:fldCharType="end"/>
        </w:r>
      </w:hyperlink>
    </w:p>
    <w:p>
      <w:pPr>
        <w:pStyle w:val="TOC1"/>
        <w:tabs>
          <w:tab w:val="right" w:leader="dot" w:pos="8306"/>
        </w:tabs>
      </w:pPr>
      <w:hyperlink w:anchor="_Toc13459" w:history="1">
        <w:r>
          <w:rPr>
            <w:rFonts w:ascii="仿宋" w:eastAsia="仿宋" w:hAnsi="仿宋" w:cs="仿宋" w:hint="eastAsia"/>
            <w:lang w:eastAsia="zh-CN"/>
          </w:rPr>
          <w:t>六、超临界CO2萃取装置膜生物反应器及其他项目文档管理</w:t>
        </w:r>
        <w:r>
          <w:tab/>
        </w:r>
        <w:r>
          <w:fldChar w:fldCharType="begin"/>
        </w:r>
        <w:r>
          <w:instrText xml:space="preserve"> PAGEREF _Toc13459 \h </w:instrText>
        </w:r>
        <w:r>
          <w:fldChar w:fldCharType="separate"/>
        </w:r>
        <w:r>
          <w:t>18</w:t>
        </w:r>
        <w:r>
          <w:fldChar w:fldCharType="end"/>
        </w:r>
      </w:hyperlink>
    </w:p>
    <w:p>
      <w:pPr>
        <w:pStyle w:val="TOC2"/>
        <w:tabs>
          <w:tab w:val="right" w:leader="dot" w:pos="8306"/>
        </w:tabs>
      </w:pPr>
      <w:hyperlink w:anchor="_Toc21238" w:history="1">
        <w:r>
          <w:rPr>
            <w:rFonts w:ascii="仿宋" w:eastAsia="仿宋" w:hAnsi="仿宋" w:cs="仿宋" w:hint="eastAsia"/>
            <w:lang w:eastAsia="zh-CN"/>
          </w:rPr>
          <w:t>(一)、文档编制与审查</w:t>
        </w:r>
        <w:r>
          <w:tab/>
        </w:r>
        <w:r>
          <w:fldChar w:fldCharType="begin"/>
        </w:r>
        <w:r>
          <w:instrText xml:space="preserve"> PAGEREF _Toc21238 \h </w:instrText>
        </w:r>
        <w:r>
          <w:fldChar w:fldCharType="separate"/>
        </w:r>
        <w:r>
          <w:t>18</w:t>
        </w:r>
        <w:r>
          <w:fldChar w:fldCharType="end"/>
        </w:r>
      </w:hyperlink>
    </w:p>
    <w:p>
      <w:pPr>
        <w:pStyle w:val="TOC2"/>
        <w:tabs>
          <w:tab w:val="right" w:leader="dot" w:pos="8306"/>
        </w:tabs>
      </w:pPr>
      <w:hyperlink w:anchor="_Toc21094" w:history="1">
        <w:r>
          <w:rPr>
            <w:rFonts w:ascii="仿宋" w:eastAsia="仿宋" w:hAnsi="仿宋" w:cs="仿宋" w:hint="eastAsia"/>
            <w:lang w:eastAsia="zh-CN"/>
          </w:rPr>
          <w:t>(二)、文档发布与分发</w:t>
        </w:r>
        <w:r>
          <w:tab/>
        </w:r>
        <w:r>
          <w:fldChar w:fldCharType="begin"/>
        </w:r>
        <w:r>
          <w:instrText xml:space="preserve"> PAGEREF _Toc21094 \h </w:instrText>
        </w:r>
        <w:r>
          <w:fldChar w:fldCharType="separate"/>
        </w:r>
        <w:r>
          <w:t>20</w:t>
        </w:r>
        <w:r>
          <w:fldChar w:fldCharType="end"/>
        </w:r>
      </w:hyperlink>
    </w:p>
    <w:p>
      <w:pPr>
        <w:pStyle w:val="TOC2"/>
        <w:tabs>
          <w:tab w:val="right" w:leader="dot" w:pos="8306"/>
        </w:tabs>
      </w:pPr>
      <w:hyperlink w:anchor="_Toc30015" w:history="1">
        <w:r>
          <w:rPr>
            <w:rFonts w:ascii="仿宋" w:eastAsia="仿宋" w:hAnsi="仿宋" w:cs="仿宋" w:hint="eastAsia"/>
            <w:lang w:eastAsia="zh-CN"/>
          </w:rPr>
          <w:t>(三)、文档存档与归档</w:t>
        </w:r>
        <w:r>
          <w:tab/>
        </w:r>
        <w:r>
          <w:fldChar w:fldCharType="begin"/>
        </w:r>
        <w:r>
          <w:instrText xml:space="preserve"> PAGEREF _Toc30015 \h </w:instrText>
        </w:r>
        <w:r>
          <w:fldChar w:fldCharType="separate"/>
        </w:r>
        <w:r>
          <w:t>21</w:t>
        </w:r>
        <w:r>
          <w:fldChar w:fldCharType="end"/>
        </w:r>
      </w:hyperlink>
    </w:p>
    <w:p>
      <w:pPr>
        <w:pStyle w:val="TOC1"/>
        <w:tabs>
          <w:tab w:val="right" w:leader="dot" w:pos="8306"/>
        </w:tabs>
      </w:pPr>
      <w:hyperlink w:anchor="_Toc22120" w:history="1">
        <w:r>
          <w:rPr>
            <w:rFonts w:ascii="仿宋" w:eastAsia="仿宋" w:hAnsi="仿宋" w:cs="仿宋" w:hint="eastAsia"/>
            <w:lang w:eastAsia="zh-CN"/>
          </w:rPr>
          <w:t>七、超临界CO2萃取装置膜生物反应器及其他项目财务管理</w:t>
        </w:r>
        <w:r>
          <w:tab/>
        </w:r>
        <w:r>
          <w:fldChar w:fldCharType="begin"/>
        </w:r>
        <w:r>
          <w:instrText xml:space="preserve"> PAGEREF _Toc22120 \h </w:instrText>
        </w:r>
        <w:r>
          <w:fldChar w:fldCharType="separate"/>
        </w:r>
        <w:r>
          <w:t>22</w:t>
        </w:r>
        <w:r>
          <w:fldChar w:fldCharType="end"/>
        </w:r>
      </w:hyperlink>
    </w:p>
    <w:p>
      <w:pPr>
        <w:pStyle w:val="TOC2"/>
        <w:tabs>
          <w:tab w:val="right" w:leader="dot" w:pos="8306"/>
        </w:tabs>
      </w:pPr>
      <w:hyperlink w:anchor="_Toc3650" w:history="1">
        <w:r>
          <w:rPr>
            <w:rFonts w:ascii="仿宋" w:eastAsia="仿宋" w:hAnsi="仿宋" w:cs="仿宋" w:hint="eastAsia"/>
            <w:lang w:eastAsia="zh-CN"/>
          </w:rPr>
          <w:t>(一)、资金需求大</w:t>
        </w:r>
        <w:r>
          <w:tab/>
        </w:r>
        <w:r>
          <w:fldChar w:fldCharType="begin"/>
        </w:r>
        <w:r>
          <w:instrText xml:space="preserve"> PAGEREF _Toc3650 \h </w:instrText>
        </w:r>
        <w:r>
          <w:fldChar w:fldCharType="separate"/>
        </w:r>
        <w:r>
          <w:t>22</w:t>
        </w:r>
        <w:r>
          <w:fldChar w:fldCharType="end"/>
        </w:r>
      </w:hyperlink>
    </w:p>
    <w:p>
      <w:pPr>
        <w:pStyle w:val="TOC2"/>
        <w:tabs>
          <w:tab w:val="right" w:leader="dot" w:pos="8306"/>
        </w:tabs>
      </w:pPr>
      <w:hyperlink w:anchor="_Toc27489" w:history="1">
        <w:r>
          <w:rPr>
            <w:rFonts w:ascii="仿宋" w:eastAsia="仿宋" w:hAnsi="仿宋" w:cs="仿宋" w:hint="eastAsia"/>
            <w:lang w:eastAsia="zh-CN"/>
          </w:rPr>
          <w:t>(二)、研发周期长</w:t>
        </w:r>
        <w:r>
          <w:tab/>
        </w:r>
        <w:r>
          <w:fldChar w:fldCharType="begin"/>
        </w:r>
        <w:r>
          <w:instrText xml:space="preserve"> PAGEREF _Toc27489 \h </w:instrText>
        </w:r>
        <w:r>
          <w:fldChar w:fldCharType="separate"/>
        </w:r>
        <w:r>
          <w:t>24</w:t>
        </w:r>
        <w:r>
          <w:fldChar w:fldCharType="end"/>
        </w:r>
      </w:hyperlink>
    </w:p>
    <w:p>
      <w:pPr>
        <w:pStyle w:val="TOC2"/>
        <w:tabs>
          <w:tab w:val="right" w:leader="dot" w:pos="8306"/>
        </w:tabs>
      </w:pPr>
      <w:hyperlink w:anchor="_Toc16874" w:history="1">
        <w:r>
          <w:rPr>
            <w:rFonts w:ascii="仿宋" w:eastAsia="仿宋" w:hAnsi="仿宋" w:cs="仿宋" w:hint="eastAsia"/>
            <w:lang w:eastAsia="zh-CN"/>
          </w:rPr>
          <w:t>(三)、市场风险大</w:t>
        </w:r>
        <w:r>
          <w:tab/>
        </w:r>
        <w:r>
          <w:fldChar w:fldCharType="begin"/>
        </w:r>
        <w:r>
          <w:instrText xml:space="preserve"> PAGEREF _Toc16874 \h </w:instrText>
        </w:r>
        <w:r>
          <w:fldChar w:fldCharType="separate"/>
        </w:r>
        <w:r>
          <w:t>25</w:t>
        </w:r>
        <w:r>
          <w:fldChar w:fldCharType="end"/>
        </w:r>
      </w:hyperlink>
    </w:p>
    <w:p>
      <w:pPr>
        <w:pStyle w:val="TOC2"/>
        <w:tabs>
          <w:tab w:val="right" w:leader="dot" w:pos="8306"/>
        </w:tabs>
      </w:pPr>
      <w:hyperlink w:anchor="_Toc16591" w:history="1">
        <w:r>
          <w:rPr>
            <w:rFonts w:ascii="仿宋" w:eastAsia="仿宋" w:hAnsi="仿宋" w:cs="仿宋" w:hint="eastAsia"/>
            <w:lang w:eastAsia="zh-CN"/>
          </w:rPr>
          <w:t>(四)、利润率高</w:t>
        </w:r>
        <w:r>
          <w:tab/>
        </w:r>
        <w:r>
          <w:fldChar w:fldCharType="begin"/>
        </w:r>
        <w:r>
          <w:instrText xml:space="preserve"> PAGEREF _Toc16591 \h </w:instrText>
        </w:r>
        <w:r>
          <w:fldChar w:fldCharType="separate"/>
        </w:r>
        <w:r>
          <w:t>28</w:t>
        </w:r>
        <w:r>
          <w:fldChar w:fldCharType="end"/>
        </w:r>
      </w:hyperlink>
    </w:p>
    <w:p>
      <w:pPr>
        <w:pStyle w:val="TOC1"/>
        <w:tabs>
          <w:tab w:val="right" w:leader="dot" w:pos="8306"/>
        </w:tabs>
      </w:pPr>
      <w:hyperlink w:anchor="_Toc6160" w:history="1">
        <w:r>
          <w:rPr>
            <w:rFonts w:ascii="仿宋" w:eastAsia="仿宋" w:hAnsi="仿宋" w:cs="仿宋" w:hint="eastAsia"/>
            <w:lang w:eastAsia="zh-CN"/>
          </w:rPr>
          <w:t>八、超临界CO2萃取装置膜生物反应器及其他项目计划安排</w:t>
        </w:r>
        <w:r>
          <w:tab/>
        </w:r>
        <w:r>
          <w:fldChar w:fldCharType="begin"/>
        </w:r>
        <w:r>
          <w:instrText xml:space="preserve"> PAGEREF _Toc6160 \h </w:instrText>
        </w:r>
        <w:r>
          <w:fldChar w:fldCharType="separate"/>
        </w:r>
        <w:r>
          <w:t>30</w:t>
        </w:r>
        <w:r>
          <w:fldChar w:fldCharType="end"/>
        </w:r>
      </w:hyperlink>
    </w:p>
    <w:p>
      <w:pPr>
        <w:pStyle w:val="TOC2"/>
        <w:tabs>
          <w:tab w:val="right" w:leader="dot" w:pos="8306"/>
        </w:tabs>
      </w:pPr>
      <w:hyperlink w:anchor="_Toc17455" w:history="1">
        <w:r>
          <w:rPr>
            <w:rFonts w:ascii="仿宋" w:eastAsia="仿宋" w:hAnsi="仿宋" w:cs="仿宋" w:hint="eastAsia"/>
            <w:lang w:eastAsia="zh-CN"/>
          </w:rPr>
          <w:t>(一)、建设周期</w:t>
        </w:r>
        <w:r>
          <w:tab/>
        </w:r>
        <w:r>
          <w:fldChar w:fldCharType="begin"/>
        </w:r>
        <w:r>
          <w:instrText xml:space="preserve"> PAGEREF _Toc17455 \h </w:instrText>
        </w:r>
        <w:r>
          <w:fldChar w:fldCharType="separate"/>
        </w:r>
        <w:r>
          <w:t>30</w:t>
        </w:r>
        <w:r>
          <w:fldChar w:fldCharType="end"/>
        </w:r>
      </w:hyperlink>
    </w:p>
    <w:p>
      <w:pPr>
        <w:pStyle w:val="TOC2"/>
        <w:tabs>
          <w:tab w:val="right" w:leader="dot" w:pos="8306"/>
        </w:tabs>
      </w:pPr>
      <w:hyperlink w:anchor="_Toc24863" w:history="1">
        <w:r>
          <w:rPr>
            <w:rFonts w:ascii="仿宋" w:eastAsia="仿宋" w:hAnsi="仿宋" w:cs="仿宋" w:hint="eastAsia"/>
            <w:lang w:eastAsia="zh-CN"/>
          </w:rPr>
          <w:t>(二)、建设进度</w:t>
        </w:r>
        <w:r>
          <w:tab/>
        </w:r>
        <w:r>
          <w:fldChar w:fldCharType="begin"/>
        </w:r>
        <w:r>
          <w:instrText xml:space="preserve"> PAGEREF _Toc24863 \h </w:instrText>
        </w:r>
        <w:r>
          <w:fldChar w:fldCharType="separate"/>
        </w:r>
        <w:r>
          <w:t>32</w:t>
        </w:r>
        <w:r>
          <w:fldChar w:fldCharType="end"/>
        </w:r>
      </w:hyperlink>
    </w:p>
    <w:p>
      <w:pPr>
        <w:pStyle w:val="TOC2"/>
        <w:tabs>
          <w:tab w:val="right" w:leader="dot" w:pos="8306"/>
        </w:tabs>
      </w:pPr>
      <w:hyperlink w:anchor="_Toc16791" w:history="1">
        <w:r>
          <w:rPr>
            <w:rFonts w:ascii="仿宋" w:eastAsia="仿宋" w:hAnsi="仿宋" w:cs="仿宋" w:hint="eastAsia"/>
            <w:lang w:eastAsia="zh-CN"/>
          </w:rPr>
          <w:t>(三)、进度安排注意事项</w:t>
        </w:r>
        <w:r>
          <w:tab/>
        </w:r>
        <w:r>
          <w:fldChar w:fldCharType="begin"/>
        </w:r>
        <w:r>
          <w:instrText xml:space="preserve"> PAGEREF _Toc16791 \h </w:instrText>
        </w:r>
        <w:r>
          <w:fldChar w:fldCharType="separate"/>
        </w:r>
        <w:r>
          <w:t>33</w:t>
        </w:r>
        <w:r>
          <w:fldChar w:fldCharType="end"/>
        </w:r>
      </w:hyperlink>
    </w:p>
    <w:p>
      <w:pPr>
        <w:pStyle w:val="TOC2"/>
        <w:tabs>
          <w:tab w:val="right" w:leader="dot" w:pos="8306"/>
        </w:tabs>
      </w:pPr>
      <w:hyperlink w:anchor="_Toc26820" w:history="1">
        <w:r>
          <w:rPr>
            <w:rFonts w:ascii="仿宋" w:eastAsia="仿宋" w:hAnsi="仿宋" w:cs="仿宋" w:hint="eastAsia"/>
            <w:lang w:eastAsia="zh-CN"/>
          </w:rPr>
          <w:t>(四)、人力资源配置</w:t>
        </w:r>
        <w:r>
          <w:tab/>
        </w:r>
        <w:r>
          <w:fldChar w:fldCharType="begin"/>
        </w:r>
        <w:r>
          <w:instrText xml:space="preserve"> PAGEREF _Toc26820 \h </w:instrText>
        </w:r>
        <w:r>
          <w:fldChar w:fldCharType="separate"/>
        </w:r>
        <w:r>
          <w:t>35</w:t>
        </w:r>
        <w:r>
          <w:fldChar w:fldCharType="end"/>
        </w:r>
      </w:hyperlink>
    </w:p>
    <w:p>
      <w:pPr>
        <w:pStyle w:val="TOC1"/>
        <w:tabs>
          <w:tab w:val="right" w:leader="dot" w:pos="8306"/>
        </w:tabs>
      </w:pPr>
      <w:hyperlink w:anchor="_Toc3631" w:history="1">
        <w:r>
          <w:rPr>
            <w:rFonts w:ascii="仿宋" w:eastAsia="仿宋" w:hAnsi="仿宋" w:cs="仿宋" w:hint="eastAsia"/>
            <w:lang w:eastAsia="zh-CN"/>
          </w:rPr>
          <w:t>九、超临界CO2萃取装置膜生物反应器及其他项目风险管理</w:t>
        </w:r>
        <w:r>
          <w:tab/>
        </w:r>
        <w:r>
          <w:fldChar w:fldCharType="begin"/>
        </w:r>
        <w:r>
          <w:instrText xml:space="preserve"> PAGEREF _Toc3631 \h </w:instrText>
        </w:r>
        <w:r>
          <w:fldChar w:fldCharType="separate"/>
        </w:r>
        <w:r>
          <w:t>35</w:t>
        </w:r>
        <w:r>
          <w:fldChar w:fldCharType="end"/>
        </w:r>
      </w:hyperlink>
    </w:p>
    <w:p>
      <w:pPr>
        <w:pStyle w:val="TOC2"/>
        <w:tabs>
          <w:tab w:val="right" w:leader="dot" w:pos="8306"/>
        </w:tabs>
      </w:pPr>
      <w:hyperlink w:anchor="_Toc12046" w:history="1">
        <w:r>
          <w:rPr>
            <w:rFonts w:ascii="仿宋" w:eastAsia="仿宋" w:hAnsi="仿宋" w:cs="仿宋" w:hint="eastAsia"/>
            <w:lang w:eastAsia="zh-CN"/>
          </w:rPr>
          <w:t>(一)、风险识别与评估</w:t>
        </w:r>
        <w:r>
          <w:tab/>
        </w:r>
        <w:r>
          <w:fldChar w:fldCharType="begin"/>
        </w:r>
        <w:r>
          <w:instrText xml:space="preserve"> PAGEREF _Toc12046 \h </w:instrText>
        </w:r>
        <w:r>
          <w:fldChar w:fldCharType="separate"/>
        </w:r>
        <w:r>
          <w:t>35</w:t>
        </w:r>
        <w:r>
          <w:fldChar w:fldCharType="end"/>
        </w:r>
      </w:hyperlink>
    </w:p>
    <w:p>
      <w:pPr>
        <w:pStyle w:val="TOC2"/>
        <w:tabs>
          <w:tab w:val="right" w:leader="dot" w:pos="8306"/>
        </w:tabs>
      </w:pPr>
      <w:hyperlink w:anchor="_Toc13119" w:history="1">
        <w:r>
          <w:rPr>
            <w:rFonts w:ascii="仿宋" w:eastAsia="仿宋" w:hAnsi="仿宋" w:cs="仿宋" w:hint="eastAsia"/>
            <w:lang w:eastAsia="zh-CN"/>
          </w:rPr>
          <w:t>(二)、风险应对策略</w:t>
        </w:r>
        <w:r>
          <w:tab/>
        </w:r>
        <w:r>
          <w:fldChar w:fldCharType="begin"/>
        </w:r>
        <w:r>
          <w:instrText xml:space="preserve"> PAGEREF _Toc13119 \h </w:instrText>
        </w:r>
        <w:r>
          <w:fldChar w:fldCharType="separate"/>
        </w:r>
        <w:r>
          <w:t>37</w:t>
        </w:r>
        <w:r>
          <w:fldChar w:fldCharType="end"/>
        </w:r>
      </w:hyperlink>
    </w:p>
    <w:p>
      <w:pPr>
        <w:pStyle w:val="TOC2"/>
        <w:tabs>
          <w:tab w:val="right" w:leader="dot" w:pos="8306"/>
        </w:tabs>
      </w:pPr>
      <w:hyperlink w:anchor="_Toc25522" w:history="1">
        <w:r>
          <w:rPr>
            <w:rFonts w:ascii="仿宋" w:eastAsia="仿宋" w:hAnsi="仿宋" w:cs="仿宋" w:hint="eastAsia"/>
            <w:lang w:eastAsia="zh-CN"/>
          </w:rPr>
          <w:t>(三)、风险监控与控制</w:t>
        </w:r>
        <w:r>
          <w:tab/>
        </w:r>
        <w:r>
          <w:fldChar w:fldCharType="begin"/>
        </w:r>
        <w:r>
          <w:instrText xml:space="preserve"> PAGEREF _Toc25522 \h </w:instrText>
        </w:r>
        <w:r>
          <w:fldChar w:fldCharType="separate"/>
        </w:r>
        <w:r>
          <w:t>39</w:t>
        </w:r>
        <w:r>
          <w:fldChar w:fldCharType="end"/>
        </w:r>
      </w:hyperlink>
    </w:p>
    <w:p>
      <w:pPr>
        <w:pStyle w:val="TOC1"/>
        <w:tabs>
          <w:tab w:val="right" w:leader="dot" w:pos="8306"/>
        </w:tabs>
      </w:pPr>
      <w:hyperlink w:anchor="_Toc1779" w:history="1">
        <w:r>
          <w:rPr>
            <w:rFonts w:ascii="仿宋" w:eastAsia="仿宋" w:hAnsi="仿宋" w:cs="仿宋" w:hint="eastAsia"/>
            <w:lang w:eastAsia="zh-CN"/>
          </w:rPr>
          <w:t>十、超临界CO2萃取装置膜生物反应器及其他项目创新与研发</w:t>
        </w:r>
        <w:r>
          <w:tab/>
        </w:r>
        <w:r>
          <w:fldChar w:fldCharType="begin"/>
        </w:r>
        <w:r>
          <w:instrText xml:space="preserve"> PAGEREF _Toc1779 \h </w:instrText>
        </w:r>
        <w:r>
          <w:fldChar w:fldCharType="separate"/>
        </w:r>
        <w:r>
          <w:t>40</w:t>
        </w:r>
        <w:r>
          <w:fldChar w:fldCharType="end"/>
        </w:r>
      </w:hyperlink>
    </w:p>
    <w:p>
      <w:pPr>
        <w:pStyle w:val="TOC2"/>
        <w:tabs>
          <w:tab w:val="right" w:leader="dot" w:pos="8306"/>
        </w:tabs>
      </w:pPr>
      <w:hyperlink w:anchor="_Toc31824" w:history="1">
        <w:r>
          <w:rPr>
            <w:rFonts w:ascii="仿宋" w:eastAsia="仿宋" w:hAnsi="仿宋" w:cs="仿宋" w:hint="eastAsia"/>
            <w:lang w:eastAsia="zh-CN"/>
          </w:rPr>
          <w:t>(一)、创新策略与方向</w:t>
        </w:r>
        <w:r>
          <w:tab/>
        </w:r>
        <w:r>
          <w:fldChar w:fldCharType="begin"/>
        </w:r>
        <w:r>
          <w:instrText xml:space="preserve"> PAGEREF _Toc31824 \h </w:instrText>
        </w:r>
        <w:r>
          <w:fldChar w:fldCharType="separate"/>
        </w:r>
        <w:r>
          <w:t>40</w:t>
        </w:r>
        <w:r>
          <w:fldChar w:fldCharType="end"/>
        </w:r>
      </w:hyperlink>
    </w:p>
    <w:p>
      <w:pPr>
        <w:pStyle w:val="TOC2"/>
        <w:tabs>
          <w:tab w:val="right" w:leader="dot" w:pos="8306"/>
        </w:tabs>
      </w:pPr>
      <w:hyperlink w:anchor="_Toc18441" w:history="1">
        <w:r>
          <w:rPr>
            <w:rFonts w:ascii="仿宋" w:eastAsia="仿宋" w:hAnsi="仿宋" w:cs="仿宋" w:hint="eastAsia"/>
            <w:lang w:eastAsia="zh-CN"/>
          </w:rPr>
          <w:t>(二)、研发规划与投入</w:t>
        </w:r>
        <w:r>
          <w:tab/>
        </w:r>
        <w:r>
          <w:fldChar w:fldCharType="begin"/>
        </w:r>
        <w:r>
          <w:instrText xml:space="preserve"> PAGEREF _Toc18441 \h </w:instrText>
        </w:r>
        <w:r>
          <w:fldChar w:fldCharType="separate"/>
        </w:r>
        <w:r>
          <w:t>41</w:t>
        </w:r>
        <w:r>
          <w:fldChar w:fldCharType="end"/>
        </w:r>
      </w:hyperlink>
    </w:p>
    <w:p>
      <w:pPr>
        <w:pStyle w:val="TOC1"/>
        <w:tabs>
          <w:tab w:val="right" w:leader="dot" w:pos="8306"/>
        </w:tabs>
      </w:pPr>
      <w:hyperlink w:anchor="_Toc17891" w:history="1">
        <w:r>
          <w:rPr>
            <w:rFonts w:ascii="仿宋" w:eastAsia="仿宋" w:hAnsi="仿宋" w:cs="仿宋" w:hint="eastAsia"/>
            <w:lang w:eastAsia="zh-CN"/>
          </w:rPr>
          <w:t>十一、超临界CO2萃取装置膜生物反应器及其他项目经营效益</w:t>
        </w:r>
        <w:r>
          <w:tab/>
        </w:r>
        <w:r>
          <w:fldChar w:fldCharType="begin"/>
        </w:r>
        <w:r>
          <w:instrText xml:space="preserve"> PAGEREF _Toc17891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9" w:history="1">
        <w:r>
          <w:rPr>
            <w:rFonts w:ascii="仿宋" w:eastAsia="仿宋" w:hAnsi="仿宋" w:cs="仿宋" w:hint="eastAsia"/>
            <w:lang w:eastAsia="zh-CN"/>
          </w:rPr>
          <w:t>(一)、经济评价财务测算</w:t>
        </w:r>
        <w:r>
          <w:tab/>
        </w:r>
        <w:r>
          <w:fldChar w:fldCharType="begin"/>
        </w:r>
        <w:r>
          <w:instrText xml:space="preserve"> PAGEREF _Toc15349 \h </w:instrText>
        </w:r>
        <w:r>
          <w:fldChar w:fldCharType="separate"/>
        </w:r>
        <w:r>
          <w:t>43</w:t>
        </w:r>
        <w:r>
          <w:fldChar w:fldCharType="end"/>
        </w:r>
      </w:hyperlink>
    </w:p>
    <w:p>
      <w:pPr>
        <w:pStyle w:val="TOC2"/>
        <w:tabs>
          <w:tab w:val="right" w:leader="dot" w:pos="8306"/>
        </w:tabs>
      </w:pPr>
      <w:hyperlink w:anchor="_Toc4813" w:history="1">
        <w:r>
          <w:rPr>
            <w:rFonts w:ascii="仿宋" w:eastAsia="仿宋" w:hAnsi="仿宋" w:cs="仿宋" w:hint="eastAsia"/>
            <w:lang w:eastAsia="zh-CN"/>
          </w:rPr>
          <w:t>(二)、超临界CO2萃取装置膜生物反应器及其他项目盈利能力分析</w:t>
        </w:r>
        <w:r>
          <w:tab/>
        </w:r>
        <w:r>
          <w:fldChar w:fldCharType="begin"/>
        </w:r>
        <w:r>
          <w:instrText xml:space="preserve"> PAGEREF _Toc4813 \h </w:instrText>
        </w:r>
        <w:r>
          <w:fldChar w:fldCharType="separate"/>
        </w:r>
        <w:r>
          <w:t>45</w:t>
        </w:r>
        <w:r>
          <w:fldChar w:fldCharType="end"/>
        </w:r>
      </w:hyperlink>
    </w:p>
    <w:p>
      <w:pPr>
        <w:pStyle w:val="TOC1"/>
        <w:tabs>
          <w:tab w:val="right" w:leader="dot" w:pos="8306"/>
        </w:tabs>
      </w:pPr>
      <w:hyperlink w:anchor="_Toc2895" w:history="1">
        <w:r>
          <w:rPr>
            <w:rFonts w:ascii="仿宋" w:eastAsia="仿宋" w:hAnsi="仿宋" w:cs="仿宋" w:hint="eastAsia"/>
            <w:lang w:eastAsia="zh-CN"/>
          </w:rPr>
          <w:t>十二、超临界CO2萃取装置膜生物反应器及其他项目技术管理</w:t>
        </w:r>
        <w:r>
          <w:tab/>
        </w:r>
        <w:r>
          <w:fldChar w:fldCharType="begin"/>
        </w:r>
        <w:r>
          <w:instrText xml:space="preserve"> PAGEREF _Toc2895 \h </w:instrText>
        </w:r>
        <w:r>
          <w:fldChar w:fldCharType="separate"/>
        </w:r>
        <w:r>
          <w:t>46</w:t>
        </w:r>
        <w:r>
          <w:fldChar w:fldCharType="end"/>
        </w:r>
      </w:hyperlink>
    </w:p>
    <w:p>
      <w:pPr>
        <w:pStyle w:val="TOC2"/>
        <w:tabs>
          <w:tab w:val="right" w:leader="dot" w:pos="8306"/>
        </w:tabs>
      </w:pPr>
      <w:hyperlink w:anchor="_Toc29206" w:history="1">
        <w:r>
          <w:rPr>
            <w:rFonts w:ascii="仿宋" w:eastAsia="仿宋" w:hAnsi="仿宋" w:cs="仿宋" w:hint="eastAsia"/>
            <w:lang w:eastAsia="zh-CN"/>
          </w:rPr>
          <w:t>(一)、技术方案选用方向</w:t>
        </w:r>
        <w:r>
          <w:tab/>
        </w:r>
        <w:r>
          <w:fldChar w:fldCharType="begin"/>
        </w:r>
        <w:r>
          <w:instrText xml:space="preserve"> PAGEREF _Toc29206 \h </w:instrText>
        </w:r>
        <w:r>
          <w:fldChar w:fldCharType="separate"/>
        </w:r>
        <w:r>
          <w:t>46</w:t>
        </w:r>
        <w:r>
          <w:fldChar w:fldCharType="end"/>
        </w:r>
      </w:hyperlink>
    </w:p>
    <w:p>
      <w:pPr>
        <w:pStyle w:val="TOC2"/>
        <w:tabs>
          <w:tab w:val="right" w:leader="dot" w:pos="8306"/>
        </w:tabs>
      </w:pPr>
      <w:hyperlink w:anchor="_Toc13957" w:history="1">
        <w:r>
          <w:rPr>
            <w:rFonts w:ascii="仿宋" w:eastAsia="仿宋" w:hAnsi="仿宋" w:cs="仿宋" w:hint="eastAsia"/>
            <w:lang w:eastAsia="zh-CN"/>
          </w:rPr>
          <w:t>(二)、工艺技术方案选用原则</w:t>
        </w:r>
        <w:r>
          <w:tab/>
        </w:r>
        <w:r>
          <w:fldChar w:fldCharType="begin"/>
        </w:r>
        <w:r>
          <w:instrText xml:space="preserve"> PAGEREF _Toc13957 \h </w:instrText>
        </w:r>
        <w:r>
          <w:fldChar w:fldCharType="separate"/>
        </w:r>
        <w:r>
          <w:t>48</w:t>
        </w:r>
        <w:r>
          <w:fldChar w:fldCharType="end"/>
        </w:r>
      </w:hyperlink>
    </w:p>
    <w:p>
      <w:pPr>
        <w:pStyle w:val="TOC2"/>
        <w:tabs>
          <w:tab w:val="right" w:leader="dot" w:pos="8306"/>
        </w:tabs>
      </w:pPr>
      <w:hyperlink w:anchor="_Toc477" w:history="1">
        <w:r>
          <w:rPr>
            <w:rFonts w:ascii="仿宋" w:eastAsia="仿宋" w:hAnsi="仿宋" w:cs="仿宋" w:hint="eastAsia"/>
            <w:lang w:eastAsia="zh-CN"/>
          </w:rPr>
          <w:t>(三)、工艺技术方案要求</w:t>
        </w:r>
        <w:r>
          <w:tab/>
        </w:r>
        <w:r>
          <w:fldChar w:fldCharType="begin"/>
        </w:r>
        <w:r>
          <w:instrText xml:space="preserve"> PAGEREF _Toc477 \h </w:instrText>
        </w:r>
        <w:r>
          <w:fldChar w:fldCharType="separate"/>
        </w:r>
        <w:r>
          <w:t>50</w:t>
        </w:r>
        <w:r>
          <w:fldChar w:fldCharType="end"/>
        </w:r>
      </w:hyperlink>
    </w:p>
    <w:p>
      <w:pPr>
        <w:pStyle w:val="TOC1"/>
        <w:tabs>
          <w:tab w:val="right" w:leader="dot" w:pos="8306"/>
        </w:tabs>
      </w:pPr>
      <w:hyperlink w:anchor="_Toc3354" w:history="1">
        <w:r>
          <w:rPr>
            <w:rFonts w:ascii="仿宋" w:eastAsia="仿宋" w:hAnsi="仿宋" w:cs="仿宋" w:hint="eastAsia"/>
            <w:lang w:eastAsia="zh-CN"/>
          </w:rPr>
          <w:t>十三、利益相关者分析与沟通计划</w:t>
        </w:r>
        <w:r>
          <w:tab/>
        </w:r>
        <w:r>
          <w:fldChar w:fldCharType="begin"/>
        </w:r>
        <w:r>
          <w:instrText xml:space="preserve"> PAGEREF _Toc3354 \h </w:instrText>
        </w:r>
        <w:r>
          <w:fldChar w:fldCharType="separate"/>
        </w:r>
        <w:r>
          <w:t>52</w:t>
        </w:r>
        <w:r>
          <w:fldChar w:fldCharType="end"/>
        </w:r>
      </w:hyperlink>
    </w:p>
    <w:p>
      <w:pPr>
        <w:pStyle w:val="TOC2"/>
        <w:tabs>
          <w:tab w:val="right" w:leader="dot" w:pos="8306"/>
        </w:tabs>
      </w:pPr>
      <w:hyperlink w:anchor="_Toc15878" w:history="1">
        <w:r>
          <w:rPr>
            <w:rFonts w:ascii="仿宋" w:eastAsia="仿宋" w:hAnsi="仿宋" w:cs="仿宋" w:hint="eastAsia"/>
            <w:lang w:eastAsia="zh-CN"/>
          </w:rPr>
          <w:t>(一)、利益相关者分析</w:t>
        </w:r>
        <w:r>
          <w:tab/>
        </w:r>
        <w:r>
          <w:fldChar w:fldCharType="begin"/>
        </w:r>
        <w:r>
          <w:instrText xml:space="preserve"> PAGEREF _Toc15878 \h </w:instrText>
        </w:r>
        <w:r>
          <w:fldChar w:fldCharType="separate"/>
        </w:r>
        <w:r>
          <w:t>52</w:t>
        </w:r>
        <w:r>
          <w:fldChar w:fldCharType="end"/>
        </w:r>
      </w:hyperlink>
    </w:p>
    <w:p>
      <w:pPr>
        <w:pStyle w:val="TOC2"/>
        <w:tabs>
          <w:tab w:val="right" w:leader="dot" w:pos="8306"/>
        </w:tabs>
      </w:pPr>
      <w:hyperlink w:anchor="_Toc9222" w:history="1">
        <w:r>
          <w:rPr>
            <w:rFonts w:ascii="仿宋" w:eastAsia="仿宋" w:hAnsi="仿宋" w:cs="仿宋" w:hint="eastAsia"/>
            <w:lang w:eastAsia="zh-CN"/>
          </w:rPr>
          <w:t>(二)、沟通计划</w:t>
        </w:r>
        <w:r>
          <w:tab/>
        </w:r>
        <w:r>
          <w:fldChar w:fldCharType="begin"/>
        </w:r>
        <w:r>
          <w:instrText xml:space="preserve"> PAGEREF _Toc9222 \h </w:instrText>
        </w:r>
        <w:r>
          <w:fldChar w:fldCharType="separate"/>
        </w:r>
        <w:r>
          <w:t>54</w:t>
        </w:r>
        <w:r>
          <w:fldChar w:fldCharType="end"/>
        </w:r>
      </w:hyperlink>
    </w:p>
    <w:p>
      <w:pPr>
        <w:pStyle w:val="TOC1"/>
        <w:tabs>
          <w:tab w:val="right" w:leader="dot" w:pos="8306"/>
        </w:tabs>
      </w:pPr>
      <w:hyperlink w:anchor="_Toc30125" w:history="1">
        <w:r>
          <w:rPr>
            <w:rFonts w:ascii="仿宋" w:eastAsia="仿宋" w:hAnsi="仿宋" w:cs="仿宋" w:hint="eastAsia"/>
            <w:lang w:eastAsia="zh-CN"/>
          </w:rPr>
          <w:t>十四、超临界CO2萃取装置膜生物反应器及其他项目实施保障措施</w:t>
        </w:r>
        <w:r>
          <w:tab/>
        </w:r>
        <w:r>
          <w:fldChar w:fldCharType="begin"/>
        </w:r>
        <w:r>
          <w:instrText xml:space="preserve"> PAGEREF _Toc30125 \h </w:instrText>
        </w:r>
        <w:r>
          <w:fldChar w:fldCharType="separate"/>
        </w:r>
        <w:r>
          <w:t>55</w:t>
        </w:r>
        <w:r>
          <w:fldChar w:fldCharType="end"/>
        </w:r>
      </w:hyperlink>
    </w:p>
    <w:p>
      <w:pPr>
        <w:pStyle w:val="TOC2"/>
        <w:tabs>
          <w:tab w:val="right" w:leader="dot" w:pos="8306"/>
        </w:tabs>
      </w:pPr>
      <w:hyperlink w:anchor="_Toc27633" w:history="1">
        <w:r>
          <w:rPr>
            <w:rFonts w:ascii="仿宋" w:eastAsia="仿宋" w:hAnsi="仿宋" w:cs="仿宋" w:hint="eastAsia"/>
            <w:lang w:eastAsia="zh-CN"/>
          </w:rPr>
          <w:t>(一)、超临界CO2萃取装置膜生物反应器及其他项目实施保障机制</w:t>
        </w:r>
        <w:r>
          <w:tab/>
        </w:r>
        <w:r>
          <w:fldChar w:fldCharType="begin"/>
        </w:r>
        <w:r>
          <w:instrText xml:space="preserve"> PAGEREF _Toc27633 \h </w:instrText>
        </w:r>
        <w:r>
          <w:fldChar w:fldCharType="separate"/>
        </w:r>
        <w:r>
          <w:t>55</w:t>
        </w:r>
        <w:r>
          <w:fldChar w:fldCharType="end"/>
        </w:r>
      </w:hyperlink>
    </w:p>
    <w:p>
      <w:pPr>
        <w:pStyle w:val="TOC2"/>
        <w:tabs>
          <w:tab w:val="right" w:leader="dot" w:pos="8306"/>
        </w:tabs>
      </w:pPr>
      <w:hyperlink w:anchor="_Toc9451" w:history="1">
        <w:r>
          <w:rPr>
            <w:rFonts w:ascii="仿宋" w:eastAsia="仿宋" w:hAnsi="仿宋" w:cs="仿宋" w:hint="eastAsia"/>
            <w:lang w:eastAsia="zh-CN"/>
          </w:rPr>
          <w:t>(二)、超临界CO2萃取装置膜生物反应器及其他项目法律合规要求</w:t>
        </w:r>
        <w:r>
          <w:tab/>
        </w:r>
        <w:r>
          <w:fldChar w:fldCharType="begin"/>
        </w:r>
        <w:r>
          <w:instrText xml:space="preserve"> PAGEREF _Toc9451 \h </w:instrText>
        </w:r>
        <w:r>
          <w:fldChar w:fldCharType="separate"/>
        </w:r>
        <w:r>
          <w:t>59</w:t>
        </w:r>
        <w:r>
          <w:fldChar w:fldCharType="end"/>
        </w:r>
      </w:hyperlink>
    </w:p>
    <w:p>
      <w:pPr>
        <w:pStyle w:val="TOC2"/>
        <w:tabs>
          <w:tab w:val="right" w:leader="dot" w:pos="8306"/>
        </w:tabs>
      </w:pPr>
      <w:hyperlink w:anchor="_Toc20058" w:history="1">
        <w:r>
          <w:rPr>
            <w:rFonts w:ascii="仿宋" w:eastAsia="仿宋" w:hAnsi="仿宋" w:cs="仿宋" w:hint="eastAsia"/>
            <w:lang w:eastAsia="zh-CN"/>
          </w:rPr>
          <w:t>(三)、超临界CO2萃取装置膜生物反应器及其他项目合同管理与法律事务</w:t>
        </w:r>
        <w:r>
          <w:tab/>
        </w:r>
        <w:r>
          <w:fldChar w:fldCharType="begin"/>
        </w:r>
        <w:r>
          <w:instrText xml:space="preserve"> PAGEREF _Toc20058 \h </w:instrText>
        </w:r>
        <w:r>
          <w:fldChar w:fldCharType="separate"/>
        </w:r>
        <w:r>
          <w:t>64</w:t>
        </w:r>
        <w:r>
          <w:fldChar w:fldCharType="end"/>
        </w:r>
      </w:hyperlink>
    </w:p>
    <w:p>
      <w:pPr>
        <w:pStyle w:val="TOC2"/>
        <w:tabs>
          <w:tab w:val="right" w:leader="dot" w:pos="8306"/>
        </w:tabs>
      </w:pPr>
      <w:hyperlink w:anchor="_Toc7653" w:history="1">
        <w:r>
          <w:rPr>
            <w:rFonts w:ascii="仿宋" w:eastAsia="仿宋" w:hAnsi="仿宋" w:cs="仿宋" w:hint="eastAsia"/>
            <w:lang w:eastAsia="zh-CN"/>
          </w:rPr>
          <w:t>(四)、超临界CO2萃取装置膜生物反应器及其他项目知识产权保护策略</w:t>
        </w:r>
        <w:r>
          <w:tab/>
        </w:r>
        <w:r>
          <w:fldChar w:fldCharType="begin"/>
        </w:r>
        <w:r>
          <w:instrText xml:space="preserve"> PAGEREF _Toc7653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88"/>
      <w:r>
        <w:rPr>
          <w:rFonts w:ascii="仿宋" w:eastAsia="仿宋" w:hAnsi="仿宋" w:cs="仿宋" w:hint="eastAsia"/>
          <w:sz w:val="28"/>
          <w:lang w:eastAsia="zh-CN"/>
        </w:rPr>
        <w:t>一、超临界CO2萃取装置膜生物反应器及其他项目建设背景及必要性分析</w:t>
      </w:r>
      <w:bookmarkEnd w:id="2"/>
    </w:p>
    <w:p>
      <w:pPr>
        <w:pStyle w:val="Heading2"/>
        <w:rPr>
          <w:rFonts w:ascii="仿宋" w:eastAsia="仿宋" w:hAnsi="仿宋" w:cs="仿宋" w:hint="eastAsia"/>
          <w:lang w:eastAsia="zh-CN"/>
        </w:rPr>
      </w:pPr>
      <w:bookmarkStart w:id="3" w:name="_Toc10335"/>
      <w:r>
        <w:rPr>
          <w:rFonts w:ascii="仿宋" w:eastAsia="仿宋" w:hAnsi="仿宋" w:cs="仿宋" w:hint="eastAsia"/>
          <w:lang w:eastAsia="zh-CN"/>
        </w:rPr>
        <w:t>(一)、超临界CO2萃取装置膜生物反应器及其他项目背景分析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临界CO2萃取装置膜生物反应器及其他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临界CO2萃取装置膜生物反应器及其他项目在这个潮流中的定位。同时，我们将关注行业内涌现的新兴机遇，以便超临界CO2萃取装置膜生物反应器及其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临界CO2萃取装置膜生物反应器及其他项目提供了强大的发展动力。我们将聚焦于行业内最新的技术发展趋势，包括但不限于人工智能、大数据分析、物联网等领域。通过深度的技术研究，我们将确保超临界CO2萃取装置膜生物反应器及其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临界CO2萃取装置膜生物反应器及其他项目发展的源泉。我们将投入更多的精力对市场需求进行深入剖析，超越表面的需求，深入挖掘潜在的市场痛点和机遇。通过对市场需求的细致了解，超临界CO2萃取装置膜生物反应器及其他项目将更有针对性地设计解决方案，满足市场的多样化需求，从而更好地促进超临界CO2萃取装置膜生物反应器及其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临界CO2萃取装置膜生物反应器及其他项目战略至关重要。我们将对竞争态势进行更为深入的分析，包括但不限于市场份额、产品特点、客户满意度等多个维度。通过深度的竞争分析，超临界CO2萃取装置膜生物反应器及其他项目将能够更准确地把握市场脉搏，制定具有竞争力的超临界CO2萃取装置膜生物反应器及其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临界CO2萃取装置膜生物反应器及其他项目的发展具有直接的影响。我们将进行更为全面的法规和政策分析，了解行业发展中的潜在法律风险和合规挑战。通过充分了解和遵守相关法规，超临界CO2萃取装置膜生物反应器及其他项目将确保在法律框架内合法合规运营，为超临界CO2萃取装置膜生物反应器及其他项目的稳健发展提供有力支持。</w:t>
      </w:r>
    </w:p>
    <w:p>
      <w:pPr>
        <w:pStyle w:val="Heading2"/>
        <w:ind w:firstLine="560" w:firstLineChars="200"/>
        <w:rPr>
          <w:rFonts w:ascii="仿宋" w:eastAsia="仿宋" w:hAnsi="仿宋" w:cs="仿宋" w:hint="eastAsia"/>
          <w:sz w:val="28"/>
          <w:lang w:eastAsia="zh-CN"/>
        </w:rPr>
      </w:pPr>
      <w:bookmarkStart w:id="4" w:name="_Toc27545"/>
      <w:r>
        <w:rPr>
          <w:rFonts w:ascii="仿宋" w:eastAsia="仿宋" w:hAnsi="仿宋" w:cs="仿宋" w:hint="eastAsia"/>
          <w:sz w:val="28"/>
          <w:lang w:eastAsia="zh-CN"/>
        </w:rPr>
        <w:t>(二)、超临界CO2萃取装置膜生物反应器及其他项目建设必要性分析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建设的迫切性源于对行业发展趋势的深刻洞察。我们正处于一个行业变革的时代，科技创新、数字化转型成为企业发展的关键动力。超临界CO2萃取装置膜生物反应器及其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建设不仅仅是为了跟上潮流，更是为了通过技术创新推动企业的持续发展。通过引入先进的技术和解决方案，超临界CO2萃取装置膜生物反应器及其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临界CO2萃取装置膜生物反应器及其他项目的建设成为必然选择，通过提高产品质量、拓展服务领域，从而在竞争中获得更多的机会。超临界CO2萃取装置膜生物反应器及其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临界CO2萃取装置膜生物反应器及其他项目建设的必要性体现在对客户需求更精准的满足。通过超临界CO2萃取装置膜生物反应器及其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临界CO2萃取装置膜生物反应器及其他项目建设的背后是对企业持续创新的追求。只有通过不断创新，企业才能在竞争中立于不败之地。超临界CO2萃取装置膜生物反应器及其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573"/>
      <w:r>
        <w:rPr>
          <w:rFonts w:ascii="仿宋" w:eastAsia="仿宋" w:hAnsi="仿宋" w:cs="仿宋" w:hint="eastAsia"/>
          <w:sz w:val="28"/>
          <w:lang w:eastAsia="zh-CN"/>
        </w:rPr>
        <w:t>二、超临界CO2萃取装置膜生物反应器及其他项目土建工程</w:t>
      </w:r>
      <w:bookmarkEnd w:id="5"/>
    </w:p>
    <w:p>
      <w:pPr>
        <w:pStyle w:val="Heading2"/>
        <w:rPr>
          <w:rFonts w:ascii="仿宋" w:eastAsia="仿宋" w:hAnsi="仿宋" w:cs="仿宋" w:hint="eastAsia"/>
          <w:lang w:eastAsia="zh-CN"/>
        </w:rPr>
      </w:pPr>
      <w:bookmarkStart w:id="6" w:name="_Toc4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在超临界CO2萃取装置膜生物反应器及其他项目的建筑工程设计中，我们将秉承一系列重要的设计原则，以确保超临界CO2萃取装置膜生物反应器及其他项目建筑在功能、美观、可持续性等方面达到最佳效果。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首要原则是确保建筑的功能性得到最大化的发挥。我们将充分理解超临界CO2萃取装置膜生物反应器及其他项目的实际需求，合理布局各个功能区域，保证建筑在满足业务需求的同时，提供高效的工作环境。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在建筑设计中，我们将综合考虑建设和运营成本。通过精细的经济效益分析，确保设计方案在高效利用资源的同时，对超临界CO2萃取装置膜生物反应器及其他项目的长期盈利能力有积极的贡献。</w:t>
      </w:r>
    </w:p>
    <w:p>
      <w:pPr>
        <w:pStyle w:val="Heading2"/>
        <w:ind w:firstLine="560" w:firstLineChars="200"/>
        <w:rPr>
          <w:rFonts w:ascii="仿宋" w:eastAsia="仿宋" w:hAnsi="仿宋" w:cs="仿宋" w:hint="eastAsia"/>
          <w:sz w:val="28"/>
          <w:lang w:eastAsia="zh-CN"/>
        </w:rPr>
      </w:pPr>
      <w:bookmarkStart w:id="7" w:name="_Toc250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的土建工程设计中，我们将精准设定设计年限，结合超临界CO2萃取装置膜生物反应器及其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临界CO2萃取装置膜生物反应器及其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94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临界CO2萃取装置膜生物反应器及其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临界CO2萃取装置膜生物反应器及其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临界CO2萃取装置膜生物反应器及其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77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本期工程超临界CO2萃取装置膜生物反应器及其他项目预计总建筑面积XXX平方米，其中：计容建筑面积XXX平方米，计划建筑工程投资XX万元，占超临界CO2萃取装置膜生物反应器及其他项目总投资的XX%。</w:t>
      </w:r>
    </w:p>
    <w:p>
      <w:pPr>
        <w:pStyle w:val="Heading1"/>
        <w:ind w:firstLine="560" w:firstLineChars="200"/>
        <w:rPr>
          <w:rFonts w:ascii="仿宋" w:eastAsia="仿宋" w:hAnsi="仿宋" w:cs="仿宋" w:hint="eastAsia"/>
          <w:sz w:val="28"/>
          <w:lang w:eastAsia="zh-CN"/>
        </w:rPr>
      </w:pPr>
      <w:bookmarkStart w:id="10" w:name="_Toc6355"/>
      <w:r>
        <w:rPr>
          <w:rFonts w:ascii="仿宋" w:eastAsia="仿宋" w:hAnsi="仿宋" w:cs="仿宋" w:hint="eastAsia"/>
          <w:sz w:val="28"/>
          <w:lang w:eastAsia="zh-CN"/>
        </w:rPr>
        <w:t>三、超临界CO2萃取装置膜生物反应器及其他项目建设单位说明</w:t>
      </w:r>
      <w:bookmarkEnd w:id="10"/>
    </w:p>
    <w:p>
      <w:pPr>
        <w:pStyle w:val="Heading2"/>
        <w:rPr>
          <w:rFonts w:ascii="仿宋" w:eastAsia="仿宋" w:hAnsi="仿宋" w:cs="仿宋" w:hint="eastAsia"/>
          <w:lang w:eastAsia="zh-CN"/>
        </w:rPr>
      </w:pPr>
      <w:bookmarkStart w:id="11" w:name="_Toc19206"/>
      <w:r>
        <w:rPr>
          <w:rFonts w:ascii="仿宋" w:eastAsia="仿宋" w:hAnsi="仿宋" w:cs="仿宋" w:hint="eastAsia"/>
          <w:lang w:eastAsia="zh-CN"/>
        </w:rPr>
        <w:t>(一)、超临界CO2萃取装置膜生物反应器及其他项目承办单位基本情况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29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临界CO2萃取装置膜生物反应器及其他项目承办单位的XXXX，我们着眼于实现可持续的经济效益。通过技术创新和解决方案的提供，公司预计在超临界CO2萃取装置膜生物反应器及其他项目执行期间将获得可观的收入增长。这一收入来源主要包括超临界CO2萃取装置膜生物反应器及其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同时，我们注重成本控制和效率提升，以确保超临界CO2萃取装置膜生物反应器及其他项目的可持续盈利。透过精细的管理和资源优化，公司期望实现超临界CO2萃取装置膜生物反应器及其他项目利润最大化。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临界CO2萃取装置膜生物反应器及其他项目实施进行全面的投资评估，包括超临界CO2萃取装置膜生物反应器及其他项目启动阶段的资金投入和后续运营成本。通过对超临界CO2萃取装置膜生物反应器及其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临界CO2萃取装置膜生物反应器及其他项目实施过程中具备足够的资金流动性，公司将进行详尽的现金流分析。这包括资金需求的合理预测、超临界CO2萃取装置膜生物反应器及其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38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508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的主要产品是XXXX，预计年产值为XXX万元。这一产品在市场中占据着重要的地位，其广泛的应用范围使得该超临界CO2萃取装置膜生物反应器及其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临界CO2萃取装置膜生物反应器及其他项目的xxx产品作为重要的原材料之一，将在多个领域发挥关键作用。其在建筑、交通、能源等方面的广泛应用将为整个产业链提供强大的支持，形成产业协同效应。超临界CO2萃取装置膜生物反应器及其他项目的年产值XXX万XXX万XXX万万元不仅反映了其在市场上的巨大潜力，更预示着它对国民经济的积极贡献。这种关联度高、涉及面广的产业关系，使得该超临界CO2萃取装置膜生物反应器及其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73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总征地面积为XXXX平方米，相当于约XX.XX亩，其中净用地面积为XXXX平方米，红线范围内相当于约XX.XX亩。这一用地规模充分考虑了超临界CO2萃取装置膜生物反应器及其他项目的建设需求，保障了超临界CO2萃取装置膜生物反应器及其他项目在合适的空间内得以充分发展。超临界CO2萃取装置膜生物反应器及其他项目规划的总建筑面积为XXXX平方米，其中主体工程建设占XXXX平方米，计容建筑面积达XXXX平方米。预计建筑工程的投资将达到XXXX万元，为超临界CO2萃取装置膜生物反应器及其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计划购置的设备共计XXXX台（套），设备购置费用为XXXX万元。这一设备购置计划充分考虑到超临界CO2萃取装置膜生物反应器及其他项目的生产需求和技术要求，确保了超临界CO2萃取装置膜生物反应器及其他项目在生产运营中具备先进的技术装备和高效的生产能力。设备的合理配置将为超临界CO2萃取装置膜生物反应器及其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计划总投资为XXXX万元，预计年实现营业收入为XXXX万元。这一产能规模的设定旨在确保超临界CO2萃取装置膜生物反应器及其他项目能够在投资与回报之间取得平衡，实现长期可持续的发展。超临界CO2萃取装置膜生物反应器及其他项目的总投资充分考虑到各个方面的需求，包括用地建设、设备购置等多个环节，以确保超临界CO2萃取装置膜生物反应器及其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0832"/>
      <w:r>
        <w:rPr>
          <w:rFonts w:ascii="仿宋" w:eastAsia="仿宋" w:hAnsi="仿宋" w:cs="仿宋" w:hint="eastAsia"/>
          <w:sz w:val="28"/>
          <w:lang w:eastAsia="zh-CN"/>
        </w:rPr>
        <w:t>五、超临界CO2萃取装置膜生物反应器及其他项目绩效评估</w:t>
      </w:r>
      <w:bookmarkEnd w:id="16"/>
    </w:p>
    <w:p>
      <w:pPr>
        <w:pStyle w:val="Heading2"/>
        <w:rPr>
          <w:rFonts w:ascii="仿宋" w:eastAsia="仿宋" w:hAnsi="仿宋" w:cs="仿宋" w:hint="eastAsia"/>
          <w:lang w:eastAsia="zh-CN"/>
        </w:rPr>
      </w:pPr>
      <w:bookmarkStart w:id="17" w:name="_Toc2539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中，我们设计了一套全面的绩效评估指标，以确保超临界CO2萃取装置膜生物反应器及其他项目的可控和成功交付。这些指标跨足超临界CO2萃取装置膜生物反应器及其他项目目标、成本、进度和质量等多个维度，为我们提供了全面洞察超临界CO2萃取装置膜生物反应器及其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目标达成率是我们关注的首要指标。我们设定了明确的目标，并通过定期监测和评估，迅速发现并应对潜在的目标偏差。这为超临界CO2萃取装置膜生物反应器及其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成本绩效是另一个核心关注点。通过实际成本与预算成本的对比分析，我们深入了解成本差异的原因，及时调整资源分配，保持超临界CO2萃取装置膜生物反应器及其他项目在经济效益方面的合理水平。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进度作为关键的绩效指标之一，得到了精心的关注。我们制定了详细的超临界CO2萃取装置膜生物反应器及其他项目进度计划，并设立了进度符合度指标，确保实际进度与计划进度保持一致。这使我们能够快速发现和解决潜在的进度问题，保持超临界CO2萃取装置膜生物反应器及其他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临界CO2萃取装置膜生物反应器及其他项目绩效的不可或缺的一环。我们引入了一系列的质量标准和客户满意度指标，以确保超临界CO2萃取装置膜生物反应器及其他项目交付的成果在质量上达到或超越预期水平。通过持续监测这些指标，我们努力提升超临界CO2萃取装置膜生物反应器及其他项目整体质量水平，为超临界CO2萃取装置膜生物反应器及其他项目的成功交付提供有力保障。通过这些科学且全面的绩效评估，我们能够更好地引导超临界CO2萃取装置膜生物反应器及其他项目的持续改进，确保超临界CO2萃取装置膜生物反应器及其他项目目标的顺利达成。</w:t>
      </w:r>
    </w:p>
    <w:p>
      <w:pPr>
        <w:pStyle w:val="Heading2"/>
        <w:ind w:firstLine="560" w:firstLineChars="200"/>
        <w:rPr>
          <w:rFonts w:ascii="仿宋" w:eastAsia="仿宋" w:hAnsi="仿宋" w:cs="仿宋" w:hint="eastAsia"/>
          <w:sz w:val="28"/>
          <w:lang w:eastAsia="zh-CN"/>
        </w:rPr>
      </w:pPr>
      <w:bookmarkStart w:id="18" w:name="_Toc937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绩效评估是超临界CO2萃取装置膜生物反应器及其他项目中的关键环节，为确保超临界CO2萃取装置膜生物反应器及其他项目达到预期目标，我们采用了多层次、多维度的绩效评估方法。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临界CO2萃取装置膜生物反应器及其他项目的战略目标对齐，确保每个决策和行动都与超临界CO2萃取装置膜生物反应器及其他项目整体目标保持一致。团队会定期召开战略对齐会议，审视当前工作与超临界CO2萃取装置膜生物反应器及其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临界CO2萃取装置膜生物反应器及其他项目进度、质量、成本和风险等方面。这些指标通过数据收集和分析，为超临界CO2萃取装置膜生物反应器及其他项目管理团队提供了客观的评估依据。例如，我们通过超临界CO2萃取装置膜生物反应器及其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https://d.book118.com/218070053042006031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87316"/>
    <w:rsid w:val="3B187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7005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2024-01-22T13:08:00Z</dcterms:created>
  <dcterms:modified xsi:type="dcterms:W3CDTF">2024-01-22T13:09:04Z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6A440F03FAC6445588E3FFB59C4401E4_11</vt:lpwstr>
  </property>
  <property fmtid="{D5CDD505-2E9C-101B-9397-08002B2CF9AE}" pid="3" name="KSOProductBuildVer">
    <vt:lpwstr>2052-12.1.0.16120</vt:lpwstr>
  </property>
</Properties>
</file>