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11"/>
        <w:rPr>
          <w:rFonts w:ascii="Times New Roman"/>
          <w:sz w:val="24"/>
        </w:rPr>
      </w:pPr>
    </w:p>
    <w:p>
      <w:pPr>
        <w:spacing w:before="37"/>
        <w:ind w:left="1381" w:right="0" w:firstLine="0"/>
        <w:jc w:val="left"/>
        <w:rPr>
          <w:b/>
          <w:sz w:val="45"/>
        </w:rPr>
      </w:pPr>
      <w:r>
        <w:rPr>
          <w:b/>
          <w:sz w:val="45"/>
        </w:rPr>
        <w:t>新郑市城市管理行政执法局城区新建垃圾中转站和公厕项目</w:t>
      </w:r>
    </w:p>
    <w:p>
      <w:pPr>
        <w:pStyle w:val="BodyText"/>
        <w:rPr>
          <w:b/>
          <w:sz w:val="44"/>
        </w:rPr>
      </w:pPr>
    </w:p>
    <w:p>
      <w:pPr>
        <w:pStyle w:val="BodyText"/>
        <w:rPr>
          <w:b/>
          <w:sz w:val="44"/>
        </w:rPr>
      </w:pPr>
    </w:p>
    <w:p>
      <w:pPr>
        <w:pStyle w:val="Title"/>
        <w:spacing w:line="242" w:lineRule="auto"/>
      </w:pPr>
      <w:r>
        <w:rPr>
          <w:w w:val="95"/>
        </w:rPr>
        <w:t>施工组织设计</w:t>
      </w:r>
    </w:p>
    <w:p>
      <w:pPr>
        <w:pStyle w:val="BodyText"/>
        <w:rPr>
          <w:b/>
          <w:sz w:val="108"/>
        </w:rPr>
      </w:pPr>
    </w:p>
    <w:p>
      <w:pPr>
        <w:pStyle w:val="BodyText"/>
        <w:spacing w:before="3"/>
        <w:rPr>
          <w:b/>
          <w:sz w:val="93"/>
        </w:rPr>
      </w:pPr>
    </w:p>
    <w:p>
      <w:pPr>
        <w:pStyle w:val="Heading1"/>
        <w:spacing w:line="364" w:lineRule="auto"/>
        <w:ind w:left="4074" w:right="10346"/>
        <w:jc w:val="both"/>
      </w:pPr>
      <w:r>
        <w:drawing>
          <wp:anchor distT="0" distB="0" distL="0" distR="0" simplePos="0" relativeHeight="251658240" behindDoc="0" locked="0" layoutInCell="1" allowOverlap="1">
            <wp:simplePos x="0" y="0"/>
            <wp:positionH relativeFrom="page">
              <wp:posOffset>4927600</wp:posOffset>
            </wp:positionH>
            <wp:positionV relativeFrom="paragraph">
              <wp:posOffset>409194</wp:posOffset>
            </wp:positionV>
            <wp:extent cx="30734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30734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4927600</wp:posOffset>
            </wp:positionH>
            <wp:positionV relativeFrom="paragraph">
              <wp:posOffset>1006094</wp:posOffset>
            </wp:positionV>
            <wp:extent cx="30861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3086100" cy="3810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4927600</wp:posOffset>
            </wp:positionH>
            <wp:positionV relativeFrom="paragraph">
              <wp:posOffset>1602994</wp:posOffset>
            </wp:positionV>
            <wp:extent cx="30861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5" cstate="print"/>
                    <a:stretch>
                      <a:fillRect/>
                    </a:stretch>
                  </pic:blipFill>
                  <pic:spPr>
                    <a:xfrm>
                      <a:off x="0" y="0"/>
                      <a:ext cx="3086100" cy="38100"/>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2565400</wp:posOffset>
            </wp:positionH>
            <wp:positionV relativeFrom="paragraph">
              <wp:posOffset>104394</wp:posOffset>
            </wp:positionV>
            <wp:extent cx="482600" cy="16637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6" cstate="print"/>
                    <a:stretch>
                      <a:fillRect/>
                    </a:stretch>
                  </pic:blipFill>
                  <pic:spPr>
                    <a:xfrm>
                      <a:off x="0" y="0"/>
                      <a:ext cx="482600" cy="1663700"/>
                    </a:xfrm>
                    <a:prstGeom prst="rect">
                      <a:avLst/>
                    </a:prstGeom>
                  </pic:spPr>
                </pic:pic>
              </a:graphicData>
            </a:graphic>
          </wp:anchor>
        </w:drawing>
      </w:r>
      <w:r>
        <w:rPr>
          <w:spacing w:val="-6"/>
        </w:rPr>
        <w:t>编制； 审核； 审批；</w:t>
      </w:r>
    </w:p>
    <w:p>
      <w:pPr>
        <w:spacing w:before="5"/>
        <w:ind w:left="4074" w:right="0" w:firstLine="0"/>
        <w:jc w:val="left"/>
        <w:rPr>
          <w:b/>
          <w:sz w:val="48"/>
        </w:rPr>
      </w:pPr>
      <w:r>
        <w:rPr>
          <w:b/>
          <w:sz w:val="48"/>
        </w:rPr>
        <w:t>河南中城建设集团股份有限公司</w:t>
      </w:r>
    </w:p>
    <w:p>
      <w:pPr>
        <w:pStyle w:val="Heading1"/>
        <w:tabs>
          <w:tab w:val="left" w:pos="964"/>
          <w:tab w:val="left" w:pos="1929"/>
        </w:tabs>
        <w:spacing w:before="321"/>
        <w:ind w:right="1274"/>
      </w:pPr>
      <w:r>
        <w:t>年</w:t>
        <w:tab/>
        <w:t>月</w:t>
        <w:tab/>
        <w:t>日</w:t>
      </w:r>
    </w:p>
    <w:p>
      <w:pPr>
        <w:spacing w:after="0"/>
        <w:sectPr>
          <w:headerReference w:type="default" r:id="rId7"/>
          <w:footerReference w:type="default" r:id="rId8"/>
          <w:type w:val="continuous"/>
          <w:pgSz w:w="17860" w:h="25260"/>
          <w:pgMar w:top="1400" w:right="0" w:bottom="2020" w:left="2000" w:header="1054" w:footer="1831"/>
          <w:cols w:space="708"/>
        </w:sectPr>
      </w:pPr>
    </w:p>
    <w:p>
      <w:pPr>
        <w:pStyle w:val="BodyText"/>
        <w:spacing w:before="6"/>
        <w:rPr>
          <w:b/>
          <w:sz w:val="23"/>
        </w:rPr>
      </w:pPr>
    </w:p>
    <w:p>
      <w:pPr>
        <w:spacing w:before="0" w:line="991" w:lineRule="exact"/>
        <w:ind w:left="0" w:right="1690" w:firstLine="0"/>
        <w:jc w:val="center"/>
        <w:rPr>
          <w:b/>
          <w:sz w:val="78"/>
        </w:rPr>
      </w:pPr>
      <w:r>
        <w:rPr>
          <w:b/>
          <w:sz w:val="78"/>
        </w:rPr>
        <w:t>目 录</w:t>
      </w:r>
    </w:p>
    <w:p>
      <w:pPr>
        <w:pStyle w:val="BodyText"/>
        <w:spacing w:before="2"/>
        <w:rPr>
          <w:b/>
          <w:sz w:val="64"/>
        </w:rPr>
      </w:pPr>
    </w:p>
    <w:p>
      <w:pPr>
        <w:pStyle w:val="Heading3"/>
        <w:tabs>
          <w:tab w:val="left" w:pos="1546"/>
        </w:tabs>
        <w:spacing w:before="1" w:line="415" w:lineRule="auto"/>
        <w:ind w:right="9632"/>
      </w:pPr>
      <w:r>
        <w:rPr>
          <w:position w:val="5"/>
          <w:sz w:val="29"/>
        </w:rPr>
        <w:t>一、</w:t>
        <w:tab/>
      </w:r>
      <w:r>
        <w:rPr>
          <w:w w:val="95"/>
        </w:rPr>
        <w:t>施工组织设计编制说明与依</w:t>
      </w:r>
      <w:r>
        <w:rPr>
          <w:spacing w:val="-19"/>
          <w:w w:val="95"/>
        </w:rPr>
        <w:t xml:space="preserve">据 </w:t>
      </w:r>
      <w:r>
        <w:rPr>
          <w:spacing w:val="3"/>
        </w:rPr>
        <w:t>(</w:t>
      </w:r>
      <w:r>
        <w:t>一)</w:t>
      </w:r>
      <w:r>
        <w:rPr>
          <w:spacing w:val="1"/>
        </w:rPr>
        <w:t xml:space="preserve"> </w:t>
      </w:r>
      <w:r>
        <w:t>编制说明</w:t>
      </w:r>
    </w:p>
    <w:p>
      <w:pPr>
        <w:spacing w:before="0" w:line="367" w:lineRule="exact"/>
        <w:ind w:left="700" w:right="0" w:firstLine="0"/>
        <w:jc w:val="left"/>
        <w:rPr>
          <w:b/>
          <w:sz w:val="36"/>
        </w:rPr>
      </w:pPr>
      <w:r>
        <w:rPr>
          <w:b/>
          <w:spacing w:val="-3"/>
          <w:sz w:val="36"/>
        </w:rPr>
        <w:t>(二) 编制依据</w:t>
      </w:r>
    </w:p>
    <w:p>
      <w:pPr>
        <w:pStyle w:val="Heading3"/>
        <w:spacing w:before="240" w:line="364" w:lineRule="auto"/>
        <w:ind w:right="12809"/>
      </w:pPr>
      <w:r>
        <w:t>二、工程概况</w:t>
      </w:r>
      <w:r>
        <w:rPr>
          <w:spacing w:val="-4"/>
        </w:rPr>
        <w:t>(一) 工程简介</w:t>
      </w:r>
      <w:r>
        <w:rPr>
          <w:spacing w:val="-5"/>
        </w:rPr>
        <w:t>(二) 工期计划</w:t>
      </w:r>
    </w:p>
    <w:p>
      <w:pPr>
        <w:spacing w:before="4"/>
        <w:ind w:left="700" w:right="0" w:firstLine="0"/>
        <w:jc w:val="left"/>
        <w:rPr>
          <w:b/>
          <w:sz w:val="36"/>
        </w:rPr>
      </w:pPr>
      <w:r>
        <w:rPr>
          <w:b/>
          <w:sz w:val="36"/>
        </w:rPr>
        <w:t>三、施工组织机构</w:t>
      </w:r>
    </w:p>
    <w:p>
      <w:pPr>
        <w:pStyle w:val="Heading3"/>
        <w:spacing w:before="241" w:line="364" w:lineRule="auto"/>
        <w:ind w:right="8316"/>
      </w:pPr>
      <w:r>
        <w:rPr>
          <w:spacing w:val="-1"/>
          <w:w w:val="95"/>
        </w:rPr>
        <w:t xml:space="preserve">四、主要分部分项工程施工方案及技术措施 </w:t>
      </w:r>
      <w:r>
        <w:t>(一) 定位放线</w:t>
      </w:r>
    </w:p>
    <w:p>
      <w:pPr>
        <w:spacing w:before="1" w:line="364" w:lineRule="auto"/>
        <w:ind w:left="700" w:right="12768" w:firstLine="0"/>
        <w:jc w:val="left"/>
        <w:rPr>
          <w:b/>
          <w:sz w:val="36"/>
        </w:rPr>
      </w:pPr>
      <w:r>
        <w:rPr>
          <w:b/>
          <w:sz w:val="36"/>
        </w:rPr>
        <w:t>(二) 土方开挖(三) 验槽</w:t>
      </w:r>
    </w:p>
    <w:p>
      <w:pPr>
        <w:pStyle w:val="Heading3"/>
        <w:spacing w:line="364" w:lineRule="auto"/>
        <w:ind w:right="12047"/>
      </w:pPr>
      <w:r>
        <w:t>(四) 素混凝土垫层(五) 钢筋工程</w:t>
      </w:r>
    </w:p>
    <w:p>
      <w:pPr>
        <w:spacing w:before="3" w:line="364" w:lineRule="auto"/>
        <w:ind w:left="700" w:right="12449" w:firstLine="0"/>
        <w:jc w:val="left"/>
        <w:rPr>
          <w:b/>
          <w:sz w:val="36"/>
        </w:rPr>
      </w:pPr>
      <w:r>
        <w:rPr>
          <w:b/>
          <w:spacing w:val="21"/>
          <w:sz w:val="36"/>
        </w:rPr>
        <w:t xml:space="preserve">(六) 模版工程 </w:t>
      </w:r>
      <w:r>
        <w:rPr>
          <w:b/>
          <w:spacing w:val="-5"/>
          <w:sz w:val="36"/>
        </w:rPr>
        <w:t>(七) 混凝土工程</w:t>
      </w:r>
    </w:p>
    <w:p>
      <w:pPr>
        <w:pStyle w:val="Heading3"/>
        <w:spacing w:before="1"/>
      </w:pPr>
      <w:r>
        <w:t>(八) 砖砌体砌筑工程</w:t>
      </w:r>
    </w:p>
    <w:p>
      <w:pPr>
        <w:spacing w:before="241" w:line="364" w:lineRule="auto"/>
        <w:ind w:left="700" w:right="9161" w:firstLine="0"/>
        <w:jc w:val="left"/>
        <w:rPr>
          <w:b/>
          <w:sz w:val="36"/>
        </w:rPr>
      </w:pPr>
      <w:r>
        <w:rPr>
          <w:b/>
          <w:sz w:val="36"/>
        </w:rPr>
        <w:t>(九) 铝合金龙骨条形板吊顶施工工艺(十) 涂料施工工艺</w:t>
      </w:r>
    </w:p>
    <w:p>
      <w:pPr>
        <w:pStyle w:val="Heading3"/>
      </w:pPr>
      <w:r>
        <w:t>(十一) 地砖、瓷砖饰面工程</w:t>
      </w:r>
    </w:p>
    <w:p>
      <w:pPr>
        <w:spacing w:before="241" w:line="364" w:lineRule="auto"/>
        <w:ind w:left="700" w:right="9756" w:firstLine="0"/>
        <w:jc w:val="left"/>
        <w:rPr>
          <w:b/>
          <w:sz w:val="36"/>
        </w:rPr>
      </w:pPr>
      <w:r>
        <w:rPr>
          <w:b/>
          <w:spacing w:val="-2"/>
          <w:w w:val="95"/>
          <w:sz w:val="36"/>
        </w:rPr>
        <w:t xml:space="preserve">五、确保工程质量的技术组织措施 </w:t>
      </w:r>
      <w:r>
        <w:rPr>
          <w:b/>
          <w:sz w:val="36"/>
        </w:rPr>
        <w:t>(一) 质量保证体系</w:t>
      </w:r>
    </w:p>
    <w:p>
      <w:pPr>
        <w:pStyle w:val="Heading3"/>
        <w:spacing w:line="364" w:lineRule="auto"/>
        <w:ind w:right="12089"/>
        <w:jc w:val="both"/>
      </w:pPr>
      <w:r>
        <w:rPr>
          <w:spacing w:val="-5"/>
        </w:rPr>
        <w:t>(二) 质量保证措施(三) 技术质量措施(四) 质量管理措施</w:t>
      </w:r>
    </w:p>
    <w:p>
      <w:pPr>
        <w:spacing w:before="3"/>
        <w:ind w:left="700" w:right="0" w:firstLine="0"/>
        <w:jc w:val="both"/>
        <w:rPr>
          <w:b/>
          <w:sz w:val="36"/>
        </w:rPr>
      </w:pPr>
      <w:r>
        <w:rPr>
          <w:b/>
          <w:sz w:val="36"/>
        </w:rPr>
        <w:t>(五) 消除质量通病措施</w:t>
      </w:r>
    </w:p>
    <w:p>
      <w:pPr>
        <w:pStyle w:val="Heading3"/>
        <w:spacing w:before="241" w:line="364" w:lineRule="auto"/>
        <w:ind w:right="9569"/>
        <w:jc w:val="both"/>
      </w:pPr>
      <w:r>
        <w:t>六、确保安全生产的技术组织措施</w:t>
      </w:r>
      <w:r>
        <w:rPr>
          <w:spacing w:val="-5"/>
        </w:rPr>
        <w:t>(一) 建立和完善项目安全管理体制</w:t>
      </w:r>
    </w:p>
    <w:p>
      <w:pPr>
        <w:spacing w:after="0" w:line="364" w:lineRule="auto"/>
        <w:jc w:val="both"/>
        <w:sectPr>
          <w:headerReference w:type="default" r:id="rId9"/>
          <w:footerReference w:type="default" r:id="rId10"/>
          <w:pgSz w:w="17860" w:h="25260"/>
          <w:pgMar w:top="1400" w:right="0" w:bottom="2020" w:left="2000" w:header="1054" w:footer="1831"/>
          <w:pgNumType w:start="2"/>
          <w:cols w:space="708"/>
        </w:sectPr>
      </w:pPr>
    </w:p>
    <w:p>
      <w:pPr>
        <w:pStyle w:val="BodyText"/>
        <w:rPr>
          <w:b/>
          <w:sz w:val="20"/>
        </w:rPr>
      </w:pPr>
    </w:p>
    <w:p>
      <w:pPr>
        <w:pStyle w:val="BodyText"/>
        <w:spacing w:before="11"/>
        <w:rPr>
          <w:b/>
          <w:sz w:val="20"/>
        </w:rPr>
      </w:pPr>
    </w:p>
    <w:p>
      <w:pPr>
        <w:spacing w:before="49" w:line="364" w:lineRule="auto"/>
        <w:ind w:left="700" w:right="11326" w:firstLine="0"/>
        <w:jc w:val="left"/>
        <w:rPr>
          <w:b/>
          <w:sz w:val="36"/>
        </w:rPr>
      </w:pPr>
      <w:r>
        <w:rPr>
          <w:b/>
          <w:sz w:val="36"/>
        </w:rPr>
        <w:t>(二) 建立安全生产档案(三) 制定安全技术措施</w:t>
      </w:r>
    </w:p>
    <w:p>
      <w:pPr>
        <w:pStyle w:val="Heading3"/>
        <w:spacing w:before="3" w:line="364" w:lineRule="auto"/>
        <w:ind w:right="9756"/>
      </w:pPr>
      <w:r>
        <w:rPr>
          <w:spacing w:val="-2"/>
          <w:w w:val="95"/>
        </w:rPr>
        <w:t xml:space="preserve">七、确保文明施工的技术组织措施 </w:t>
      </w:r>
      <w:r>
        <w:rPr>
          <w:spacing w:val="-1"/>
        </w:rPr>
        <w:t>(一) 现场文明施工管理细则</w:t>
      </w:r>
    </w:p>
    <w:p>
      <w:pPr>
        <w:spacing w:before="2" w:line="364" w:lineRule="auto"/>
        <w:ind w:left="700" w:right="10604" w:firstLine="0"/>
        <w:jc w:val="left"/>
        <w:rPr>
          <w:b/>
          <w:sz w:val="36"/>
        </w:rPr>
      </w:pPr>
      <w:r>
        <w:rPr>
          <w:b/>
          <w:sz w:val="36"/>
        </w:rPr>
        <w:t>(二) 文明施工具体管理措施(三) 文明施工检查措施</w:t>
      </w:r>
    </w:p>
    <w:p>
      <w:pPr>
        <w:pStyle w:val="Heading3"/>
        <w:spacing w:before="1" w:line="364" w:lineRule="auto"/>
        <w:ind w:right="10476"/>
      </w:pPr>
      <w:r>
        <w:rPr>
          <w:spacing w:val="-2"/>
          <w:w w:val="95"/>
        </w:rPr>
        <w:t xml:space="preserve">八、确保工期的技术组织措施 </w:t>
      </w:r>
      <w:r>
        <w:rPr>
          <w:spacing w:val="-1"/>
        </w:rPr>
        <w:t>(一) 施工进度计划总目标</w:t>
      </w:r>
    </w:p>
    <w:p>
      <w:pPr>
        <w:spacing w:before="3" w:line="364" w:lineRule="auto"/>
        <w:ind w:left="700" w:right="10604" w:firstLine="0"/>
        <w:jc w:val="left"/>
        <w:rPr>
          <w:b/>
          <w:sz w:val="36"/>
        </w:rPr>
      </w:pPr>
      <w:r>
        <w:rPr>
          <w:b/>
          <w:sz w:val="36"/>
        </w:rPr>
        <w:t>(二) 工程施工顺序安排原则(三) 进度措施</w:t>
      </w:r>
    </w:p>
    <w:p>
      <w:pPr>
        <w:pStyle w:val="Heading3"/>
        <w:spacing w:line="364" w:lineRule="auto"/>
        <w:ind w:right="11916"/>
      </w:pPr>
      <w:r>
        <w:rPr>
          <w:spacing w:val="-2"/>
        </w:rPr>
        <w:t>九、必要的其他措施(一) 雨季施工措施</w:t>
      </w:r>
    </w:p>
    <w:p>
      <w:pPr>
        <w:spacing w:before="2" w:line="364" w:lineRule="auto"/>
        <w:ind w:left="700" w:right="11009" w:firstLine="0"/>
        <w:jc w:val="left"/>
        <w:rPr>
          <w:b/>
          <w:sz w:val="36"/>
        </w:rPr>
      </w:pPr>
      <w:r>
        <w:rPr>
          <w:b/>
          <w:spacing w:val="-5"/>
          <w:sz w:val="36"/>
        </w:rPr>
        <w:t>(二) 高温天气的施工措施</w:t>
      </w:r>
      <w:r>
        <w:rPr>
          <w:b/>
          <w:sz w:val="36"/>
        </w:rPr>
        <w:t>(三) 环境保护措施</w:t>
      </w:r>
    </w:p>
    <w:p>
      <w:pPr>
        <w:pStyle w:val="Heading3"/>
        <w:spacing w:before="1" w:line="364" w:lineRule="auto"/>
        <w:ind w:right="8083"/>
      </w:pPr>
      <w:r>
        <w:t>(四) 减少扰民、降低环境污染和噪声的措施(五) 现场保卫、消防及预防意外伤害措施</w:t>
      </w:r>
    </w:p>
    <w:p>
      <w:pPr>
        <w:spacing w:before="27"/>
        <w:ind w:left="700" w:right="0" w:firstLine="0"/>
        <w:jc w:val="left"/>
        <w:rPr>
          <w:b/>
          <w:sz w:val="42"/>
        </w:rPr>
      </w:pPr>
      <w:r>
        <w:rPr>
          <w:b/>
          <w:position w:val="-4"/>
          <w:sz w:val="36"/>
        </w:rPr>
        <w:t xml:space="preserve">附表1 </w:t>
      </w:r>
      <w:r>
        <w:rPr>
          <w:b/>
          <w:sz w:val="42"/>
        </w:rPr>
        <w:t>拟投入本工程的的主要施工机械表</w:t>
      </w:r>
    </w:p>
    <w:p>
      <w:pPr>
        <w:pStyle w:val="Heading3"/>
        <w:spacing w:before="341"/>
      </w:pPr>
      <w:r>
        <w:t>附表 2 劳动力计划表</w:t>
      </w:r>
    </w:p>
    <w:p>
      <w:pPr>
        <w:spacing w:before="264"/>
        <w:ind w:left="700" w:right="0" w:firstLine="0"/>
        <w:jc w:val="left"/>
        <w:rPr>
          <w:b/>
          <w:sz w:val="42"/>
        </w:rPr>
      </w:pPr>
      <w:r>
        <w:rPr>
          <w:b/>
          <w:position w:val="-4"/>
          <w:sz w:val="36"/>
        </w:rPr>
        <w:t xml:space="preserve">附表3 </w:t>
      </w:r>
      <w:r>
        <w:rPr>
          <w:b/>
          <w:sz w:val="42"/>
        </w:rPr>
        <w:t>施工总平面图及临时用地表</w:t>
      </w:r>
    </w:p>
    <w:p>
      <w:pPr>
        <w:spacing w:before="365"/>
        <w:ind w:left="700" w:right="0" w:firstLine="0"/>
        <w:jc w:val="left"/>
        <w:rPr>
          <w:b/>
          <w:sz w:val="42"/>
        </w:rPr>
      </w:pPr>
      <w:r>
        <w:rPr>
          <w:b/>
          <w:position w:val="-4"/>
          <w:sz w:val="36"/>
        </w:rPr>
        <w:t>附表4</w:t>
      </w:r>
      <w:r>
        <w:rPr>
          <w:b/>
          <w:sz w:val="42"/>
        </w:rPr>
        <w:t>工期横道图</w:t>
      </w:r>
    </w:p>
    <w:p>
      <w:pPr>
        <w:spacing w:after="0"/>
        <w:jc w:val="left"/>
        <w:rPr>
          <w:sz w:val="42"/>
        </w:rPr>
        <w:sectPr>
          <w:headerReference w:type="default" r:id="rId11"/>
          <w:footerReference w:type="default" r:id="rId12"/>
          <w:pgSz w:w="17860" w:h="25260"/>
          <w:pgMar w:top="1400" w:right="0" w:bottom="2020" w:left="2000" w:header="1054" w:footer="1831"/>
          <w:pgNumType w:start="3"/>
          <w:cols w:space="708"/>
        </w:sectPr>
      </w:pPr>
    </w:p>
    <w:p>
      <w:pPr>
        <w:pStyle w:val="BodyText"/>
        <w:rPr>
          <w:b/>
          <w:sz w:val="20"/>
        </w:rPr>
      </w:pPr>
    </w:p>
    <w:p>
      <w:pPr>
        <w:pStyle w:val="BodyText"/>
        <w:spacing w:before="11"/>
        <w:rPr>
          <w:b/>
          <w:sz w:val="20"/>
        </w:rPr>
      </w:pPr>
    </w:p>
    <w:p>
      <w:pPr>
        <w:pStyle w:val="Heading3"/>
        <w:spacing w:before="49" w:line="364" w:lineRule="auto"/>
        <w:ind w:right="9756"/>
      </w:pPr>
      <w:r>
        <w:rPr>
          <w:spacing w:val="-2"/>
          <w:w w:val="95"/>
        </w:rPr>
        <w:t xml:space="preserve">一、施工组织设计编制说明与依据 </w:t>
      </w:r>
      <w:r>
        <w:t>(一) 编制说明</w:t>
      </w:r>
    </w:p>
    <w:p>
      <w:pPr>
        <w:pStyle w:val="BodyText"/>
        <w:spacing w:line="345" w:lineRule="exact"/>
        <w:ind w:left="1420"/>
      </w:pPr>
      <w:r>
        <w:t>根据新郑市城市管理行政执法局城区新建垃圾中转站和公厕项目</w:t>
      </w:r>
    </w:p>
    <w:p>
      <w:pPr>
        <w:pStyle w:val="BodyText"/>
        <w:spacing w:before="126" w:line="364" w:lineRule="auto"/>
        <w:ind w:left="700" w:right="2702" w:firstLine="719"/>
      </w:pPr>
      <w:r>
        <w:rPr>
          <w:spacing w:val="-10"/>
        </w:rPr>
        <w:t>工程施工的招标文件及图纸，结合我公司的施工经验及技术设备条件，编制</w:t>
      </w:r>
      <w:r>
        <w:t>本工程施工组织设计，本设计主要阐述了施工组织、施工进度，以保证工期、质量。安全文明施工的具体措施。</w:t>
      </w:r>
    </w:p>
    <w:p>
      <w:pPr>
        <w:pStyle w:val="Heading3"/>
        <w:spacing w:before="3"/>
      </w:pPr>
      <w:r>
        <w:t>(二) 编制依据</w:t>
      </w:r>
    </w:p>
    <w:p>
      <w:pPr>
        <w:pStyle w:val="BodyText"/>
        <w:spacing w:before="122" w:line="304" w:lineRule="auto"/>
        <w:ind w:left="700" w:right="3818" w:firstLine="719"/>
      </w:pPr>
      <w:r>
        <w:t>1、根据新郑市城市管理行政执法局城区新建垃圾中转站和公厕项目工程施工的招标文件及图纸</w:t>
      </w:r>
    </w:p>
    <w:p>
      <w:pPr>
        <w:pStyle w:val="BodyText"/>
        <w:spacing w:before="118" w:line="364" w:lineRule="auto"/>
        <w:ind w:left="700" w:right="5256"/>
      </w:pPr>
      <w:r>
        <w:t>2、依据设计文件的要求，本工程的材料、设备达到以下国家和行业现行的施工及验收规范。</w:t>
      </w:r>
    </w:p>
    <w:p>
      <w:pPr>
        <w:pStyle w:val="BodyText"/>
        <w:spacing w:before="1"/>
        <w:ind w:left="700"/>
      </w:pPr>
      <w:r>
        <w:t>《建筑地基处理技术规范》(JGJ79-91 )</w:t>
      </w:r>
    </w:p>
    <w:p>
      <w:pPr>
        <w:pStyle w:val="BodyText"/>
        <w:spacing w:before="241"/>
        <w:ind w:left="700"/>
      </w:pPr>
      <w:r>
        <w:t>《建筑地基基础施工质量验收规范》(GBJ50202-2002)</w:t>
      </w:r>
    </w:p>
    <w:p>
      <w:pPr>
        <w:pStyle w:val="BodyText"/>
        <w:spacing w:before="241"/>
        <w:ind w:left="700"/>
      </w:pPr>
      <w:r>
        <w:t>《混凝土结构工程施工质量验收规范》(GB50204-2015)</w:t>
      </w:r>
    </w:p>
    <w:p>
      <w:pPr>
        <w:pStyle w:val="BodyText"/>
        <w:spacing w:before="241"/>
        <w:ind w:left="700"/>
      </w:pPr>
      <w:r>
        <w:t>《屋面工程施工质量验收规范》(GB50207-2012)</w:t>
      </w:r>
    </w:p>
    <w:p>
      <w:pPr>
        <w:pStyle w:val="BodyText"/>
        <w:spacing w:before="240"/>
        <w:ind w:left="700"/>
      </w:pPr>
      <w:r>
        <w:t>《建筑地面工程施工质量验收规范》(GB50209-2010)</w:t>
      </w:r>
    </w:p>
    <w:p>
      <w:pPr>
        <w:pStyle w:val="BodyText"/>
        <w:spacing w:before="242"/>
        <w:ind w:left="700"/>
      </w:pPr>
      <w:r>
        <w:t>《钢筋焊接接头试验方法标准》(JBJ\T127-2001)</w:t>
      </w:r>
    </w:p>
    <w:p>
      <w:pPr>
        <w:pStyle w:val="BodyText"/>
        <w:spacing w:before="241"/>
        <w:ind w:left="700"/>
      </w:pPr>
      <w:r>
        <w:t>《混凝土质量控制标准》(GB50164-92)</w:t>
      </w:r>
    </w:p>
    <w:p>
      <w:pPr>
        <w:pStyle w:val="BodyText"/>
        <w:spacing w:before="240"/>
        <w:ind w:left="700"/>
      </w:pPr>
      <w:r>
        <w:t>《建筑工程施工质量验收统一标准》(GB50300-2001)</w:t>
      </w:r>
    </w:p>
    <w:p>
      <w:pPr>
        <w:pStyle w:val="BodyText"/>
        <w:spacing w:before="241"/>
        <w:ind w:left="700"/>
      </w:pPr>
      <w:r>
        <w:t>《建筑工程质量检验评定标准》</w:t>
      </w:r>
    </w:p>
    <w:p>
      <w:pPr>
        <w:pStyle w:val="BodyText"/>
        <w:spacing w:before="241"/>
        <w:ind w:left="700"/>
      </w:pPr>
      <w:r>
        <w:t>《建筑工程抗震设防分类标准》(GB50223-2004)</w:t>
      </w:r>
    </w:p>
    <w:p>
      <w:pPr>
        <w:pStyle w:val="BodyText"/>
        <w:spacing w:before="241"/>
        <w:ind w:left="700"/>
      </w:pPr>
      <w:r>
        <w:t>《建筑设计防火规范》</w:t>
      </w:r>
    </w:p>
    <w:p>
      <w:pPr>
        <w:pStyle w:val="BodyText"/>
        <w:spacing w:before="240"/>
        <w:ind w:left="700"/>
      </w:pPr>
      <w:r>
        <w:t>《建筑施工检查办法》(JGJ95-99)</w:t>
      </w:r>
    </w:p>
    <w:p>
      <w:pPr>
        <w:pStyle w:val="BodyText"/>
        <w:spacing w:before="241"/>
        <w:ind w:left="700"/>
      </w:pPr>
      <w:r>
        <w:t>《建筑机械使用安全技术规程》(JGJ32-2001)</w:t>
      </w:r>
    </w:p>
    <w:p>
      <w:pPr>
        <w:pStyle w:val="BodyText"/>
        <w:spacing w:before="242" w:line="364" w:lineRule="auto"/>
        <w:ind w:left="700" w:right="7597"/>
      </w:pPr>
      <w:r>
        <w:t>《施工现场临时用电案前技术规程》(JGJ46-88) 有关建筑设计的其它规范及规定。</w:t>
      </w:r>
    </w:p>
    <w:p>
      <w:pPr>
        <w:pStyle w:val="BodyText"/>
        <w:spacing w:before="2" w:line="364" w:lineRule="auto"/>
        <w:ind w:left="700" w:right="5796"/>
      </w:pPr>
      <w:r>
        <w:t>《采暖与卫生工程施工及验收规范及建筑给排水及采暖工程施工质量验收规范》(GB50242-2002)</w:t>
      </w:r>
    </w:p>
    <w:p>
      <w:pPr>
        <w:pStyle w:val="BodyText"/>
        <w:spacing w:before="1"/>
        <w:ind w:left="700"/>
      </w:pPr>
      <w:r>
        <w:t>《建筑电气安装工程质量检验评定标准》(GB50303-2002)</w:t>
      </w:r>
    </w:p>
    <w:p>
      <w:pPr>
        <w:spacing w:after="0"/>
        <w:sectPr>
          <w:headerReference w:type="default" r:id="rId13"/>
          <w:footerReference w:type="default" r:id="rId14"/>
          <w:pgSz w:w="17860" w:h="25260"/>
          <w:pgMar w:top="1400" w:right="0" w:bottom="2020" w:left="2000" w:header="1054" w:footer="1831"/>
          <w:pgNumType w:start="4"/>
          <w:cols w:space="708"/>
        </w:sectPr>
      </w:pPr>
    </w:p>
    <w:p>
      <w:pPr>
        <w:pStyle w:val="BodyText"/>
        <w:rPr>
          <w:sz w:val="20"/>
        </w:rPr>
      </w:pPr>
    </w:p>
    <w:p>
      <w:pPr>
        <w:pStyle w:val="BodyText"/>
        <w:spacing w:before="11"/>
        <w:rPr>
          <w:sz w:val="20"/>
        </w:rPr>
      </w:pPr>
    </w:p>
    <w:p>
      <w:pPr>
        <w:pStyle w:val="Heading3"/>
        <w:spacing w:before="49" w:line="364" w:lineRule="auto"/>
        <w:ind w:right="12809"/>
      </w:pPr>
      <w:r>
        <w:t>二、工程概况(一) 工程简介</w:t>
      </w:r>
    </w:p>
    <w:p>
      <w:pPr>
        <w:pStyle w:val="BodyText"/>
        <w:spacing w:line="345" w:lineRule="exact"/>
        <w:ind w:left="1420"/>
      </w:pPr>
      <w:r>
        <w:t>工程名称： 新郑市城市管理行政执法局城区新建垃圾中转站和公厕项目</w:t>
      </w:r>
    </w:p>
    <w:p>
      <w:pPr>
        <w:pStyle w:val="BodyText"/>
        <w:spacing w:before="126"/>
        <w:ind w:left="1398"/>
      </w:pPr>
      <w:r>
        <w:t>子工程名称：一：子产路公厕</w:t>
      </w:r>
    </w:p>
    <w:p>
      <w:pPr>
        <w:pStyle w:val="BodyText"/>
        <w:spacing w:before="241" w:line="364" w:lineRule="auto"/>
        <w:ind w:left="3559" w:right="6898"/>
      </w:pPr>
      <w:r>
        <w:rPr>
          <w:spacing w:val="-2"/>
        </w:rPr>
        <w:t>二：宏基小区垃圾中转站连体公厕</w:t>
      </w:r>
      <w:r>
        <w:t>三；人民路与神州路公厕</w:t>
      </w:r>
    </w:p>
    <w:p>
      <w:pPr>
        <w:pStyle w:val="BodyText"/>
        <w:spacing w:before="2" w:line="364" w:lineRule="auto"/>
        <w:ind w:left="3559" w:right="7258"/>
      </w:pPr>
      <w:r>
        <w:rPr>
          <w:spacing w:val="-2"/>
        </w:rPr>
        <w:t>四：黄水路垃圾中转站连体公厕</w:t>
      </w:r>
      <w:r>
        <w:t>五：解放路与学院路公厕</w:t>
      </w:r>
    </w:p>
    <w:p>
      <w:pPr>
        <w:pStyle w:val="BodyText"/>
        <w:spacing w:before="2" w:line="364" w:lineRule="auto"/>
        <w:ind w:left="700" w:right="2698" w:firstLine="698"/>
      </w:pPr>
      <w:r>
        <w:rPr>
          <w:spacing w:val="-17"/>
        </w:rPr>
        <w:t xml:space="preserve">宏基小区垃圾中转站连体公厕、黄水路垃圾中转站连体公厕；建筑结构类型: </w:t>
      </w:r>
      <w:r>
        <w:rPr>
          <w:spacing w:val="-5"/>
        </w:rPr>
        <w:t xml:space="preserve">框架结构，建筑层数:地上三层，层高 </w:t>
      </w:r>
      <w:r>
        <w:t>13.60</w:t>
      </w:r>
      <w:r>
        <w:rPr>
          <w:spacing w:val="-22"/>
        </w:rPr>
        <w:t xml:space="preserve"> 米，建筑面积为 </w:t>
      </w:r>
      <w:r>
        <w:t>519.00</w:t>
      </w:r>
      <w:r>
        <w:rPr>
          <w:spacing w:val="-19"/>
        </w:rPr>
        <w:t xml:space="preserve"> 平方米。</w:t>
      </w:r>
    </w:p>
    <w:p>
      <w:pPr>
        <w:pStyle w:val="BodyText"/>
        <w:spacing w:before="2" w:line="364" w:lineRule="auto"/>
        <w:ind w:left="700" w:right="2696" w:firstLine="698"/>
      </w:pPr>
      <w:r>
        <w:rPr>
          <w:spacing w:val="-6"/>
        </w:rPr>
        <w:t xml:space="preserve">子产路公厕、人民路与神州路公厕、解放路与学院路公厕 ；建筑结构类型: </w:t>
      </w:r>
      <w:r>
        <w:rPr>
          <w:spacing w:val="-5"/>
        </w:rPr>
        <w:t xml:space="preserve">砌体结构，建筑层数:地上一层，层高 </w:t>
      </w:r>
      <w:r>
        <w:t>3.60</w:t>
      </w:r>
      <w:r>
        <w:rPr>
          <w:spacing w:val="-22"/>
        </w:rPr>
        <w:t xml:space="preserve"> 米，建筑面积为 </w:t>
      </w:r>
      <w:r>
        <w:t>102.90</w:t>
      </w:r>
      <w:r>
        <w:rPr>
          <w:spacing w:val="-23"/>
        </w:rPr>
        <w:t xml:space="preserve"> 平方米</w:t>
      </w:r>
    </w:p>
    <w:p>
      <w:pPr>
        <w:pStyle w:val="BodyText"/>
        <w:spacing w:before="2" w:line="364" w:lineRule="auto"/>
        <w:ind w:left="700" w:right="2656" w:firstLine="698"/>
      </w:pPr>
      <w:r>
        <w:rPr>
          <w:spacing w:val="2"/>
        </w:rPr>
        <w:t>结构抗震设防类别为丙类，主体结构设计使用年限</w:t>
      </w:r>
      <w:r>
        <w:t>50</w:t>
      </w:r>
      <w:r>
        <w:rPr>
          <w:spacing w:val="-104"/>
        </w:rPr>
        <w:t xml:space="preserve"> 年，</w:t>
      </w:r>
      <w:r>
        <w:t>（普通建筑）</w:t>
      </w:r>
      <w:r>
        <w:rPr>
          <w:spacing w:val="-8"/>
        </w:rPr>
        <w:t>抗震</w:t>
      </w:r>
      <w:r>
        <w:t>设烈度；7</w:t>
      </w:r>
      <w:r>
        <w:rPr>
          <w:spacing w:val="-11"/>
        </w:rPr>
        <w:t xml:space="preserve"> 度。工程等级三级，耐火等级二级，屋面防水等级一级。</w:t>
      </w:r>
    </w:p>
    <w:p>
      <w:pPr>
        <w:pStyle w:val="Heading3"/>
      </w:pPr>
      <w:r>
        <w:t>(二) 工期计划</w:t>
      </w:r>
    </w:p>
    <w:p>
      <w:pPr>
        <w:pStyle w:val="BodyText"/>
        <w:tabs>
          <w:tab w:val="left" w:pos="4841"/>
        </w:tabs>
        <w:spacing w:before="240"/>
        <w:ind w:left="1420"/>
      </w:pPr>
      <w:r>
        <w:t>本工程计划工期为</w:t>
        <w:tab/>
        <w:t>天，工程质量为合格。</w:t>
      </w:r>
    </w:p>
    <w:p>
      <w:pPr>
        <w:pStyle w:val="BodyText"/>
      </w:pPr>
    </w:p>
    <w:p>
      <w:pPr>
        <w:pStyle w:val="BodyText"/>
        <w:spacing w:before="8"/>
        <w:rPr>
          <w:sz w:val="37"/>
        </w:rPr>
      </w:pPr>
    </w:p>
    <w:p>
      <w:pPr>
        <w:pStyle w:val="Heading3"/>
        <w:spacing w:before="0"/>
      </w:pPr>
      <w:r>
        <w:t>三、施工组织机构</w:t>
      </w:r>
    </w:p>
    <w:p>
      <w:pPr>
        <w:pStyle w:val="BodyText"/>
        <w:spacing w:before="241" w:line="364" w:lineRule="auto"/>
        <w:ind w:left="700" w:right="2556" w:firstLine="719"/>
        <w:jc w:val="both"/>
      </w:pPr>
      <w:r>
        <w:rPr>
          <w:spacing w:val="-1"/>
        </w:rPr>
        <w:t>我公司以“质量第一、开拓进取、诚信守诺、争创一流”为宗旨，发扬艰苦奋斗，开拓创新的企业精神，以图纸和合同为依据，以工程项目为中心，建立有</w:t>
      </w:r>
      <w:r>
        <w:t>效的管理体系。</w:t>
      </w:r>
    </w:p>
    <w:p>
      <w:pPr>
        <w:pStyle w:val="BodyText"/>
        <w:spacing w:before="3"/>
        <w:ind w:left="700"/>
      </w:pPr>
      <w:r>
        <w:t>1、项目领导部</w:t>
      </w:r>
    </w:p>
    <w:p>
      <w:pPr>
        <w:pStyle w:val="BodyText"/>
        <w:spacing w:before="240" w:line="364" w:lineRule="auto"/>
        <w:ind w:left="700" w:right="4356" w:firstLine="719"/>
      </w:pPr>
      <w:r>
        <w:t xml:space="preserve">由项目经理、技术负责人组成，项目经理是企业法人在本工程 </w:t>
      </w:r>
      <w:r>
        <w:rPr>
          <w:spacing w:val="-1"/>
        </w:rPr>
        <w:t>上的代表，具有人事、行政、工程成本控制、施工管理、技术决策、</w:t>
      </w:r>
      <w:r>
        <w:t>设备租赁的权利，对工程质量、进度、生产安全负责。</w:t>
      </w:r>
    </w:p>
    <w:p>
      <w:pPr>
        <w:pStyle w:val="ListParagraph"/>
        <w:numPr>
          <w:ilvl w:val="0"/>
          <w:numId w:val="21"/>
        </w:numPr>
        <w:tabs>
          <w:tab w:val="left" w:pos="2141"/>
        </w:tabs>
        <w:spacing w:before="4" w:after="0" w:line="364" w:lineRule="auto"/>
        <w:ind w:left="700" w:right="5078" w:firstLine="720"/>
        <w:jc w:val="left"/>
        <w:rPr>
          <w:sz w:val="36"/>
        </w:rPr>
      </w:pPr>
      <w:r>
        <w:rPr>
          <w:spacing w:val="-1"/>
          <w:sz w:val="36"/>
        </w:rPr>
        <w:t>项目经理是工程的总负责人，负责对外联系及质量、安</w:t>
      </w:r>
      <w:r>
        <w:rPr>
          <w:sz w:val="36"/>
        </w:rPr>
        <w:t>全、文明施工工作。</w:t>
      </w:r>
    </w:p>
    <w:p>
      <w:pPr>
        <w:pStyle w:val="ListParagraph"/>
        <w:numPr>
          <w:ilvl w:val="0"/>
          <w:numId w:val="21"/>
        </w:numPr>
        <w:tabs>
          <w:tab w:val="left" w:pos="2141"/>
        </w:tabs>
        <w:spacing w:before="2" w:after="0" w:line="364" w:lineRule="auto"/>
        <w:ind w:left="700" w:right="5078" w:firstLine="720"/>
        <w:jc w:val="left"/>
        <w:rPr>
          <w:sz w:val="36"/>
        </w:rPr>
      </w:pPr>
      <w:r>
        <w:rPr>
          <w:spacing w:val="-1"/>
          <w:sz w:val="36"/>
        </w:rPr>
        <w:t>项目技术负责人负责技术准备、图纸会审、技术问题处</w:t>
      </w:r>
      <w:r>
        <w:rPr>
          <w:sz w:val="36"/>
        </w:rPr>
        <w:t>理、技术攻关、内业资料、技术签证等工作。</w:t>
      </w:r>
    </w:p>
    <w:p>
      <w:pPr>
        <w:pStyle w:val="BodyText"/>
        <w:spacing w:before="2"/>
        <w:ind w:left="700"/>
      </w:pPr>
      <w:r>
        <w:t>2、项目管理部</w:t>
      </w:r>
    </w:p>
    <w:p>
      <w:pPr>
        <w:spacing w:after="0"/>
        <w:sectPr>
          <w:headerReference w:type="default" r:id="rId15"/>
          <w:footerReference w:type="default" r:id="rId16"/>
          <w:pgSz w:w="17860" w:h="25260"/>
          <w:pgMar w:top="1400" w:right="0" w:bottom="2020" w:left="2000" w:header="1054" w:footer="1831"/>
          <w:pgNumType w:start="5"/>
          <w:cols w:space="708"/>
        </w:sectPr>
      </w:pPr>
    </w:p>
    <w:p>
      <w:pPr>
        <w:pStyle w:val="BodyText"/>
        <w:rPr>
          <w:sz w:val="20"/>
        </w:rPr>
      </w:pPr>
    </w:p>
    <w:p>
      <w:pPr>
        <w:pStyle w:val="BodyText"/>
        <w:spacing w:before="11"/>
        <w:rPr>
          <w:sz w:val="20"/>
        </w:rPr>
      </w:pPr>
    </w:p>
    <w:p>
      <w:pPr>
        <w:pStyle w:val="BodyText"/>
        <w:spacing w:before="49" w:line="364" w:lineRule="auto"/>
        <w:ind w:left="700" w:right="4716" w:firstLine="539"/>
      </w:pPr>
      <w:r>
        <w:t xml:space="preserve">由各专业施工员及管理人员组成，负责项目中各项具体工作的组织与实施，在本工程中，计划成立下述墓层机构:施工组:由项 </w:t>
      </w:r>
      <w:r>
        <w:rPr>
          <w:spacing w:val="-1"/>
        </w:rPr>
        <w:t>目副经理负责，施工员组成，负责全部工程各项施工管理、人员管</w:t>
      </w:r>
      <w:r>
        <w:t>理、机械管理等。</w:t>
      </w:r>
    </w:p>
    <w:p>
      <w:pPr>
        <w:pStyle w:val="BodyText"/>
        <w:spacing w:before="5"/>
        <w:ind w:left="1420"/>
      </w:pPr>
      <w:r>
        <w:t>技术组:由技术负责人负责，各专业工程师及技术人员组成，</w:t>
      </w:r>
    </w:p>
    <w:p>
      <w:pPr>
        <w:pStyle w:val="BodyText"/>
        <w:spacing w:before="240" w:line="364" w:lineRule="auto"/>
        <w:ind w:left="1420" w:right="4356" w:hanging="720"/>
      </w:pPr>
      <w:r>
        <w:t>负责工程设计问题、施工技术，各项方案及措施、工程资料等工作。器材组:负责材料及设备的采购供应工作。</w:t>
      </w:r>
    </w:p>
    <w:p>
      <w:pPr>
        <w:pStyle w:val="BodyText"/>
        <w:spacing w:before="2"/>
        <w:ind w:left="1420"/>
      </w:pPr>
      <w:r>
        <w:t>质安组:负责具体各项工程质量、安全工作。</w:t>
      </w:r>
    </w:p>
    <w:p>
      <w:pPr>
        <w:pStyle w:val="BodyText"/>
        <w:spacing w:before="242"/>
        <w:ind w:left="1420"/>
      </w:pPr>
      <w:r>
        <w:t>行政组:负责本项目经理部的日常行政管理及保卫工作。</w:t>
      </w:r>
    </w:p>
    <w:p>
      <w:pPr>
        <w:pStyle w:val="BodyText"/>
        <w:spacing w:before="240" w:line="364" w:lineRule="auto"/>
        <w:ind w:left="700" w:right="2736"/>
      </w:pPr>
      <w:r>
        <w:t>3、作业层由施工班组、各分项工程施工班长及操作工人组成，主要人物是各分项工程项目的具体操作实施。</w:t>
      </w:r>
    </w:p>
    <w:p>
      <w:pPr>
        <w:pStyle w:val="BodyText"/>
        <w:spacing w:before="2"/>
        <w:ind w:left="4661"/>
      </w:pPr>
      <w:r>
        <w:pict>
          <v:group id="_x0000_s1025" style="width:623pt;height:508pt;margin-top:59.27pt;margin-left:136pt;mso-position-horizontal-relative:page;position:absolute;z-index:-251654144" coordorigin="2720,1185" coordsize="12460,10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460;height:10160;left:2720;position:absolute;top:1185" stroked="f">
              <v:imagedata r:id="rId17" o:title=""/>
            </v:shape>
            <v:shapetype id="_x0000_t202" coordsize="21600,21600" o:spt="202" path="m,l,21600r21600,l21600,xe">
              <v:stroke joinstyle="miter"/>
              <v:path gradientshapeok="t" o:connecttype="rect"/>
            </v:shapetype>
            <v:shape id="_x0000_s1027" type="#_x0000_t202" style="width:1288;height:317;left:7701;position:absolute;top:142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项目经理</w:t>
                    </w:r>
                  </w:p>
                </w:txbxContent>
              </v:textbox>
            </v:shape>
            <v:shape id="_x0000_s1028" type="#_x0000_t202" style="width:1604;height:317;left:7543;position:absolute;top:259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技术负责人</w:t>
                    </w:r>
                  </w:p>
                </w:txbxContent>
              </v:textbox>
            </v:shape>
            <v:shape id="_x0000_s1029" type="#_x0000_t202" style="width:971;height:317;left:3222;position:absolute;top:423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技术组</w:t>
                    </w:r>
                  </w:p>
                </w:txbxContent>
              </v:textbox>
            </v:shape>
            <v:shape id="_x0000_s1030" type="#_x0000_t202" style="width:971;height:317;left:6193;position:absolute;top:423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工程组</w:t>
                    </w:r>
                  </w:p>
                </w:txbxContent>
              </v:textbox>
            </v:shape>
            <v:shape id="_x0000_s1031" type="#_x0000_t202" style="width:971;height:317;left:8781;position:absolute;top:423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质安组</w:t>
                    </w:r>
                  </w:p>
                </w:txbxContent>
              </v:textbox>
            </v:shape>
            <v:shape id="_x0000_s1032" type="#_x0000_t202" style="width:971;height:317;left:11054;position:absolute;top:423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物资组</w:t>
                    </w:r>
                  </w:p>
                </w:txbxContent>
              </v:textbox>
            </v:shape>
            <v:shape id="_x0000_s1033" type="#_x0000_t202" style="width:971;height:317;left:13755;position:absolute;top:423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行政组</w:t>
                    </w:r>
                  </w:p>
                </w:txbxContent>
              </v:textbox>
            </v:shape>
          </v:group>
        </w:pict>
      </w:r>
      <w:r>
        <w:t>施工现场管理机构</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9"/>
        </w:rPr>
      </w:pPr>
    </w:p>
    <w:tbl>
      <w:tblPr>
        <w:tblStyle w:val="TableNormal0"/>
        <w:tblW w:w="0" w:type="auto"/>
        <w:jc w:val="left"/>
        <w:tblInd w:w="8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7"/>
        <w:gridCol w:w="1082"/>
        <w:gridCol w:w="1080"/>
        <w:gridCol w:w="1080"/>
        <w:gridCol w:w="1080"/>
        <w:gridCol w:w="1080"/>
        <w:gridCol w:w="1350"/>
        <w:gridCol w:w="1350"/>
        <w:gridCol w:w="1619"/>
        <w:gridCol w:w="1264"/>
      </w:tblGrid>
      <w:tr>
        <w:tblPrEx>
          <w:tblW w:w="0" w:type="auto"/>
          <w:jc w:val="left"/>
          <w:tblInd w:w="8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0"/>
          <w:jc w:val="left"/>
        </w:trPr>
        <w:tc>
          <w:tcPr>
            <w:tcW w:w="727" w:type="dxa"/>
          </w:tcPr>
          <w:p>
            <w:pPr>
              <w:pStyle w:val="TableParagraph"/>
              <w:spacing w:line="250" w:lineRule="exact"/>
              <w:ind w:left="50"/>
              <w:rPr>
                <w:rFonts w:ascii="宋体" w:eastAsia="宋体" w:hint="eastAsia"/>
                <w:sz w:val="27"/>
              </w:rPr>
            </w:pPr>
            <w:r>
              <w:rPr>
                <w:rFonts w:ascii="宋体" w:eastAsia="宋体" w:hint="eastAsia"/>
                <w:sz w:val="27"/>
              </w:rPr>
              <w:t>技</w:t>
            </w:r>
          </w:p>
        </w:tc>
        <w:tc>
          <w:tcPr>
            <w:tcW w:w="1082" w:type="dxa"/>
          </w:tcPr>
          <w:p>
            <w:pPr>
              <w:pStyle w:val="TableParagraph"/>
              <w:spacing w:line="250" w:lineRule="exact"/>
              <w:ind w:left="1"/>
              <w:jc w:val="center"/>
              <w:rPr>
                <w:rFonts w:ascii="宋体" w:eastAsia="宋体" w:hint="eastAsia"/>
                <w:sz w:val="27"/>
              </w:rPr>
            </w:pPr>
            <w:r>
              <w:rPr>
                <w:rFonts w:ascii="宋体" w:eastAsia="宋体" w:hint="eastAsia"/>
                <w:sz w:val="27"/>
              </w:rPr>
              <w:t>计</w:t>
            </w:r>
          </w:p>
        </w:tc>
        <w:tc>
          <w:tcPr>
            <w:tcW w:w="1080" w:type="dxa"/>
          </w:tcPr>
          <w:p>
            <w:pPr>
              <w:pStyle w:val="TableParagraph"/>
              <w:spacing w:line="250" w:lineRule="exact"/>
              <w:jc w:val="center"/>
              <w:rPr>
                <w:rFonts w:ascii="宋体" w:eastAsia="宋体" w:hint="eastAsia"/>
                <w:sz w:val="27"/>
              </w:rPr>
            </w:pPr>
            <w:r>
              <w:rPr>
                <w:rFonts w:ascii="宋体" w:eastAsia="宋体" w:hint="eastAsia"/>
                <w:sz w:val="27"/>
              </w:rPr>
              <w:t>试</w:t>
            </w:r>
          </w:p>
        </w:tc>
        <w:tc>
          <w:tcPr>
            <w:tcW w:w="1080" w:type="dxa"/>
          </w:tcPr>
          <w:p>
            <w:pPr>
              <w:pStyle w:val="TableParagraph"/>
              <w:spacing w:line="250" w:lineRule="exact"/>
              <w:jc w:val="center"/>
              <w:rPr>
                <w:rFonts w:ascii="宋体" w:eastAsia="宋体" w:hint="eastAsia"/>
                <w:sz w:val="27"/>
              </w:rPr>
            </w:pPr>
            <w:r>
              <w:rPr>
                <w:rFonts w:ascii="宋体" w:eastAsia="宋体" w:hint="eastAsia"/>
                <w:sz w:val="27"/>
              </w:rPr>
              <w:t>生</w:t>
            </w:r>
          </w:p>
        </w:tc>
        <w:tc>
          <w:tcPr>
            <w:tcW w:w="1080" w:type="dxa"/>
          </w:tcPr>
          <w:p>
            <w:pPr>
              <w:pStyle w:val="TableParagraph"/>
              <w:spacing w:line="250" w:lineRule="exact"/>
              <w:jc w:val="center"/>
              <w:rPr>
                <w:rFonts w:ascii="宋体" w:eastAsia="宋体" w:hint="eastAsia"/>
                <w:sz w:val="27"/>
              </w:rPr>
            </w:pPr>
            <w:r>
              <w:rPr>
                <w:rFonts w:ascii="宋体" w:eastAsia="宋体" w:hint="eastAsia"/>
                <w:sz w:val="27"/>
              </w:rPr>
              <w:t>生</w:t>
            </w:r>
          </w:p>
        </w:tc>
        <w:tc>
          <w:tcPr>
            <w:tcW w:w="1080" w:type="dxa"/>
          </w:tcPr>
          <w:p>
            <w:pPr>
              <w:pStyle w:val="TableParagraph"/>
              <w:spacing w:line="250" w:lineRule="exact"/>
              <w:jc w:val="center"/>
              <w:rPr>
                <w:rFonts w:ascii="宋体" w:eastAsia="宋体" w:hint="eastAsia"/>
                <w:sz w:val="27"/>
              </w:rPr>
            </w:pPr>
            <w:r>
              <w:rPr>
                <w:rFonts w:ascii="宋体" w:eastAsia="宋体" w:hint="eastAsia"/>
                <w:sz w:val="27"/>
              </w:rPr>
              <w:t>质</w:t>
            </w:r>
          </w:p>
        </w:tc>
        <w:tc>
          <w:tcPr>
            <w:tcW w:w="1350" w:type="dxa"/>
          </w:tcPr>
          <w:p>
            <w:pPr>
              <w:pStyle w:val="TableParagraph"/>
              <w:spacing w:line="250" w:lineRule="exact"/>
              <w:ind w:left="406"/>
              <w:rPr>
                <w:rFonts w:ascii="宋体" w:eastAsia="宋体" w:hint="eastAsia"/>
                <w:sz w:val="27"/>
              </w:rPr>
            </w:pPr>
            <w:r>
              <w:rPr>
                <w:rFonts w:ascii="宋体" w:eastAsia="宋体" w:hint="eastAsia"/>
                <w:sz w:val="27"/>
              </w:rPr>
              <w:t>生</w:t>
            </w:r>
          </w:p>
        </w:tc>
        <w:tc>
          <w:tcPr>
            <w:tcW w:w="1350" w:type="dxa"/>
          </w:tcPr>
          <w:p>
            <w:pPr>
              <w:pStyle w:val="TableParagraph"/>
              <w:spacing w:line="250" w:lineRule="exact"/>
              <w:ind w:right="403"/>
              <w:jc w:val="right"/>
              <w:rPr>
                <w:rFonts w:ascii="宋体" w:eastAsia="宋体" w:hint="eastAsia"/>
                <w:sz w:val="27"/>
              </w:rPr>
            </w:pPr>
            <w:r>
              <w:rPr>
                <w:rFonts w:ascii="宋体" w:eastAsia="宋体" w:hint="eastAsia"/>
                <w:sz w:val="27"/>
              </w:rPr>
              <w:t>物</w:t>
            </w:r>
          </w:p>
        </w:tc>
        <w:tc>
          <w:tcPr>
            <w:tcW w:w="1619" w:type="dxa"/>
          </w:tcPr>
          <w:p>
            <w:pPr>
              <w:pStyle w:val="TableParagraph"/>
              <w:spacing w:line="250" w:lineRule="exact"/>
              <w:ind w:left="405"/>
              <w:rPr>
                <w:rFonts w:ascii="宋体" w:eastAsia="宋体" w:hint="eastAsia"/>
                <w:sz w:val="27"/>
              </w:rPr>
            </w:pPr>
            <w:r>
              <w:rPr>
                <w:rFonts w:ascii="宋体" w:eastAsia="宋体" w:hint="eastAsia"/>
                <w:sz w:val="27"/>
              </w:rPr>
              <w:t>设</w:t>
            </w:r>
          </w:p>
        </w:tc>
        <w:tc>
          <w:tcPr>
            <w:tcW w:w="1264" w:type="dxa"/>
          </w:tcPr>
          <w:p>
            <w:pPr>
              <w:pStyle w:val="TableParagraph"/>
              <w:spacing w:line="250" w:lineRule="exact"/>
              <w:ind w:right="47"/>
              <w:jc w:val="right"/>
              <w:rPr>
                <w:rFonts w:ascii="宋体" w:eastAsia="宋体" w:hint="eastAsia"/>
                <w:sz w:val="27"/>
              </w:rPr>
            </w:pPr>
            <w:r>
              <w:rPr>
                <w:rFonts w:ascii="宋体" w:eastAsia="宋体" w:hint="eastAsia"/>
                <w:sz w:val="27"/>
              </w:rPr>
              <w:t>行</w:t>
            </w:r>
          </w:p>
        </w:tc>
      </w:tr>
      <w:tr>
        <w:tblPrEx>
          <w:tblW w:w="0" w:type="auto"/>
          <w:jc w:val="left"/>
          <w:tblInd w:w="893" w:type="dxa"/>
          <w:tblLayout w:type="fixed"/>
          <w:tblCellMar>
            <w:top w:w="0" w:type="dxa"/>
            <w:left w:w="0" w:type="dxa"/>
            <w:bottom w:w="0" w:type="dxa"/>
            <w:right w:w="0" w:type="dxa"/>
          </w:tblCellMar>
          <w:tblLook w:val="01E0"/>
        </w:tblPrEx>
        <w:trPr>
          <w:trHeight w:val="270"/>
          <w:jc w:val="left"/>
        </w:trPr>
        <w:tc>
          <w:tcPr>
            <w:tcW w:w="727" w:type="dxa"/>
          </w:tcPr>
          <w:p>
            <w:pPr>
              <w:pStyle w:val="TableParagraph"/>
              <w:spacing w:line="250" w:lineRule="exact"/>
              <w:ind w:left="50"/>
              <w:rPr>
                <w:rFonts w:ascii="宋体" w:eastAsia="宋体" w:hint="eastAsia"/>
                <w:sz w:val="27"/>
              </w:rPr>
            </w:pPr>
            <w:r>
              <w:rPr>
                <w:rFonts w:ascii="宋体" w:eastAsia="宋体" w:hint="eastAsia"/>
                <w:sz w:val="27"/>
              </w:rPr>
              <w:t>术</w:t>
            </w:r>
          </w:p>
        </w:tc>
        <w:tc>
          <w:tcPr>
            <w:tcW w:w="1082" w:type="dxa"/>
          </w:tcPr>
          <w:p>
            <w:pPr>
              <w:pStyle w:val="TableParagraph"/>
              <w:spacing w:line="250" w:lineRule="exact"/>
              <w:ind w:left="1"/>
              <w:jc w:val="center"/>
              <w:rPr>
                <w:rFonts w:ascii="宋体" w:eastAsia="宋体" w:hint="eastAsia"/>
                <w:sz w:val="27"/>
              </w:rPr>
            </w:pPr>
            <w:r>
              <w:rPr>
                <w:rFonts w:ascii="宋体" w:eastAsia="宋体" w:hint="eastAsia"/>
                <w:sz w:val="27"/>
              </w:rPr>
              <w:t>划</w:t>
            </w:r>
          </w:p>
        </w:tc>
        <w:tc>
          <w:tcPr>
            <w:tcW w:w="1080" w:type="dxa"/>
          </w:tcPr>
          <w:p>
            <w:pPr>
              <w:pStyle w:val="TableParagraph"/>
              <w:rPr>
                <w:rFonts w:ascii="Times New Roman"/>
                <w:sz w:val="20"/>
              </w:rPr>
            </w:pPr>
          </w:p>
        </w:tc>
        <w:tc>
          <w:tcPr>
            <w:tcW w:w="1080" w:type="dxa"/>
          </w:tcPr>
          <w:p>
            <w:pPr>
              <w:pStyle w:val="TableParagraph"/>
              <w:spacing w:line="250" w:lineRule="exact"/>
              <w:jc w:val="center"/>
              <w:rPr>
                <w:rFonts w:ascii="宋体" w:eastAsia="宋体" w:hint="eastAsia"/>
                <w:sz w:val="27"/>
              </w:rPr>
            </w:pPr>
            <w:r>
              <w:rPr>
                <w:rFonts w:ascii="宋体" w:eastAsia="宋体" w:hint="eastAsia"/>
                <w:sz w:val="27"/>
              </w:rPr>
              <w:t>产</w:t>
            </w:r>
          </w:p>
        </w:tc>
        <w:tc>
          <w:tcPr>
            <w:tcW w:w="1080" w:type="dxa"/>
          </w:tcPr>
          <w:p>
            <w:pPr>
              <w:pStyle w:val="TableParagraph"/>
              <w:spacing w:line="250" w:lineRule="exact"/>
              <w:jc w:val="center"/>
              <w:rPr>
                <w:rFonts w:ascii="宋体" w:eastAsia="宋体" w:hint="eastAsia"/>
                <w:sz w:val="27"/>
              </w:rPr>
            </w:pPr>
            <w:r>
              <w:rPr>
                <w:rFonts w:ascii="宋体" w:eastAsia="宋体" w:hint="eastAsia"/>
                <w:sz w:val="27"/>
              </w:rPr>
              <w:t>产</w:t>
            </w:r>
          </w:p>
        </w:tc>
        <w:tc>
          <w:tcPr>
            <w:tcW w:w="1080" w:type="dxa"/>
          </w:tcPr>
          <w:p>
            <w:pPr>
              <w:pStyle w:val="TableParagraph"/>
              <w:spacing w:line="250" w:lineRule="exact"/>
              <w:jc w:val="center"/>
              <w:rPr>
                <w:rFonts w:ascii="宋体" w:eastAsia="宋体" w:hint="eastAsia"/>
                <w:sz w:val="27"/>
              </w:rPr>
            </w:pPr>
            <w:r>
              <w:rPr>
                <w:rFonts w:ascii="宋体" w:eastAsia="宋体" w:hint="eastAsia"/>
                <w:sz w:val="27"/>
              </w:rPr>
              <w:t>量</w:t>
            </w:r>
          </w:p>
        </w:tc>
        <w:tc>
          <w:tcPr>
            <w:tcW w:w="1350" w:type="dxa"/>
          </w:tcPr>
          <w:p>
            <w:pPr>
              <w:pStyle w:val="TableParagraph"/>
              <w:spacing w:line="250" w:lineRule="exact"/>
              <w:ind w:left="406"/>
              <w:rPr>
                <w:rFonts w:ascii="宋体" w:eastAsia="宋体" w:hint="eastAsia"/>
                <w:sz w:val="27"/>
              </w:rPr>
            </w:pPr>
            <w:r>
              <w:rPr>
                <w:rFonts w:ascii="宋体" w:eastAsia="宋体" w:hint="eastAsia"/>
                <w:sz w:val="27"/>
              </w:rPr>
              <w:t>产</w:t>
            </w:r>
          </w:p>
        </w:tc>
        <w:tc>
          <w:tcPr>
            <w:tcW w:w="1350" w:type="dxa"/>
          </w:tcPr>
          <w:p>
            <w:pPr>
              <w:pStyle w:val="TableParagraph"/>
              <w:spacing w:line="250" w:lineRule="exact"/>
              <w:ind w:right="403"/>
              <w:jc w:val="right"/>
              <w:rPr>
                <w:rFonts w:ascii="宋体" w:eastAsia="宋体" w:hint="eastAsia"/>
                <w:sz w:val="27"/>
              </w:rPr>
            </w:pPr>
            <w:r>
              <w:rPr>
                <w:rFonts w:ascii="宋体" w:eastAsia="宋体" w:hint="eastAsia"/>
                <w:sz w:val="27"/>
              </w:rPr>
              <w:t>料</w:t>
            </w:r>
          </w:p>
        </w:tc>
        <w:tc>
          <w:tcPr>
            <w:tcW w:w="1619" w:type="dxa"/>
          </w:tcPr>
          <w:p>
            <w:pPr>
              <w:pStyle w:val="TableParagraph"/>
              <w:spacing w:line="250" w:lineRule="exact"/>
              <w:ind w:left="405"/>
              <w:rPr>
                <w:rFonts w:ascii="宋体" w:eastAsia="宋体" w:hint="eastAsia"/>
                <w:sz w:val="27"/>
              </w:rPr>
            </w:pPr>
            <w:r>
              <w:rPr>
                <w:rFonts w:ascii="宋体" w:eastAsia="宋体" w:hint="eastAsia"/>
                <w:sz w:val="27"/>
              </w:rPr>
              <w:t>备</w:t>
            </w:r>
          </w:p>
        </w:tc>
        <w:tc>
          <w:tcPr>
            <w:tcW w:w="1264" w:type="dxa"/>
          </w:tcPr>
          <w:p>
            <w:pPr>
              <w:pStyle w:val="TableParagraph"/>
              <w:spacing w:line="250" w:lineRule="exact"/>
              <w:ind w:right="47"/>
              <w:jc w:val="right"/>
              <w:rPr>
                <w:rFonts w:ascii="宋体" w:eastAsia="宋体" w:hint="eastAsia"/>
                <w:sz w:val="27"/>
              </w:rPr>
            </w:pPr>
            <w:r>
              <w:rPr>
                <w:rFonts w:ascii="宋体" w:eastAsia="宋体" w:hint="eastAsia"/>
                <w:sz w:val="27"/>
              </w:rPr>
              <w:t>政</w:t>
            </w:r>
          </w:p>
        </w:tc>
      </w:tr>
      <w:tr>
        <w:tblPrEx>
          <w:tblW w:w="0" w:type="auto"/>
          <w:jc w:val="left"/>
          <w:tblInd w:w="893" w:type="dxa"/>
          <w:tblLayout w:type="fixed"/>
          <w:tblCellMar>
            <w:top w:w="0" w:type="dxa"/>
            <w:left w:w="0" w:type="dxa"/>
            <w:bottom w:w="0" w:type="dxa"/>
            <w:right w:w="0" w:type="dxa"/>
          </w:tblCellMar>
          <w:tblLook w:val="01E0"/>
        </w:tblPrEx>
        <w:trPr>
          <w:trHeight w:val="540"/>
          <w:jc w:val="left"/>
        </w:trPr>
        <w:tc>
          <w:tcPr>
            <w:tcW w:w="727" w:type="dxa"/>
          </w:tcPr>
          <w:p>
            <w:pPr>
              <w:pStyle w:val="TableParagraph"/>
              <w:spacing w:line="270" w:lineRule="exact"/>
              <w:ind w:left="50"/>
              <w:rPr>
                <w:rFonts w:ascii="宋体" w:eastAsia="宋体" w:hint="eastAsia"/>
                <w:sz w:val="27"/>
              </w:rPr>
            </w:pPr>
            <w:r>
              <w:rPr>
                <w:rFonts w:ascii="宋体" w:eastAsia="宋体" w:hint="eastAsia"/>
                <w:sz w:val="27"/>
              </w:rPr>
              <w:t>资</w:t>
            </w:r>
          </w:p>
          <w:p>
            <w:pPr>
              <w:pStyle w:val="TableParagraph"/>
              <w:spacing w:line="250" w:lineRule="exact"/>
              <w:ind w:left="50"/>
              <w:rPr>
                <w:rFonts w:ascii="宋体" w:eastAsia="宋体" w:hint="eastAsia"/>
                <w:sz w:val="27"/>
              </w:rPr>
            </w:pPr>
            <w:r>
              <w:rPr>
                <w:rFonts w:ascii="宋体" w:eastAsia="宋体" w:hint="eastAsia"/>
                <w:sz w:val="27"/>
              </w:rPr>
              <w:t>料</w:t>
            </w:r>
          </w:p>
        </w:tc>
        <w:tc>
          <w:tcPr>
            <w:tcW w:w="1082" w:type="dxa"/>
          </w:tcPr>
          <w:p>
            <w:pPr>
              <w:pStyle w:val="TableParagraph"/>
              <w:spacing w:line="270" w:lineRule="exact"/>
              <w:ind w:left="1"/>
              <w:jc w:val="center"/>
              <w:rPr>
                <w:rFonts w:ascii="宋体" w:eastAsia="宋体" w:hint="eastAsia"/>
                <w:sz w:val="27"/>
              </w:rPr>
            </w:pPr>
            <w:r>
              <w:rPr>
                <w:rFonts w:ascii="宋体" w:eastAsia="宋体" w:hint="eastAsia"/>
                <w:sz w:val="27"/>
              </w:rPr>
              <w:t>统</w:t>
            </w:r>
          </w:p>
          <w:p>
            <w:pPr>
              <w:pStyle w:val="TableParagraph"/>
              <w:spacing w:line="250" w:lineRule="exact"/>
              <w:ind w:left="1"/>
              <w:jc w:val="center"/>
              <w:rPr>
                <w:rFonts w:ascii="宋体" w:eastAsia="宋体" w:hint="eastAsia"/>
                <w:sz w:val="27"/>
              </w:rPr>
            </w:pPr>
            <w:r>
              <w:rPr>
                <w:rFonts w:ascii="宋体" w:eastAsia="宋体" w:hint="eastAsia"/>
                <w:sz w:val="27"/>
              </w:rPr>
              <w:t>计</w:t>
            </w:r>
          </w:p>
        </w:tc>
        <w:tc>
          <w:tcPr>
            <w:tcW w:w="1080" w:type="dxa"/>
          </w:tcPr>
          <w:p>
            <w:pPr>
              <w:pStyle w:val="TableParagraph"/>
              <w:spacing w:before="102"/>
              <w:jc w:val="center"/>
              <w:rPr>
                <w:rFonts w:ascii="宋体" w:eastAsia="宋体" w:hint="eastAsia"/>
                <w:sz w:val="27"/>
              </w:rPr>
            </w:pPr>
            <w:r>
              <w:rPr>
                <w:rFonts w:ascii="宋体" w:eastAsia="宋体" w:hint="eastAsia"/>
                <w:sz w:val="27"/>
              </w:rPr>
              <w:t>验</w:t>
            </w:r>
          </w:p>
        </w:tc>
        <w:tc>
          <w:tcPr>
            <w:tcW w:w="1080" w:type="dxa"/>
          </w:tcPr>
          <w:p>
            <w:pPr>
              <w:pStyle w:val="TableParagraph"/>
              <w:spacing w:line="270" w:lineRule="exact"/>
              <w:jc w:val="center"/>
              <w:rPr>
                <w:rFonts w:ascii="宋体" w:eastAsia="宋体" w:hint="eastAsia"/>
                <w:sz w:val="27"/>
              </w:rPr>
            </w:pPr>
            <w:r>
              <w:rPr>
                <w:rFonts w:ascii="宋体" w:eastAsia="宋体" w:hint="eastAsia"/>
                <w:sz w:val="27"/>
              </w:rPr>
              <w:t>调</w:t>
            </w:r>
          </w:p>
          <w:p>
            <w:pPr>
              <w:pStyle w:val="TableParagraph"/>
              <w:spacing w:line="250" w:lineRule="exact"/>
              <w:jc w:val="center"/>
              <w:rPr>
                <w:rFonts w:ascii="宋体" w:eastAsia="宋体" w:hint="eastAsia"/>
                <w:sz w:val="27"/>
              </w:rPr>
            </w:pPr>
            <w:r>
              <w:rPr>
                <w:rFonts w:ascii="宋体" w:eastAsia="宋体" w:hint="eastAsia"/>
                <w:sz w:val="27"/>
              </w:rPr>
              <w:t>度</w:t>
            </w:r>
          </w:p>
        </w:tc>
        <w:tc>
          <w:tcPr>
            <w:tcW w:w="1080" w:type="dxa"/>
          </w:tcPr>
          <w:p>
            <w:pPr>
              <w:pStyle w:val="TableParagraph"/>
              <w:spacing w:line="270" w:lineRule="exact"/>
              <w:jc w:val="center"/>
              <w:rPr>
                <w:rFonts w:ascii="宋体" w:eastAsia="宋体" w:hint="eastAsia"/>
                <w:sz w:val="27"/>
              </w:rPr>
            </w:pPr>
            <w:r>
              <w:rPr>
                <w:rFonts w:ascii="宋体" w:eastAsia="宋体" w:hint="eastAsia"/>
                <w:sz w:val="27"/>
              </w:rPr>
              <w:t>调</w:t>
            </w:r>
          </w:p>
          <w:p>
            <w:pPr>
              <w:pStyle w:val="TableParagraph"/>
              <w:spacing w:line="250" w:lineRule="exact"/>
              <w:jc w:val="center"/>
              <w:rPr>
                <w:rFonts w:ascii="宋体" w:eastAsia="宋体" w:hint="eastAsia"/>
                <w:sz w:val="27"/>
              </w:rPr>
            </w:pPr>
            <w:r>
              <w:rPr>
                <w:rFonts w:ascii="宋体" w:eastAsia="宋体" w:hint="eastAsia"/>
                <w:sz w:val="27"/>
              </w:rPr>
              <w:t>度</w:t>
            </w:r>
          </w:p>
        </w:tc>
        <w:tc>
          <w:tcPr>
            <w:tcW w:w="1080" w:type="dxa"/>
          </w:tcPr>
          <w:p>
            <w:pPr>
              <w:pStyle w:val="TableParagraph"/>
              <w:spacing w:line="270" w:lineRule="exact"/>
              <w:jc w:val="center"/>
              <w:rPr>
                <w:rFonts w:ascii="宋体" w:eastAsia="宋体" w:hint="eastAsia"/>
                <w:sz w:val="27"/>
              </w:rPr>
            </w:pPr>
            <w:r>
              <w:rPr>
                <w:rFonts w:ascii="宋体" w:eastAsia="宋体" w:hint="eastAsia"/>
                <w:sz w:val="27"/>
              </w:rPr>
              <w:t>监</w:t>
            </w:r>
          </w:p>
          <w:p>
            <w:pPr>
              <w:pStyle w:val="TableParagraph"/>
              <w:spacing w:line="250" w:lineRule="exact"/>
              <w:jc w:val="center"/>
              <w:rPr>
                <w:rFonts w:ascii="宋体" w:eastAsia="宋体" w:hint="eastAsia"/>
                <w:sz w:val="27"/>
              </w:rPr>
            </w:pPr>
            <w:r>
              <w:rPr>
                <w:rFonts w:ascii="宋体" w:eastAsia="宋体" w:hint="eastAsia"/>
                <w:sz w:val="27"/>
              </w:rPr>
              <w:t>督</w:t>
            </w:r>
          </w:p>
        </w:tc>
        <w:tc>
          <w:tcPr>
            <w:tcW w:w="1350" w:type="dxa"/>
          </w:tcPr>
          <w:p>
            <w:pPr>
              <w:pStyle w:val="TableParagraph"/>
              <w:spacing w:line="270" w:lineRule="exact"/>
              <w:ind w:left="406"/>
              <w:rPr>
                <w:rFonts w:ascii="宋体" w:eastAsia="宋体" w:hint="eastAsia"/>
                <w:sz w:val="27"/>
              </w:rPr>
            </w:pPr>
            <w:r>
              <w:rPr>
                <w:rFonts w:ascii="宋体" w:eastAsia="宋体" w:hint="eastAsia"/>
                <w:sz w:val="27"/>
              </w:rPr>
              <w:t>调</w:t>
            </w:r>
          </w:p>
          <w:p>
            <w:pPr>
              <w:pStyle w:val="TableParagraph"/>
              <w:spacing w:line="250" w:lineRule="exact"/>
              <w:ind w:left="406"/>
              <w:rPr>
                <w:rFonts w:ascii="宋体" w:eastAsia="宋体" w:hint="eastAsia"/>
                <w:sz w:val="27"/>
              </w:rPr>
            </w:pPr>
            <w:r>
              <w:rPr>
                <w:rFonts w:ascii="宋体" w:eastAsia="宋体" w:hint="eastAsia"/>
                <w:sz w:val="27"/>
              </w:rPr>
              <w:t>度</w:t>
            </w:r>
          </w:p>
        </w:tc>
        <w:tc>
          <w:tcPr>
            <w:tcW w:w="1350" w:type="dxa"/>
          </w:tcPr>
          <w:p>
            <w:pPr>
              <w:pStyle w:val="TableParagraph"/>
              <w:spacing w:line="270" w:lineRule="exact"/>
              <w:ind w:left="675"/>
              <w:rPr>
                <w:rFonts w:ascii="宋体" w:eastAsia="宋体" w:hint="eastAsia"/>
                <w:sz w:val="27"/>
              </w:rPr>
            </w:pPr>
            <w:r>
              <w:rPr>
                <w:rFonts w:ascii="宋体" w:eastAsia="宋体" w:hint="eastAsia"/>
                <w:sz w:val="27"/>
              </w:rPr>
              <w:t>供</w:t>
            </w:r>
          </w:p>
          <w:p>
            <w:pPr>
              <w:pStyle w:val="TableParagraph"/>
              <w:spacing w:line="250" w:lineRule="exact"/>
              <w:ind w:left="675"/>
              <w:rPr>
                <w:rFonts w:ascii="宋体" w:eastAsia="宋体" w:hint="eastAsia"/>
                <w:sz w:val="27"/>
              </w:rPr>
            </w:pPr>
            <w:r>
              <w:rPr>
                <w:rFonts w:ascii="宋体" w:eastAsia="宋体" w:hint="eastAsia"/>
                <w:sz w:val="27"/>
              </w:rPr>
              <w:t>应</w:t>
            </w:r>
          </w:p>
        </w:tc>
        <w:tc>
          <w:tcPr>
            <w:tcW w:w="1619" w:type="dxa"/>
          </w:tcPr>
          <w:p>
            <w:pPr>
              <w:pStyle w:val="TableParagraph"/>
              <w:spacing w:line="270" w:lineRule="exact"/>
              <w:ind w:left="405"/>
              <w:rPr>
                <w:rFonts w:ascii="宋体" w:eastAsia="宋体" w:hint="eastAsia"/>
                <w:sz w:val="27"/>
              </w:rPr>
            </w:pPr>
            <w:r>
              <w:rPr>
                <w:rFonts w:ascii="宋体" w:eastAsia="宋体" w:hint="eastAsia"/>
                <w:sz w:val="27"/>
              </w:rPr>
              <w:t>维</w:t>
            </w:r>
          </w:p>
          <w:p>
            <w:pPr>
              <w:pStyle w:val="TableParagraph"/>
              <w:spacing w:line="250" w:lineRule="exact"/>
              <w:ind w:left="405"/>
              <w:rPr>
                <w:rFonts w:ascii="宋体" w:eastAsia="宋体" w:hint="eastAsia"/>
                <w:sz w:val="27"/>
              </w:rPr>
            </w:pPr>
            <w:r>
              <w:rPr>
                <w:rFonts w:ascii="宋体" w:eastAsia="宋体" w:hint="eastAsia"/>
                <w:sz w:val="27"/>
              </w:rPr>
              <w:t>护</w:t>
            </w:r>
          </w:p>
        </w:tc>
        <w:tc>
          <w:tcPr>
            <w:tcW w:w="1264" w:type="dxa"/>
          </w:tcPr>
          <w:p>
            <w:pPr>
              <w:pStyle w:val="TableParagraph"/>
              <w:spacing w:line="270" w:lineRule="exact"/>
              <w:ind w:right="47"/>
              <w:jc w:val="right"/>
              <w:rPr>
                <w:rFonts w:ascii="宋体" w:eastAsia="宋体" w:hint="eastAsia"/>
                <w:sz w:val="27"/>
              </w:rPr>
            </w:pPr>
            <w:r>
              <w:rPr>
                <w:rFonts w:ascii="宋体" w:eastAsia="宋体" w:hint="eastAsia"/>
                <w:sz w:val="27"/>
              </w:rPr>
              <w:t>管</w:t>
            </w:r>
          </w:p>
          <w:p>
            <w:pPr>
              <w:pStyle w:val="TableParagraph"/>
              <w:spacing w:line="250" w:lineRule="exact"/>
              <w:ind w:right="47"/>
              <w:jc w:val="right"/>
              <w:rPr>
                <w:rFonts w:ascii="宋体" w:eastAsia="宋体" w:hint="eastAsia"/>
                <w:sz w:val="27"/>
              </w:rPr>
            </w:pPr>
            <w:r>
              <w:rPr>
                <w:rFonts w:ascii="宋体" w:eastAsia="宋体" w:hint="eastAsia"/>
                <w:sz w:val="27"/>
              </w:rPr>
              <w:t>理</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2"/>
        </w:rPr>
      </w:pPr>
    </w:p>
    <w:tbl>
      <w:tblPr>
        <w:tblStyle w:val="TableNormal0"/>
        <w:tblW w:w="0" w:type="auto"/>
        <w:jc w:val="left"/>
        <w:tblInd w:w="1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3"/>
        <w:gridCol w:w="1485"/>
        <w:gridCol w:w="1620"/>
        <w:gridCol w:w="1485"/>
        <w:gridCol w:w="1485"/>
        <w:gridCol w:w="1620"/>
        <w:gridCol w:w="1485"/>
        <w:gridCol w:w="883"/>
      </w:tblGrid>
      <w:tr>
        <w:tblPrEx>
          <w:tblW w:w="0" w:type="auto"/>
          <w:jc w:val="left"/>
          <w:tblInd w:w="1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0"/>
          <w:jc w:val="left"/>
        </w:trPr>
        <w:tc>
          <w:tcPr>
            <w:tcW w:w="883" w:type="dxa"/>
          </w:tcPr>
          <w:p>
            <w:pPr>
              <w:pStyle w:val="TableParagraph"/>
              <w:spacing w:line="359" w:lineRule="exact"/>
              <w:ind w:left="50"/>
              <w:rPr>
                <w:rFonts w:ascii="宋体" w:eastAsia="宋体" w:hint="eastAsia"/>
                <w:sz w:val="31"/>
              </w:rPr>
            </w:pPr>
            <w:r>
              <w:rPr>
                <w:rFonts w:ascii="宋体" w:eastAsia="宋体" w:hint="eastAsia"/>
                <w:w w:val="102"/>
                <w:sz w:val="31"/>
              </w:rPr>
              <w:t>木</w:t>
            </w:r>
          </w:p>
        </w:tc>
        <w:tc>
          <w:tcPr>
            <w:tcW w:w="1485" w:type="dxa"/>
          </w:tcPr>
          <w:p>
            <w:pPr>
              <w:pStyle w:val="TableParagraph"/>
              <w:spacing w:line="359" w:lineRule="exact"/>
              <w:ind w:left="516"/>
              <w:rPr>
                <w:rFonts w:ascii="宋体" w:eastAsia="宋体" w:hint="eastAsia"/>
                <w:sz w:val="31"/>
              </w:rPr>
            </w:pPr>
            <w:r>
              <w:rPr>
                <w:rFonts w:ascii="宋体" w:eastAsia="宋体" w:hint="eastAsia"/>
                <w:w w:val="102"/>
                <w:sz w:val="31"/>
              </w:rPr>
              <w:t>钢</w:t>
            </w:r>
          </w:p>
        </w:tc>
        <w:tc>
          <w:tcPr>
            <w:tcW w:w="1620" w:type="dxa"/>
          </w:tcPr>
          <w:p>
            <w:pPr>
              <w:pStyle w:val="TableParagraph"/>
              <w:spacing w:line="359" w:lineRule="exact"/>
              <w:ind w:left="2"/>
              <w:jc w:val="center"/>
              <w:rPr>
                <w:rFonts w:ascii="宋体" w:eastAsia="宋体" w:hint="eastAsia"/>
                <w:sz w:val="31"/>
              </w:rPr>
            </w:pPr>
            <w:r>
              <w:rPr>
                <w:rFonts w:ascii="宋体" w:eastAsia="宋体" w:hint="eastAsia"/>
                <w:w w:val="102"/>
                <w:sz w:val="31"/>
              </w:rPr>
              <w:t>混</w:t>
            </w:r>
          </w:p>
        </w:tc>
        <w:tc>
          <w:tcPr>
            <w:tcW w:w="1485" w:type="dxa"/>
          </w:tcPr>
          <w:p>
            <w:pPr>
              <w:pStyle w:val="TableParagraph"/>
              <w:spacing w:line="359" w:lineRule="exact"/>
              <w:ind w:right="513"/>
              <w:jc w:val="right"/>
              <w:rPr>
                <w:rFonts w:ascii="宋体" w:eastAsia="宋体" w:hint="eastAsia"/>
                <w:sz w:val="31"/>
              </w:rPr>
            </w:pPr>
            <w:r>
              <w:rPr>
                <w:rFonts w:ascii="宋体" w:eastAsia="宋体" w:hint="eastAsia"/>
                <w:w w:val="102"/>
                <w:sz w:val="31"/>
              </w:rPr>
              <w:t>木</w:t>
            </w:r>
          </w:p>
        </w:tc>
        <w:tc>
          <w:tcPr>
            <w:tcW w:w="1485" w:type="dxa"/>
          </w:tcPr>
          <w:p>
            <w:pPr>
              <w:pStyle w:val="TableParagraph"/>
              <w:spacing w:line="359" w:lineRule="exact"/>
              <w:ind w:left="517"/>
              <w:rPr>
                <w:rFonts w:ascii="宋体" w:eastAsia="宋体" w:hint="eastAsia"/>
                <w:sz w:val="31"/>
              </w:rPr>
            </w:pPr>
            <w:r>
              <w:rPr>
                <w:rFonts w:ascii="宋体" w:eastAsia="宋体" w:hint="eastAsia"/>
                <w:w w:val="102"/>
                <w:sz w:val="31"/>
              </w:rPr>
              <w:t>木</w:t>
            </w:r>
          </w:p>
        </w:tc>
        <w:tc>
          <w:tcPr>
            <w:tcW w:w="1620" w:type="dxa"/>
          </w:tcPr>
          <w:p>
            <w:pPr>
              <w:pStyle w:val="TableParagraph"/>
              <w:spacing w:line="359" w:lineRule="exact"/>
              <w:ind w:left="3"/>
              <w:jc w:val="center"/>
              <w:rPr>
                <w:rFonts w:ascii="宋体" w:eastAsia="宋体" w:hint="eastAsia"/>
                <w:sz w:val="31"/>
              </w:rPr>
            </w:pPr>
            <w:r>
              <w:rPr>
                <w:rFonts w:ascii="宋体" w:eastAsia="宋体" w:hint="eastAsia"/>
                <w:w w:val="102"/>
                <w:sz w:val="31"/>
              </w:rPr>
              <w:t>木</w:t>
            </w:r>
          </w:p>
        </w:tc>
        <w:tc>
          <w:tcPr>
            <w:tcW w:w="1485" w:type="dxa"/>
          </w:tcPr>
          <w:p>
            <w:pPr>
              <w:pStyle w:val="TableParagraph"/>
              <w:spacing w:line="359" w:lineRule="exact"/>
              <w:ind w:right="512"/>
              <w:jc w:val="right"/>
              <w:rPr>
                <w:rFonts w:ascii="宋体" w:eastAsia="宋体" w:hint="eastAsia"/>
                <w:sz w:val="31"/>
              </w:rPr>
            </w:pPr>
            <w:r>
              <w:rPr>
                <w:rFonts w:ascii="宋体" w:eastAsia="宋体" w:hint="eastAsia"/>
                <w:w w:val="102"/>
                <w:sz w:val="31"/>
              </w:rPr>
              <w:t>木</w:t>
            </w:r>
          </w:p>
        </w:tc>
        <w:tc>
          <w:tcPr>
            <w:tcW w:w="883" w:type="dxa"/>
          </w:tcPr>
          <w:p>
            <w:pPr>
              <w:pStyle w:val="TableParagraph"/>
              <w:spacing w:line="359" w:lineRule="exact"/>
              <w:ind w:right="44"/>
              <w:jc w:val="right"/>
              <w:rPr>
                <w:rFonts w:ascii="宋体" w:eastAsia="宋体" w:hint="eastAsia"/>
                <w:sz w:val="31"/>
              </w:rPr>
            </w:pPr>
            <w:r>
              <w:rPr>
                <w:rFonts w:ascii="宋体" w:eastAsia="宋体" w:hint="eastAsia"/>
                <w:w w:val="102"/>
                <w:sz w:val="31"/>
              </w:rPr>
              <w:t>木</w:t>
            </w:r>
          </w:p>
        </w:tc>
      </w:tr>
      <w:tr>
        <w:tblPrEx>
          <w:tblW w:w="0" w:type="auto"/>
          <w:jc w:val="left"/>
          <w:tblInd w:w="1450" w:type="dxa"/>
          <w:tblLayout w:type="fixed"/>
          <w:tblCellMar>
            <w:top w:w="0" w:type="dxa"/>
            <w:left w:w="0" w:type="dxa"/>
            <w:bottom w:w="0" w:type="dxa"/>
            <w:right w:w="0" w:type="dxa"/>
          </w:tblCellMar>
          <w:tblLook w:val="01E0"/>
        </w:tblPrEx>
        <w:trPr>
          <w:trHeight w:val="464"/>
          <w:jc w:val="left"/>
        </w:trPr>
        <w:tc>
          <w:tcPr>
            <w:tcW w:w="883" w:type="dxa"/>
          </w:tcPr>
          <w:p>
            <w:pPr>
              <w:pStyle w:val="TableParagraph"/>
              <w:spacing w:before="36"/>
              <w:ind w:left="50"/>
              <w:rPr>
                <w:rFonts w:ascii="宋体" w:eastAsia="宋体" w:hint="eastAsia"/>
                <w:sz w:val="31"/>
              </w:rPr>
            </w:pPr>
            <w:r>
              <w:rPr>
                <w:rFonts w:ascii="宋体" w:eastAsia="宋体" w:hint="eastAsia"/>
                <w:w w:val="102"/>
                <w:sz w:val="31"/>
              </w:rPr>
              <w:t>工</w:t>
            </w:r>
          </w:p>
        </w:tc>
        <w:tc>
          <w:tcPr>
            <w:tcW w:w="1485" w:type="dxa"/>
          </w:tcPr>
          <w:p>
            <w:pPr>
              <w:pStyle w:val="TableParagraph"/>
              <w:spacing w:before="36"/>
              <w:ind w:left="516"/>
              <w:rPr>
                <w:rFonts w:ascii="宋体" w:eastAsia="宋体" w:hint="eastAsia"/>
                <w:sz w:val="31"/>
              </w:rPr>
            </w:pPr>
            <w:r>
              <w:rPr>
                <w:rFonts w:ascii="宋体" w:eastAsia="宋体" w:hint="eastAsia"/>
                <w:w w:val="102"/>
                <w:sz w:val="31"/>
              </w:rPr>
              <w:t>筋</w:t>
            </w:r>
          </w:p>
        </w:tc>
        <w:tc>
          <w:tcPr>
            <w:tcW w:w="1620" w:type="dxa"/>
          </w:tcPr>
          <w:p>
            <w:pPr>
              <w:pStyle w:val="TableParagraph"/>
              <w:spacing w:before="36"/>
              <w:ind w:left="2"/>
              <w:jc w:val="center"/>
              <w:rPr>
                <w:rFonts w:ascii="宋体" w:eastAsia="宋体" w:hint="eastAsia"/>
                <w:sz w:val="31"/>
              </w:rPr>
            </w:pPr>
            <w:r>
              <w:rPr>
                <w:rFonts w:ascii="宋体" w:eastAsia="宋体" w:hint="eastAsia"/>
                <w:w w:val="102"/>
                <w:sz w:val="31"/>
              </w:rPr>
              <w:t>凝</w:t>
            </w:r>
          </w:p>
        </w:tc>
        <w:tc>
          <w:tcPr>
            <w:tcW w:w="1485" w:type="dxa"/>
          </w:tcPr>
          <w:p>
            <w:pPr>
              <w:pStyle w:val="TableParagraph"/>
              <w:spacing w:before="36"/>
              <w:ind w:right="513"/>
              <w:jc w:val="right"/>
              <w:rPr>
                <w:rFonts w:ascii="宋体" w:eastAsia="宋体" w:hint="eastAsia"/>
                <w:sz w:val="31"/>
              </w:rPr>
            </w:pPr>
            <w:r>
              <w:rPr>
                <w:rFonts w:ascii="宋体" w:eastAsia="宋体" w:hint="eastAsia"/>
                <w:w w:val="102"/>
                <w:sz w:val="31"/>
              </w:rPr>
              <w:t>工</w:t>
            </w:r>
          </w:p>
        </w:tc>
        <w:tc>
          <w:tcPr>
            <w:tcW w:w="1485" w:type="dxa"/>
          </w:tcPr>
          <w:p>
            <w:pPr>
              <w:pStyle w:val="TableParagraph"/>
              <w:spacing w:before="36"/>
              <w:ind w:left="517"/>
              <w:rPr>
                <w:rFonts w:ascii="宋体" w:eastAsia="宋体" w:hint="eastAsia"/>
                <w:sz w:val="31"/>
              </w:rPr>
            </w:pPr>
            <w:r>
              <w:rPr>
                <w:rFonts w:ascii="宋体" w:eastAsia="宋体" w:hint="eastAsia"/>
                <w:w w:val="102"/>
                <w:sz w:val="31"/>
              </w:rPr>
              <w:t>工</w:t>
            </w:r>
          </w:p>
        </w:tc>
        <w:tc>
          <w:tcPr>
            <w:tcW w:w="1620" w:type="dxa"/>
          </w:tcPr>
          <w:p>
            <w:pPr>
              <w:pStyle w:val="TableParagraph"/>
              <w:spacing w:before="36"/>
              <w:ind w:left="3"/>
              <w:jc w:val="center"/>
              <w:rPr>
                <w:rFonts w:ascii="宋体" w:eastAsia="宋体" w:hint="eastAsia"/>
                <w:sz w:val="31"/>
              </w:rPr>
            </w:pPr>
            <w:r>
              <w:rPr>
                <w:rFonts w:ascii="宋体" w:eastAsia="宋体" w:hint="eastAsia"/>
                <w:w w:val="102"/>
                <w:sz w:val="31"/>
              </w:rPr>
              <w:t>工</w:t>
            </w:r>
          </w:p>
        </w:tc>
        <w:tc>
          <w:tcPr>
            <w:tcW w:w="1485" w:type="dxa"/>
          </w:tcPr>
          <w:p>
            <w:pPr>
              <w:pStyle w:val="TableParagraph"/>
              <w:spacing w:before="36"/>
              <w:ind w:right="512"/>
              <w:jc w:val="right"/>
              <w:rPr>
                <w:rFonts w:ascii="宋体" w:eastAsia="宋体" w:hint="eastAsia"/>
                <w:sz w:val="31"/>
              </w:rPr>
            </w:pPr>
            <w:r>
              <w:rPr>
                <w:rFonts w:ascii="宋体" w:eastAsia="宋体" w:hint="eastAsia"/>
                <w:w w:val="102"/>
                <w:sz w:val="31"/>
              </w:rPr>
              <w:t>工</w:t>
            </w:r>
          </w:p>
        </w:tc>
        <w:tc>
          <w:tcPr>
            <w:tcW w:w="883" w:type="dxa"/>
          </w:tcPr>
          <w:p>
            <w:pPr>
              <w:pStyle w:val="TableParagraph"/>
              <w:spacing w:before="36"/>
              <w:ind w:right="44"/>
              <w:jc w:val="right"/>
              <w:rPr>
                <w:rFonts w:ascii="宋体" w:eastAsia="宋体" w:hint="eastAsia"/>
                <w:sz w:val="31"/>
              </w:rPr>
            </w:pPr>
            <w:r>
              <w:rPr>
                <w:rFonts w:ascii="宋体" w:eastAsia="宋体" w:hint="eastAsia"/>
                <w:w w:val="102"/>
                <w:sz w:val="31"/>
              </w:rPr>
              <w:t>工</w:t>
            </w:r>
          </w:p>
        </w:tc>
      </w:tr>
      <w:tr>
        <w:tblPrEx>
          <w:tblW w:w="0" w:type="auto"/>
          <w:jc w:val="left"/>
          <w:tblInd w:w="1450" w:type="dxa"/>
          <w:tblLayout w:type="fixed"/>
          <w:tblCellMar>
            <w:top w:w="0" w:type="dxa"/>
            <w:left w:w="0" w:type="dxa"/>
            <w:bottom w:w="0" w:type="dxa"/>
            <w:right w:w="0" w:type="dxa"/>
          </w:tblCellMar>
          <w:tblLook w:val="01E0"/>
        </w:tblPrEx>
        <w:trPr>
          <w:trHeight w:val="467"/>
          <w:jc w:val="left"/>
        </w:trPr>
        <w:tc>
          <w:tcPr>
            <w:tcW w:w="883" w:type="dxa"/>
          </w:tcPr>
          <w:p>
            <w:pPr>
              <w:pStyle w:val="TableParagraph"/>
              <w:spacing w:before="36"/>
              <w:ind w:left="50"/>
              <w:rPr>
                <w:rFonts w:ascii="宋体" w:eastAsia="宋体" w:hint="eastAsia"/>
                <w:sz w:val="31"/>
              </w:rPr>
            </w:pPr>
            <w:r>
              <w:rPr>
                <w:rFonts w:ascii="宋体" w:eastAsia="宋体" w:hint="eastAsia"/>
                <w:w w:val="102"/>
                <w:sz w:val="31"/>
              </w:rPr>
              <w:t>班</w:t>
            </w:r>
          </w:p>
        </w:tc>
        <w:tc>
          <w:tcPr>
            <w:tcW w:w="1485" w:type="dxa"/>
          </w:tcPr>
          <w:p>
            <w:pPr>
              <w:pStyle w:val="TableParagraph"/>
              <w:spacing w:before="36"/>
              <w:ind w:left="516"/>
              <w:rPr>
                <w:rFonts w:ascii="宋体" w:eastAsia="宋体" w:hint="eastAsia"/>
                <w:sz w:val="31"/>
              </w:rPr>
            </w:pPr>
            <w:r>
              <w:rPr>
                <w:rFonts w:ascii="宋体" w:eastAsia="宋体" w:hint="eastAsia"/>
                <w:w w:val="102"/>
                <w:sz w:val="31"/>
              </w:rPr>
              <w:t>班</w:t>
            </w:r>
          </w:p>
        </w:tc>
        <w:tc>
          <w:tcPr>
            <w:tcW w:w="1620" w:type="dxa"/>
          </w:tcPr>
          <w:p>
            <w:pPr>
              <w:pStyle w:val="TableParagraph"/>
              <w:spacing w:before="39"/>
              <w:ind w:left="2"/>
              <w:jc w:val="center"/>
              <w:rPr>
                <w:rFonts w:ascii="宋体" w:eastAsia="宋体" w:hint="eastAsia"/>
                <w:sz w:val="31"/>
              </w:rPr>
            </w:pPr>
            <w:r>
              <w:rPr>
                <w:rFonts w:ascii="宋体" w:eastAsia="宋体" w:hint="eastAsia"/>
                <w:w w:val="102"/>
                <w:sz w:val="31"/>
              </w:rPr>
              <w:t>土</w:t>
            </w:r>
          </w:p>
        </w:tc>
        <w:tc>
          <w:tcPr>
            <w:tcW w:w="1485" w:type="dxa"/>
          </w:tcPr>
          <w:p>
            <w:pPr>
              <w:pStyle w:val="TableParagraph"/>
              <w:spacing w:before="36"/>
              <w:ind w:right="513"/>
              <w:jc w:val="right"/>
              <w:rPr>
                <w:rFonts w:ascii="宋体" w:eastAsia="宋体" w:hint="eastAsia"/>
                <w:sz w:val="31"/>
              </w:rPr>
            </w:pPr>
            <w:r>
              <w:rPr>
                <w:rFonts w:ascii="宋体" w:eastAsia="宋体" w:hint="eastAsia"/>
                <w:w w:val="102"/>
                <w:sz w:val="31"/>
              </w:rPr>
              <w:t>班</w:t>
            </w:r>
          </w:p>
        </w:tc>
        <w:tc>
          <w:tcPr>
            <w:tcW w:w="1485" w:type="dxa"/>
          </w:tcPr>
          <w:p>
            <w:pPr>
              <w:pStyle w:val="TableParagraph"/>
              <w:spacing w:before="36"/>
              <w:ind w:left="517"/>
              <w:rPr>
                <w:rFonts w:ascii="宋体" w:eastAsia="宋体" w:hint="eastAsia"/>
                <w:sz w:val="31"/>
              </w:rPr>
            </w:pPr>
            <w:r>
              <w:rPr>
                <w:rFonts w:ascii="宋体" w:eastAsia="宋体" w:hint="eastAsia"/>
                <w:w w:val="102"/>
                <w:sz w:val="31"/>
              </w:rPr>
              <w:t>班</w:t>
            </w:r>
          </w:p>
        </w:tc>
        <w:tc>
          <w:tcPr>
            <w:tcW w:w="1620" w:type="dxa"/>
          </w:tcPr>
          <w:p>
            <w:pPr>
              <w:pStyle w:val="TableParagraph"/>
              <w:spacing w:before="36"/>
              <w:ind w:left="3"/>
              <w:jc w:val="center"/>
              <w:rPr>
                <w:rFonts w:ascii="宋体" w:eastAsia="宋体" w:hint="eastAsia"/>
                <w:sz w:val="31"/>
              </w:rPr>
            </w:pPr>
            <w:r>
              <w:rPr>
                <w:rFonts w:ascii="宋体" w:eastAsia="宋体" w:hint="eastAsia"/>
                <w:w w:val="102"/>
                <w:sz w:val="31"/>
              </w:rPr>
              <w:t>班</w:t>
            </w:r>
          </w:p>
        </w:tc>
        <w:tc>
          <w:tcPr>
            <w:tcW w:w="1485" w:type="dxa"/>
          </w:tcPr>
          <w:p>
            <w:pPr>
              <w:pStyle w:val="TableParagraph"/>
              <w:spacing w:before="36"/>
              <w:ind w:right="512"/>
              <w:jc w:val="right"/>
              <w:rPr>
                <w:rFonts w:ascii="宋体" w:eastAsia="宋体" w:hint="eastAsia"/>
                <w:sz w:val="31"/>
              </w:rPr>
            </w:pPr>
            <w:r>
              <w:rPr>
                <w:rFonts w:ascii="宋体" w:eastAsia="宋体" w:hint="eastAsia"/>
                <w:w w:val="102"/>
                <w:sz w:val="31"/>
              </w:rPr>
              <w:t>班</w:t>
            </w:r>
          </w:p>
        </w:tc>
        <w:tc>
          <w:tcPr>
            <w:tcW w:w="883" w:type="dxa"/>
          </w:tcPr>
          <w:p>
            <w:pPr>
              <w:pStyle w:val="TableParagraph"/>
              <w:spacing w:before="36"/>
              <w:ind w:right="44"/>
              <w:jc w:val="right"/>
              <w:rPr>
                <w:rFonts w:ascii="宋体" w:eastAsia="宋体" w:hint="eastAsia"/>
                <w:sz w:val="31"/>
              </w:rPr>
            </w:pPr>
            <w:r>
              <w:rPr>
                <w:rFonts w:ascii="宋体" w:eastAsia="宋体" w:hint="eastAsia"/>
                <w:w w:val="102"/>
                <w:sz w:val="31"/>
              </w:rPr>
              <w:t>班</w:t>
            </w:r>
          </w:p>
        </w:tc>
      </w:tr>
      <w:tr>
        <w:tblPrEx>
          <w:tblW w:w="0" w:type="auto"/>
          <w:jc w:val="left"/>
          <w:tblInd w:w="1450" w:type="dxa"/>
          <w:tblLayout w:type="fixed"/>
          <w:tblCellMar>
            <w:top w:w="0" w:type="dxa"/>
            <w:left w:w="0" w:type="dxa"/>
            <w:bottom w:w="0" w:type="dxa"/>
            <w:right w:w="0" w:type="dxa"/>
          </w:tblCellMar>
          <w:tblLook w:val="01E0"/>
        </w:tblPrEx>
        <w:trPr>
          <w:trHeight w:val="390"/>
          <w:jc w:val="left"/>
        </w:trPr>
        <w:tc>
          <w:tcPr>
            <w:tcW w:w="883" w:type="dxa"/>
          </w:tcPr>
          <w:p>
            <w:pPr>
              <w:pStyle w:val="TableParagraph"/>
              <w:rPr>
                <w:rFonts w:ascii="Times New Roman"/>
                <w:sz w:val="30"/>
              </w:rPr>
            </w:pPr>
          </w:p>
        </w:tc>
        <w:tc>
          <w:tcPr>
            <w:tcW w:w="1485" w:type="dxa"/>
          </w:tcPr>
          <w:p>
            <w:pPr>
              <w:pStyle w:val="TableParagraph"/>
              <w:rPr>
                <w:rFonts w:ascii="Times New Roman"/>
                <w:sz w:val="30"/>
              </w:rPr>
            </w:pPr>
          </w:p>
        </w:tc>
        <w:tc>
          <w:tcPr>
            <w:tcW w:w="1620" w:type="dxa"/>
          </w:tcPr>
          <w:p>
            <w:pPr>
              <w:pStyle w:val="TableParagraph"/>
              <w:spacing w:before="36" w:line="335" w:lineRule="exact"/>
              <w:ind w:left="2"/>
              <w:jc w:val="center"/>
              <w:rPr>
                <w:rFonts w:ascii="宋体" w:eastAsia="宋体" w:hint="eastAsia"/>
                <w:sz w:val="31"/>
              </w:rPr>
            </w:pPr>
            <w:r>
              <w:rPr>
                <w:rFonts w:ascii="宋体" w:eastAsia="宋体" w:hint="eastAsia"/>
                <w:w w:val="102"/>
                <w:sz w:val="31"/>
              </w:rPr>
              <w:t>班</w:t>
            </w:r>
          </w:p>
        </w:tc>
        <w:tc>
          <w:tcPr>
            <w:tcW w:w="1485" w:type="dxa"/>
          </w:tcPr>
          <w:p>
            <w:pPr>
              <w:pStyle w:val="TableParagraph"/>
              <w:rPr>
                <w:rFonts w:ascii="Times New Roman"/>
                <w:sz w:val="30"/>
              </w:rPr>
            </w:pPr>
          </w:p>
        </w:tc>
        <w:tc>
          <w:tcPr>
            <w:tcW w:w="1485" w:type="dxa"/>
          </w:tcPr>
          <w:p>
            <w:pPr>
              <w:pStyle w:val="TableParagraph"/>
              <w:rPr>
                <w:rFonts w:ascii="Times New Roman"/>
                <w:sz w:val="30"/>
              </w:rPr>
            </w:pPr>
          </w:p>
        </w:tc>
        <w:tc>
          <w:tcPr>
            <w:tcW w:w="1620" w:type="dxa"/>
          </w:tcPr>
          <w:p>
            <w:pPr>
              <w:pStyle w:val="TableParagraph"/>
              <w:rPr>
                <w:rFonts w:ascii="Times New Roman"/>
                <w:sz w:val="30"/>
              </w:rPr>
            </w:pPr>
          </w:p>
        </w:tc>
        <w:tc>
          <w:tcPr>
            <w:tcW w:w="1485" w:type="dxa"/>
          </w:tcPr>
          <w:p>
            <w:pPr>
              <w:pStyle w:val="TableParagraph"/>
              <w:rPr>
                <w:rFonts w:ascii="Times New Roman"/>
                <w:sz w:val="30"/>
              </w:rPr>
            </w:pPr>
          </w:p>
        </w:tc>
        <w:tc>
          <w:tcPr>
            <w:tcW w:w="883" w:type="dxa"/>
          </w:tcPr>
          <w:p>
            <w:pPr>
              <w:pStyle w:val="TableParagraph"/>
              <w:rPr>
                <w:rFonts w:ascii="Times New Roman"/>
                <w:sz w:val="30"/>
              </w:rPr>
            </w:pPr>
          </w:p>
        </w:tc>
      </w:tr>
    </w:tbl>
    <w:p>
      <w:pPr>
        <w:spacing w:after="0"/>
        <w:rPr>
          <w:rFonts w:ascii="Times New Roman"/>
          <w:sz w:val="30"/>
        </w:rPr>
        <w:sectPr>
          <w:headerReference w:type="default" r:id="rId18"/>
          <w:footerReference w:type="default" r:id="rId19"/>
          <w:pgSz w:w="17860" w:h="25260"/>
          <w:pgMar w:top="1400" w:right="0" w:bottom="2020" w:left="2000" w:header="1054" w:footer="1831"/>
          <w:pgNumType w:start="6"/>
          <w:cols w:space="708"/>
        </w:sectPr>
      </w:pPr>
    </w:p>
    <w:p>
      <w:pPr>
        <w:pStyle w:val="BodyText"/>
        <w:rPr>
          <w:sz w:val="20"/>
        </w:rPr>
      </w:pPr>
    </w:p>
    <w:p>
      <w:pPr>
        <w:pStyle w:val="BodyText"/>
        <w:spacing w:before="11"/>
        <w:rPr>
          <w:sz w:val="20"/>
        </w:rPr>
      </w:pPr>
    </w:p>
    <w:p>
      <w:pPr>
        <w:pStyle w:val="Heading3"/>
        <w:spacing w:before="49"/>
      </w:pPr>
      <w:r>
        <w:t>四、主要分部分项工程施工方案及技术措施</w:t>
      </w:r>
    </w:p>
    <w:p>
      <w:pPr>
        <w:spacing w:before="242"/>
        <w:ind w:left="700" w:right="0" w:firstLine="0"/>
        <w:jc w:val="left"/>
        <w:rPr>
          <w:b/>
          <w:sz w:val="36"/>
        </w:rPr>
      </w:pPr>
      <w:r>
        <w:rPr>
          <w:b/>
          <w:sz w:val="36"/>
        </w:rPr>
        <w:t>（一）定位放线</w:t>
      </w:r>
    </w:p>
    <w:p>
      <w:pPr>
        <w:pStyle w:val="BodyText"/>
        <w:spacing w:before="241" w:line="364" w:lineRule="auto"/>
        <w:ind w:left="700" w:right="2702" w:firstLine="719"/>
      </w:pPr>
      <w:r>
        <w:rPr>
          <w:spacing w:val="-12"/>
        </w:rPr>
        <w:t>本工程定位、放线工作根据规划部门测设的城市标准高程点和设计图纸，采</w:t>
      </w:r>
      <w:r>
        <w:t>用测设轴线控制桩的方法进行。</w:t>
      </w:r>
    </w:p>
    <w:p>
      <w:pPr>
        <w:pStyle w:val="BodyText"/>
        <w:spacing w:before="1" w:line="364" w:lineRule="auto"/>
        <w:ind w:left="700" w:right="2695" w:firstLine="719"/>
        <w:jc w:val="both"/>
      </w:pPr>
      <w:r>
        <w:rPr>
          <w:spacing w:val="-6"/>
        </w:rPr>
        <w:t>本工程标准高由城市标准高程点用水准仪引测到场内固定标准点，数量不少</w:t>
      </w:r>
      <w:r>
        <w:rPr>
          <w:spacing w:val="-46"/>
        </w:rPr>
        <w:t xml:space="preserve">于 </w:t>
      </w:r>
      <w:r>
        <w:t>4</w:t>
      </w:r>
      <w:r>
        <w:rPr>
          <w:spacing w:val="-20"/>
        </w:rPr>
        <w:t xml:space="preserve"> 个，且视线良好。基础和主体施工时标高控制点均从该 </w:t>
      </w:r>
      <w:r>
        <w:t>4</w:t>
      </w:r>
      <w:r>
        <w:rPr>
          <w:spacing w:val="-14"/>
        </w:rPr>
        <w:t xml:space="preserve"> 个固定标准点往上</w:t>
      </w:r>
      <w:r>
        <w:t>往下引测。</w:t>
      </w:r>
    </w:p>
    <w:p>
      <w:pPr>
        <w:pStyle w:val="BodyText"/>
        <w:spacing w:before="3" w:line="364" w:lineRule="auto"/>
        <w:ind w:left="700" w:right="2556" w:firstLine="719"/>
      </w:pPr>
      <w:r>
        <w:t>本工程轴线控制桩测设，在基槽外 2-4m（最好与中线距离为整米数）外、不受施工干扰并便于引测和保存桩位的地方，测设各轴线延长线的轴线控制桩， 作为开槽后各阶段施工中确定轴线的依据。</w:t>
      </w:r>
    </w:p>
    <w:p>
      <w:pPr>
        <w:pStyle w:val="BodyText"/>
        <w:spacing w:before="3" w:line="364" w:lineRule="auto"/>
        <w:ind w:left="700" w:right="2714" w:firstLine="719"/>
      </w:pPr>
      <w:r>
        <w:rPr>
          <w:spacing w:val="-8"/>
        </w:rPr>
        <w:t>定位、放线工作完成后，即刻填写《建筑物测量复核单》，作为技术资料收</w:t>
      </w:r>
      <w:r>
        <w:t>集保存。</w:t>
      </w:r>
    </w:p>
    <w:p>
      <w:pPr>
        <w:pStyle w:val="Heading3"/>
      </w:pPr>
      <w:r>
        <w:t>（二）土方开挖</w:t>
      </w:r>
    </w:p>
    <w:p>
      <w:pPr>
        <w:pStyle w:val="BodyText"/>
        <w:spacing w:before="241" w:line="364" w:lineRule="auto"/>
        <w:ind w:left="700" w:right="2556"/>
      </w:pPr>
      <w:r>
        <w:rPr>
          <w:spacing w:val="-12"/>
        </w:rPr>
        <w:t>本工程土方开挖，根据设计图纸及工程特点，采用人工与机械相结合的挖土的方</w:t>
      </w:r>
      <w:r>
        <w:rPr>
          <w:spacing w:val="-13"/>
        </w:rPr>
        <w:t>法。根据地质报告，结合现场情况与设计图纸，施工时应清除浮土，采用天然地</w:t>
      </w:r>
      <w:r>
        <w:rPr>
          <w:spacing w:val="-9"/>
        </w:rPr>
        <w:t xml:space="preserve">基浅基础，基础埋深按 </w:t>
      </w:r>
      <w:r>
        <w:t>1.0m</w:t>
      </w:r>
      <w:r>
        <w:rPr>
          <w:spacing w:val="-16"/>
        </w:rPr>
        <w:t xml:space="preserve"> 计，基础进入持力层不小于 </w:t>
      </w:r>
      <w:r>
        <w:t>0.3</w:t>
      </w:r>
      <w:r>
        <w:rPr>
          <w:spacing w:val="-30"/>
        </w:rPr>
        <w:t xml:space="preserve"> 米。</w:t>
      </w:r>
    </w:p>
    <w:p>
      <w:pPr>
        <w:pStyle w:val="Heading3"/>
        <w:spacing w:before="3"/>
      </w:pPr>
      <w:r>
        <w:t>（三）验槽</w:t>
      </w:r>
    </w:p>
    <w:p>
      <w:pPr>
        <w:pStyle w:val="BodyText"/>
        <w:spacing w:before="241" w:line="364" w:lineRule="auto"/>
        <w:ind w:left="700" w:right="2518" w:firstLine="719"/>
        <w:jc w:val="both"/>
      </w:pPr>
      <w:r>
        <w:t>基坑开挖完成后，邀请勘察、设计、监理和建设单位共同验槽。其内容包括</w:t>
      </w:r>
      <w:r>
        <w:rPr>
          <w:spacing w:val="-19"/>
        </w:rPr>
        <w:t xml:space="preserve">平面尺寸、标高、边坡坡度及地基土等情况，并进行拍底、钎探。待验槽通过后， </w:t>
      </w:r>
      <w:r>
        <w:rPr>
          <w:spacing w:val="-31"/>
        </w:rPr>
        <w:t xml:space="preserve">即可进入下一道工序的施工。基坑、基槽验收完毕，应随即填写《地基验槽记录》， </w:t>
      </w:r>
      <w:r>
        <w:t>并经设计和监理、施工单位三方签字后，作为技术资料收集保存。</w:t>
      </w:r>
    </w:p>
    <w:p>
      <w:pPr>
        <w:pStyle w:val="Heading3"/>
        <w:spacing w:before="4"/>
      </w:pPr>
      <w:r>
        <w:t>（四）素混凝土垫层</w:t>
      </w:r>
    </w:p>
    <w:p>
      <w:pPr>
        <w:pStyle w:val="BodyText"/>
        <w:spacing w:before="240" w:line="364" w:lineRule="auto"/>
        <w:ind w:left="700" w:right="2558" w:firstLine="719"/>
        <w:jc w:val="both"/>
      </w:pPr>
      <w:r>
        <w:rPr>
          <w:spacing w:val="-1"/>
        </w:rPr>
        <w:t xml:space="preserve">施工时，根据固定标准标高点用水准仪和标尺往基坑下引测到基底塌饼顶， </w:t>
      </w:r>
      <w:r>
        <w:t>使塌饼标高同垫层顶标高相同（</w:t>
      </w:r>
      <w:r>
        <w:rPr>
          <w:spacing w:val="-22"/>
        </w:rPr>
        <w:t xml:space="preserve">塌饼间距 </w:t>
      </w:r>
      <w:r>
        <w:t>1.5m</w:t>
      </w:r>
      <w:r>
        <w:rPr>
          <w:spacing w:val="-180"/>
        </w:rPr>
        <w:t>）</w:t>
      </w:r>
      <w:r>
        <w:t>，然后进行素混凝土的浇筑。浇筑时，应随筑随根据塌饼用栝尺栝平，木抹抹平，并加强保养。</w:t>
      </w:r>
    </w:p>
    <w:p>
      <w:pPr>
        <w:pStyle w:val="BodyText"/>
        <w:spacing w:before="4"/>
        <w:ind w:left="700"/>
      </w:pPr>
      <w:r>
        <w:t>基础施工应注意以下几点：</w:t>
      </w:r>
    </w:p>
    <w:p>
      <w:pPr>
        <w:pStyle w:val="BodyText"/>
        <w:spacing w:before="241"/>
        <w:ind w:left="700"/>
      </w:pPr>
      <w:r>
        <w:t>A、查找、核对原有地下管线位置，以免挖土时造成损坏。</w:t>
      </w:r>
    </w:p>
    <w:p>
      <w:pPr>
        <w:pStyle w:val="BodyText"/>
        <w:spacing w:before="241"/>
        <w:ind w:left="700"/>
      </w:pPr>
      <w:r>
        <w:t>B、配合水、电，安装预埋避雷和上下水管预留孔、预埋件。</w:t>
      </w:r>
    </w:p>
    <w:p>
      <w:pPr>
        <w:pStyle w:val="BodyText"/>
        <w:spacing w:before="240"/>
        <w:ind w:left="700"/>
      </w:pPr>
      <w:r>
        <w:t>C、各部位钢筋验收、基坑土方验收都应该有设计院、建设单位及监理工程师参</w:t>
      </w:r>
    </w:p>
    <w:p>
      <w:pPr>
        <w:spacing w:after="0"/>
        <w:sectPr>
          <w:headerReference w:type="default" r:id="rId20"/>
          <w:footerReference w:type="default" r:id="rId21"/>
          <w:pgSz w:w="17860" w:h="25260"/>
          <w:pgMar w:top="1400" w:right="0" w:bottom="2020" w:left="2000" w:header="1054" w:footer="1831"/>
          <w:pgNumType w:start="7"/>
          <w:cols w:space="708"/>
        </w:sectPr>
      </w:pPr>
    </w:p>
    <w:p>
      <w:pPr>
        <w:pStyle w:val="BodyText"/>
        <w:rPr>
          <w:sz w:val="20"/>
        </w:rPr>
      </w:pPr>
    </w:p>
    <w:p>
      <w:pPr>
        <w:pStyle w:val="BodyText"/>
        <w:spacing w:before="11"/>
        <w:rPr>
          <w:sz w:val="20"/>
        </w:rPr>
      </w:pPr>
    </w:p>
    <w:p>
      <w:pPr>
        <w:pStyle w:val="BodyText"/>
        <w:spacing w:before="49"/>
        <w:ind w:left="700"/>
      </w:pPr>
      <w:r>
        <w:t>加签证。</w:t>
      </w:r>
    </w:p>
    <w:p>
      <w:pPr>
        <w:pStyle w:val="BodyText"/>
        <w:spacing w:before="242"/>
        <w:ind w:left="700"/>
      </w:pPr>
      <w:r>
        <w:t>D、土方开挖后，尽快进行下道工序施工，以保证基坑不被积水浸泡和扰动。</w:t>
      </w:r>
    </w:p>
    <w:p>
      <w:pPr>
        <w:pStyle w:val="Heading3"/>
        <w:spacing w:before="241"/>
      </w:pPr>
      <w:r>
        <w:t>（五）钢筋工程</w:t>
      </w:r>
    </w:p>
    <w:p>
      <w:pPr>
        <w:pStyle w:val="BodyText"/>
        <w:spacing w:before="240" w:line="364" w:lineRule="auto"/>
        <w:ind w:left="700" w:right="2697" w:firstLine="719"/>
      </w:pPr>
      <w:r>
        <w:rPr>
          <w:spacing w:val="-12"/>
        </w:rPr>
        <w:t>钢筋加工和安装前，应先熟悉图纸，核对钢筋配料单和标识牌，研究与有关</w:t>
      </w:r>
      <w:r>
        <w:t>工种的配合，确定施工方法。</w:t>
      </w:r>
    </w:p>
    <w:p>
      <w:pPr>
        <w:pStyle w:val="BodyText"/>
        <w:spacing w:before="2" w:line="364" w:lineRule="auto"/>
        <w:ind w:left="700" w:right="11828"/>
      </w:pPr>
      <w:r>
        <w:t>1、±0.000</w:t>
      </w:r>
      <w:r>
        <w:rPr>
          <w:spacing w:val="-23"/>
        </w:rPr>
        <w:t xml:space="preserve"> 以下钢筋</w:t>
      </w:r>
      <w:r>
        <w:t>基础钢筋：</w:t>
      </w:r>
    </w:p>
    <w:p>
      <w:pPr>
        <w:pStyle w:val="BodyText"/>
        <w:spacing w:before="2"/>
        <w:ind w:left="700"/>
      </w:pPr>
      <w:r>
        <w:t>基础钢筋采用对焊连接。</w:t>
      </w:r>
    </w:p>
    <w:p>
      <w:pPr>
        <w:pStyle w:val="BodyText"/>
        <w:spacing w:before="241" w:line="364" w:lineRule="auto"/>
        <w:ind w:left="700" w:right="2645"/>
        <w:jc w:val="both"/>
      </w:pPr>
      <w:r>
        <w:rPr>
          <w:spacing w:val="-9"/>
        </w:rPr>
        <w:t>基础钢筋网片应长向在外，短向在内绑扎，且将全部钢筋相交点扎牢。绑扎时应</w:t>
      </w:r>
      <w:r>
        <w:rPr>
          <w:spacing w:val="-18"/>
        </w:rPr>
        <w:t>注意相邻绑扎点的丝扣要求为“八字形”，以免网片歪斜变形。钢筋接头位置要</w:t>
      </w:r>
      <w:r>
        <w:rPr>
          <w:spacing w:val="-24"/>
        </w:rPr>
        <w:t xml:space="preserve">错开，同一截面接头不能超过 </w:t>
      </w:r>
      <w:r>
        <w:t>50%，</w:t>
      </w:r>
      <w:r>
        <w:rPr>
          <w:spacing w:val="-9"/>
        </w:rPr>
        <w:t xml:space="preserve">且相邻接头位置要错开 </w:t>
      </w:r>
      <w:r>
        <w:t>35d(d</w:t>
      </w:r>
      <w:r>
        <w:rPr>
          <w:spacing w:val="-16"/>
        </w:rPr>
        <w:t xml:space="preserve"> 为钢筋直径） </w:t>
      </w:r>
      <w:r>
        <w:rPr>
          <w:spacing w:val="-12"/>
        </w:rPr>
        <w:t>以上。上下层钢筋网片要用钢筋撑脚支撑，以保证钢筋位置正确，钢筋撑脚间距1m，采用钢管支撑。</w:t>
      </w:r>
    </w:p>
    <w:p>
      <w:pPr>
        <w:pStyle w:val="BodyText"/>
        <w:spacing w:before="5"/>
        <w:ind w:left="700"/>
      </w:pPr>
      <w:r>
        <w:t>2、±0.000 以上钢筋工程</w:t>
      </w:r>
    </w:p>
    <w:p>
      <w:pPr>
        <w:pStyle w:val="ListParagraph"/>
        <w:numPr>
          <w:ilvl w:val="0"/>
          <w:numId w:val="19"/>
        </w:numPr>
        <w:tabs>
          <w:tab w:val="left" w:pos="1421"/>
        </w:tabs>
        <w:spacing w:before="241" w:after="0" w:line="240" w:lineRule="auto"/>
        <w:ind w:left="1420" w:right="0" w:hanging="721"/>
        <w:jc w:val="left"/>
        <w:rPr>
          <w:sz w:val="36"/>
        </w:rPr>
      </w:pPr>
      <w:r>
        <w:rPr>
          <w:sz w:val="36"/>
        </w:rPr>
        <w:t>柱子钢筋绑扎</w:t>
      </w:r>
    </w:p>
    <w:p>
      <w:pPr>
        <w:pStyle w:val="BodyText"/>
        <w:spacing w:before="240" w:line="364" w:lineRule="auto"/>
        <w:ind w:left="700" w:right="2736"/>
      </w:pPr>
      <w:r>
        <w:t>a、按图纸要求间距，计算好每根柱箍筋数量。先将箍筋都套在下层处的搭接筋上，然后立主钢筋。在搭接长度内，绑扎扣不少于 3 个，绑扣要向里。</w:t>
      </w:r>
    </w:p>
    <w:p>
      <w:pPr>
        <w:pStyle w:val="BodyText"/>
        <w:spacing w:before="3"/>
        <w:ind w:left="700"/>
      </w:pPr>
      <w:r>
        <w:t>b、绑扎接头的搭接长度按设计要求。</w:t>
      </w:r>
    </w:p>
    <w:p>
      <w:pPr>
        <w:pStyle w:val="BodyText"/>
        <w:spacing w:before="241" w:line="364" w:lineRule="auto"/>
        <w:ind w:left="700" w:right="2702"/>
        <w:jc w:val="both"/>
      </w:pPr>
      <w:r>
        <w:t>c</w:t>
      </w:r>
      <w:r>
        <w:rPr>
          <w:spacing w:val="1"/>
        </w:rPr>
        <w:t xml:space="preserve">、绑扎接头的位置应相互错开，在受力钢筋直径 </w:t>
      </w:r>
      <w:r>
        <w:t>30 倍区段范围内（且不少于500m</w:t>
      </w:r>
      <w:r>
        <w:rPr>
          <w:spacing w:val="-1"/>
        </w:rPr>
        <w:t>m</w:t>
      </w:r>
      <w:r>
        <w:rPr>
          <w:spacing w:val="-180"/>
        </w:rPr>
        <w:t>）</w:t>
      </w:r>
      <w:r>
        <w:rPr>
          <w:spacing w:val="-13"/>
        </w:rPr>
        <w:t>。有绑扎接头的受力钢筋截面面积占受力钢筋总截面面积，应符合受拉区</w:t>
      </w:r>
      <w:r>
        <w:rPr>
          <w:spacing w:val="-19"/>
        </w:rPr>
        <w:t xml:space="preserve">不得超过 </w:t>
      </w:r>
      <w:r>
        <w:t>25%，</w:t>
      </w:r>
      <w:r>
        <w:rPr>
          <w:spacing w:val="-12"/>
        </w:rPr>
        <w:t xml:space="preserve">受压区不得超过 </w:t>
      </w:r>
      <w:r>
        <w:t>50%。</w:t>
      </w:r>
    </w:p>
    <w:p>
      <w:pPr>
        <w:pStyle w:val="BodyText"/>
        <w:spacing w:before="2" w:line="364" w:lineRule="auto"/>
        <w:ind w:left="700" w:right="2736"/>
      </w:pPr>
      <w:r>
        <w:t>d、在立好的柱子钢筋上用粉笔划出箍筋间距，然后将已套好的箍筋往上移动， 同上往下进行，宜采用缠扣绑扎。</w:t>
      </w:r>
    </w:p>
    <w:p>
      <w:pPr>
        <w:pStyle w:val="BodyText"/>
        <w:spacing w:before="3" w:line="364" w:lineRule="auto"/>
        <w:ind w:left="700" w:right="2517"/>
      </w:pPr>
      <w:r>
        <w:t>e、箍筋与主筋垂直，箍筋转角与主筋交点均要绑扎，主筋与箍筋非转角部分的</w:t>
      </w:r>
      <w:r>
        <w:rPr>
          <w:spacing w:val="-15"/>
        </w:rPr>
        <w:t>相交点成梅花式交错绑扎，箍筋的接头</w:t>
      </w:r>
      <w:r>
        <w:t>（即弯沟叠合处</w:t>
      </w:r>
      <w:r>
        <w:rPr>
          <w:spacing w:val="-105"/>
        </w:rPr>
        <w:t>）</w:t>
      </w:r>
      <w:r>
        <w:rPr>
          <w:spacing w:val="-2"/>
        </w:rPr>
        <w:t>应沿柱子竖向交错布置。</w:t>
      </w:r>
    </w:p>
    <w:p>
      <w:pPr>
        <w:pStyle w:val="ListParagraph"/>
        <w:numPr>
          <w:ilvl w:val="0"/>
          <w:numId w:val="19"/>
        </w:numPr>
        <w:tabs>
          <w:tab w:val="left" w:pos="1421"/>
        </w:tabs>
        <w:spacing w:before="2" w:after="0" w:line="240" w:lineRule="auto"/>
        <w:ind w:left="1420" w:right="0" w:hanging="721"/>
        <w:jc w:val="left"/>
        <w:rPr>
          <w:sz w:val="36"/>
        </w:rPr>
      </w:pPr>
      <w:r>
        <w:rPr>
          <w:sz w:val="36"/>
        </w:rPr>
        <w:t>钢筋工程质量保证措施</w:t>
      </w:r>
    </w:p>
    <w:p>
      <w:pPr>
        <w:pStyle w:val="BodyText"/>
        <w:spacing w:before="241" w:line="364" w:lineRule="auto"/>
        <w:ind w:left="700" w:right="2700"/>
        <w:jc w:val="both"/>
      </w:pPr>
      <w:r>
        <w:t>a、选择有可靠信誉的供应商，严格控制原材料的进货渠道，保证钢筋的质量。</w:t>
      </w:r>
      <w:r>
        <w:rPr>
          <w:spacing w:val="-9"/>
        </w:rPr>
        <w:t>每批进场的钢筋都必须有出厂合格证，并按施工规范进行复试，杜绝不合格的材</w:t>
      </w:r>
      <w:r>
        <w:t>料进入施工现场。</w:t>
      </w:r>
    </w:p>
    <w:p>
      <w:pPr>
        <w:spacing w:after="0" w:line="364" w:lineRule="auto"/>
        <w:jc w:val="both"/>
        <w:sectPr>
          <w:headerReference w:type="default" r:id="rId22"/>
          <w:footerReference w:type="default" r:id="rId23"/>
          <w:pgSz w:w="17860" w:h="25260"/>
          <w:pgMar w:top="1400" w:right="0" w:bottom="2020" w:left="2000" w:header="1054" w:footer="1831"/>
          <w:pgNumType w:start="8"/>
          <w:cols w:space="708"/>
        </w:sectPr>
      </w:pPr>
    </w:p>
    <w:p>
      <w:pPr>
        <w:pStyle w:val="BodyText"/>
        <w:rPr>
          <w:sz w:val="20"/>
        </w:rPr>
      </w:pPr>
    </w:p>
    <w:p>
      <w:pPr>
        <w:pStyle w:val="BodyText"/>
        <w:spacing w:before="11"/>
        <w:rPr>
          <w:sz w:val="20"/>
        </w:rPr>
      </w:pPr>
    </w:p>
    <w:p>
      <w:pPr>
        <w:pStyle w:val="BodyText"/>
        <w:spacing w:before="49" w:line="364" w:lineRule="auto"/>
        <w:ind w:left="700" w:right="2376"/>
      </w:pPr>
      <w:r>
        <w:t>b</w:t>
      </w:r>
      <w:r>
        <w:rPr>
          <w:spacing w:val="-1"/>
        </w:rPr>
        <w:t>、钢筋进场后按照不同的规格、不同的进货时间，并挂牌表明产地、进货时间、</w:t>
      </w:r>
      <w:r>
        <w:rPr>
          <w:spacing w:val="-11"/>
        </w:rPr>
        <w:t>复试情况等。凡经实验不合格的钢筋均不得使用，并进行不合格品标识，立即组织退货。</w:t>
      </w:r>
    </w:p>
    <w:p>
      <w:pPr>
        <w:pStyle w:val="BodyText"/>
        <w:spacing w:before="4" w:line="364" w:lineRule="auto"/>
        <w:ind w:left="700" w:right="2517"/>
      </w:pPr>
      <w:r>
        <w:t>c</w:t>
      </w:r>
      <w:r>
        <w:rPr>
          <w:spacing w:val="-13"/>
        </w:rPr>
        <w:t xml:space="preserve">、钢筋制作前首先根据设计图纸及施工、设计规范计算下料长度，填写配料单， </w:t>
      </w:r>
      <w:r>
        <w:t>经审核后严格按照料单下料，每批配好的钢筋应分别编号、挂牌堆放。</w:t>
      </w:r>
    </w:p>
    <w:p>
      <w:pPr>
        <w:pStyle w:val="BodyText"/>
        <w:spacing w:before="1" w:line="364" w:lineRule="auto"/>
        <w:ind w:left="700" w:right="2736"/>
      </w:pPr>
      <w:r>
        <w:t>d、现浇柱与基础连接用的插筋，基箍筋比柱的箍筋缩小一个柱筋直径，以便连接，插筋位置一定要牢固，以免造成柱轴线偏移。</w:t>
      </w:r>
    </w:p>
    <w:p>
      <w:pPr>
        <w:pStyle w:val="BodyText"/>
        <w:spacing w:before="2" w:line="364" w:lineRule="auto"/>
        <w:ind w:left="700" w:right="2700"/>
        <w:jc w:val="both"/>
      </w:pPr>
      <w:r>
        <w:t>e、焊工必须持有上岗证，并且在规定的范围内操作。在正式焊接前必须根据施</w:t>
      </w:r>
      <w:r>
        <w:rPr>
          <w:spacing w:val="-13"/>
        </w:rPr>
        <w:t>工条件进行试焊，合格后方可施焊，并且在每批焊接件中按规范抽取试件进行试</w:t>
      </w:r>
      <w:r>
        <w:t>验。</w:t>
      </w:r>
    </w:p>
    <w:p>
      <w:pPr>
        <w:pStyle w:val="BodyText"/>
        <w:spacing w:before="4" w:line="364" w:lineRule="auto"/>
        <w:ind w:left="700" w:right="2736"/>
      </w:pPr>
      <w:r>
        <w:t>f、钢筋绑扎前应核对成品钢筋的型号、直径、形状、尺寸和数量等是否与实际相符。</w:t>
      </w:r>
    </w:p>
    <w:p>
      <w:pPr>
        <w:pStyle w:val="BodyText"/>
        <w:spacing w:before="2" w:line="364" w:lineRule="auto"/>
        <w:ind w:left="700" w:right="2556"/>
      </w:pPr>
      <w:r>
        <w:t>g、对绑扎好的钢筋，有关人员要及时组织进行隐蔽工程验收悬挑结构的钢筋应逐个验收，发现有不符合要求的，应及时整改。在混凝土浇捣时，必须派人跟班检查，修正钢筋以保证钢筋处于正确位置。</w:t>
      </w:r>
    </w:p>
    <w:p>
      <w:pPr>
        <w:pStyle w:val="Heading3"/>
      </w:pPr>
      <w:r>
        <w:t>（六）模板工程</w:t>
      </w:r>
    </w:p>
    <w:p>
      <w:pPr>
        <w:pStyle w:val="BodyText"/>
        <w:spacing w:before="242"/>
        <w:ind w:left="700"/>
      </w:pPr>
      <w:r>
        <w:t>1、根据设计要求及实际情况，本工程柱、梁、板、模板采用九合板。</w:t>
      </w:r>
    </w:p>
    <w:p>
      <w:pPr>
        <w:pStyle w:val="BodyText"/>
        <w:spacing w:before="240" w:line="364" w:lineRule="auto"/>
        <w:ind w:left="700" w:right="2556"/>
      </w:pPr>
      <w:r>
        <w:t>2、安装柱模时先在基础面或楼面上弹出纵横轴线和四周边线，固定小方盘，在小方盘面调整标高，立柱头板，小方盘一侧要留清扫口。对通排柱模板，应先弹两端轴线及边线。</w:t>
      </w:r>
    </w:p>
    <w:p>
      <w:pPr>
        <w:pStyle w:val="BodyText"/>
        <w:spacing w:before="3" w:line="364" w:lineRule="auto"/>
        <w:ind w:left="700" w:right="2733"/>
        <w:jc w:val="both"/>
      </w:pPr>
      <w:r>
        <w:t>3、柱钢筋在预留孔、预埋件预埋完毕并经验收后，才能立模板，设临时支撑， 然后穿Φ12 圆钢制成的对拉螺栓，校正重直度和平整度后，拧紧螺帽，最后在柱模外加柱箍固定，柱箍间距不大于 800mm，采用钢管及十字扣件拉紧。</w:t>
      </w:r>
    </w:p>
    <w:p>
      <w:pPr>
        <w:pStyle w:val="BodyText"/>
        <w:spacing w:before="4" w:line="364" w:lineRule="auto"/>
        <w:ind w:left="700" w:right="2517"/>
      </w:pPr>
      <w:r>
        <w:t>4</w:t>
      </w:r>
      <w:r>
        <w:rPr>
          <w:spacing w:val="-15"/>
        </w:rPr>
        <w:t>、模板支好后，先由班组长进行自检。自检完毕由质量员负责进行模板的轴线、</w:t>
      </w:r>
      <w:r>
        <w:t>标高、垂直等、截面尺寸、支撑牢固度的复核，并作好书面记录、签证。</w:t>
      </w:r>
    </w:p>
    <w:p>
      <w:pPr>
        <w:pStyle w:val="BodyText"/>
        <w:spacing w:before="2" w:line="364" w:lineRule="auto"/>
        <w:ind w:left="700" w:right="2736"/>
      </w:pPr>
      <w:r>
        <w:t>5、模板每周转一次均应铲除表面残余混凝土，涂刷脱模油后方可继续使用，发现有变形或损坏的，应及时进行修整。</w:t>
      </w:r>
    </w:p>
    <w:p>
      <w:pPr>
        <w:pStyle w:val="BodyText"/>
        <w:spacing w:before="1" w:line="364" w:lineRule="auto"/>
        <w:ind w:left="700" w:right="2736"/>
      </w:pPr>
      <w:r>
        <w:t>6、模板拆除前要对混凝土强度做出初步鉴定。拆模在混凝土强度能保证其表面及棱角不因拆除模板而受损坏方可拆除。</w:t>
      </w:r>
    </w:p>
    <w:p>
      <w:pPr>
        <w:spacing w:after="0" w:line="364" w:lineRule="auto"/>
        <w:sectPr>
          <w:headerReference w:type="default" r:id="rId24"/>
          <w:footerReference w:type="default" r:id="rId25"/>
          <w:pgSz w:w="17860" w:h="25260"/>
          <w:pgMar w:top="1400" w:right="0" w:bottom="2020" w:left="2000" w:header="1054" w:footer="1831"/>
          <w:pgNumType w:start="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5"/>
        </w:rPr>
      </w:pPr>
    </w:p>
    <w:p>
      <w:pPr>
        <w:spacing w:before="49" w:line="364" w:lineRule="auto"/>
        <w:ind w:left="700" w:right="12232" w:firstLine="0"/>
        <w:jc w:val="left"/>
        <w:rPr>
          <w:sz w:val="36"/>
        </w:rPr>
      </w:pPr>
      <w:r>
        <w:rPr>
          <w:b/>
          <w:sz w:val="36"/>
        </w:rPr>
        <w:t>（七）混凝土工程</w:t>
      </w:r>
      <w:r>
        <w:rPr>
          <w:sz w:val="36"/>
        </w:rPr>
        <w:t>1、施工准备</w:t>
      </w:r>
    </w:p>
    <w:p>
      <w:pPr>
        <w:pStyle w:val="ListParagraph"/>
        <w:numPr>
          <w:ilvl w:val="0"/>
          <w:numId w:val="18"/>
        </w:numPr>
        <w:tabs>
          <w:tab w:val="left" w:pos="1421"/>
        </w:tabs>
        <w:spacing w:before="2" w:after="0" w:line="364" w:lineRule="auto"/>
        <w:ind w:left="700" w:right="2412" w:firstLine="0"/>
        <w:jc w:val="left"/>
        <w:rPr>
          <w:sz w:val="36"/>
        </w:rPr>
      </w:pPr>
      <w:r>
        <w:rPr>
          <w:spacing w:val="-19"/>
          <w:sz w:val="36"/>
        </w:rPr>
        <w:t>浇筑混凝土前，应对模板、支撑、钢筋及预埋件进行检查。模板应检查尺寸、位置（轴线和标高</w:t>
      </w:r>
      <w:r>
        <w:rPr>
          <w:spacing w:val="-216"/>
          <w:sz w:val="36"/>
        </w:rPr>
        <w:t>）</w:t>
      </w:r>
      <w:r>
        <w:rPr>
          <w:spacing w:val="-1"/>
          <w:sz w:val="36"/>
        </w:rPr>
        <w:t xml:space="preserve">、垂直度是否正确，支撑系统是否牢固，模板接缝是否严密， </w:t>
      </w:r>
      <w:r>
        <w:rPr>
          <w:sz w:val="36"/>
        </w:rPr>
        <w:t>模板内垃圾是否清理干净。钢筋应检查其种类、规格、数量、位置和接头是否符</w:t>
      </w:r>
      <w:r>
        <w:rPr>
          <w:spacing w:val="-12"/>
          <w:sz w:val="36"/>
        </w:rPr>
        <w:t>合设计要求，预埋件位置和数量是否正确，钢筋上油污是否清除干净，并做好隐蔽工程验收记录。</w:t>
      </w:r>
    </w:p>
    <w:p>
      <w:pPr>
        <w:pStyle w:val="ListParagraph"/>
        <w:numPr>
          <w:ilvl w:val="0"/>
          <w:numId w:val="18"/>
        </w:numPr>
        <w:tabs>
          <w:tab w:val="left" w:pos="1421"/>
        </w:tabs>
        <w:spacing w:before="5" w:after="0" w:line="364" w:lineRule="auto"/>
        <w:ind w:left="700" w:right="2558" w:firstLine="0"/>
        <w:jc w:val="left"/>
        <w:rPr>
          <w:sz w:val="36"/>
        </w:rPr>
      </w:pPr>
      <w:r>
        <w:rPr>
          <w:spacing w:val="-1"/>
          <w:sz w:val="36"/>
        </w:rPr>
        <w:t>入库的水泥要按品种、标号、出厂日期分开堆放，并立有标识牌，防止水泥</w:t>
      </w:r>
      <w:r>
        <w:rPr>
          <w:sz w:val="36"/>
        </w:rPr>
        <w:t>受潮，为了避免贮存时间过长而结块降低强度，做到先到先用。</w:t>
      </w:r>
    </w:p>
    <w:p>
      <w:pPr>
        <w:pStyle w:val="ListParagraph"/>
        <w:numPr>
          <w:ilvl w:val="0"/>
          <w:numId w:val="18"/>
        </w:numPr>
        <w:tabs>
          <w:tab w:val="left" w:pos="1421"/>
        </w:tabs>
        <w:spacing w:before="2" w:after="0" w:line="240" w:lineRule="auto"/>
        <w:ind w:left="1420" w:right="0" w:hanging="721"/>
        <w:jc w:val="left"/>
        <w:rPr>
          <w:sz w:val="36"/>
        </w:rPr>
      </w:pPr>
      <w:r>
        <w:rPr>
          <w:sz w:val="36"/>
        </w:rPr>
        <w:t>砂、石的选用要符合设计及规范要求，并应有产品合格证和质量检验报告。</w:t>
      </w:r>
    </w:p>
    <w:p>
      <w:pPr>
        <w:pStyle w:val="ListParagraph"/>
        <w:numPr>
          <w:ilvl w:val="0"/>
          <w:numId w:val="18"/>
        </w:numPr>
        <w:tabs>
          <w:tab w:val="left" w:pos="1421"/>
        </w:tabs>
        <w:spacing w:before="241" w:after="0" w:line="364" w:lineRule="auto"/>
        <w:ind w:left="700" w:right="2697" w:firstLine="0"/>
        <w:jc w:val="left"/>
        <w:rPr>
          <w:sz w:val="36"/>
        </w:rPr>
      </w:pPr>
      <w:r>
        <w:rPr>
          <w:spacing w:val="-9"/>
          <w:sz w:val="36"/>
        </w:rPr>
        <w:t>在混凝土施工阶段应掌握天气变化情况，特别在雷雨台风季节和寒流突然袭</w:t>
      </w:r>
      <w:r>
        <w:rPr>
          <w:sz w:val="36"/>
        </w:rPr>
        <w:t>击之际，更应注意。以保证混凝土连续浇筑的顺利进行，确保混凝土质量。</w:t>
      </w:r>
    </w:p>
    <w:p>
      <w:pPr>
        <w:pStyle w:val="ListParagraph"/>
        <w:numPr>
          <w:ilvl w:val="0"/>
          <w:numId w:val="18"/>
        </w:numPr>
        <w:tabs>
          <w:tab w:val="left" w:pos="1421"/>
        </w:tabs>
        <w:spacing w:before="2" w:after="0" w:line="364" w:lineRule="auto"/>
        <w:ind w:left="700" w:right="2522" w:firstLine="0"/>
        <w:jc w:val="left"/>
        <w:rPr>
          <w:sz w:val="36"/>
        </w:rPr>
      </w:pPr>
      <w:r>
        <w:rPr>
          <w:spacing w:val="-20"/>
          <w:sz w:val="36"/>
        </w:rPr>
        <w:t xml:space="preserve">混凝土浇筑前，应先用水湿润模板。在施工缝处铺同混凝土成份的水泥砂浆， </w:t>
      </w:r>
      <w:r>
        <w:rPr>
          <w:sz w:val="36"/>
        </w:rPr>
        <w:t>柱混凝土与楼板混凝土分开浇筑。在钢筋较密处可用细石混凝土浇筑。</w:t>
      </w:r>
    </w:p>
    <w:p>
      <w:pPr>
        <w:pStyle w:val="ListParagraph"/>
        <w:numPr>
          <w:ilvl w:val="0"/>
          <w:numId w:val="18"/>
        </w:numPr>
        <w:tabs>
          <w:tab w:val="left" w:pos="1421"/>
        </w:tabs>
        <w:spacing w:before="2" w:after="0" w:line="364" w:lineRule="auto"/>
        <w:ind w:left="700" w:right="2517" w:firstLine="0"/>
        <w:jc w:val="left"/>
        <w:rPr>
          <w:sz w:val="36"/>
        </w:rPr>
      </w:pPr>
      <w:r>
        <w:rPr>
          <w:spacing w:val="-16"/>
          <w:sz w:val="36"/>
        </w:rPr>
        <w:t>混凝土浇捣前对各部位必须进行现场交底，主要为浇捣顺序要点、操作规程、</w:t>
      </w:r>
      <w:r>
        <w:rPr>
          <w:sz w:val="36"/>
        </w:rPr>
        <w:t>安全规程及技术规程，并严格按交底来施工。</w:t>
      </w:r>
    </w:p>
    <w:p>
      <w:pPr>
        <w:pStyle w:val="ListParagraph"/>
        <w:numPr>
          <w:ilvl w:val="0"/>
          <w:numId w:val="18"/>
        </w:numPr>
        <w:tabs>
          <w:tab w:val="left" w:pos="1421"/>
        </w:tabs>
        <w:spacing w:before="2" w:after="0" w:line="364" w:lineRule="auto"/>
        <w:ind w:left="700" w:right="2520" w:firstLine="0"/>
        <w:jc w:val="left"/>
        <w:rPr>
          <w:sz w:val="36"/>
        </w:rPr>
      </w:pPr>
      <w:r>
        <w:rPr>
          <w:spacing w:val="-9"/>
          <w:sz w:val="36"/>
        </w:rPr>
        <w:t>浇捣前组织好足够的劳动力，并排出分组人员名单及各小组名单，安排好现</w:t>
      </w:r>
      <w:r>
        <w:rPr>
          <w:spacing w:val="-22"/>
          <w:sz w:val="36"/>
        </w:rPr>
        <w:t>场施工班子的轮流值班工作。配备夜间照明灯具及机具修理人员、电工值班人员、</w:t>
      </w:r>
      <w:r>
        <w:rPr>
          <w:sz w:val="36"/>
        </w:rPr>
        <w:t>后勤管理人员。</w:t>
      </w:r>
    </w:p>
    <w:p>
      <w:pPr>
        <w:pStyle w:val="ListParagraph"/>
        <w:numPr>
          <w:ilvl w:val="0"/>
          <w:numId w:val="18"/>
        </w:numPr>
        <w:tabs>
          <w:tab w:val="left" w:pos="1421"/>
        </w:tabs>
        <w:spacing w:before="3" w:after="0" w:line="240" w:lineRule="auto"/>
        <w:ind w:left="1420" w:right="0" w:hanging="721"/>
        <w:jc w:val="left"/>
        <w:rPr>
          <w:sz w:val="36"/>
        </w:rPr>
      </w:pPr>
      <w:r>
        <w:rPr>
          <w:sz w:val="36"/>
        </w:rPr>
        <w:t>钢筋班及木工班人员跟班作业，检查钢筋及模板的情况。</w:t>
      </w:r>
    </w:p>
    <w:p>
      <w:pPr>
        <w:pStyle w:val="BodyText"/>
        <w:spacing w:before="240" w:line="364" w:lineRule="auto"/>
        <w:ind w:left="700" w:right="2702"/>
        <w:jc w:val="both"/>
      </w:pPr>
      <w:r>
        <w:t>a、混凝土墙体浇筑时，把洞口两侧混凝土调整到大体一致。振捣时振捣棒应距</w:t>
      </w:r>
      <w:r>
        <w:rPr>
          <w:spacing w:val="-25"/>
        </w:rPr>
        <w:t xml:space="preserve">沿口 </w:t>
      </w:r>
      <w:r>
        <w:t>30CM</w:t>
      </w:r>
      <w:r>
        <w:rPr>
          <w:spacing w:val="-10"/>
        </w:rPr>
        <w:t xml:space="preserve"> 以上，最好从两侧同时振捣，以防止洞口变形。大洞口下部应开口并</w:t>
      </w:r>
      <w:r>
        <w:t>补充振捣。</w:t>
      </w:r>
    </w:p>
    <w:p>
      <w:pPr>
        <w:pStyle w:val="BodyText"/>
        <w:spacing w:before="4"/>
        <w:ind w:left="700"/>
      </w:pPr>
      <w:r>
        <w:t>2、混凝土浇捣的主要方法及要领</w:t>
      </w:r>
    </w:p>
    <w:p>
      <w:pPr>
        <w:pStyle w:val="BodyText"/>
        <w:spacing w:before="241"/>
        <w:ind w:left="700"/>
      </w:pPr>
      <w:r>
        <w:t>(1) 柱子混凝土浇筑：</w:t>
      </w:r>
    </w:p>
    <w:p>
      <w:pPr>
        <w:pStyle w:val="BodyText"/>
        <w:spacing w:before="241" w:line="364" w:lineRule="auto"/>
        <w:ind w:left="700" w:right="2557"/>
      </w:pPr>
      <w:r>
        <w:t>a</w:t>
      </w:r>
      <w:r>
        <w:rPr>
          <w:spacing w:val="-6"/>
        </w:rPr>
        <w:t xml:space="preserve">、柱混凝土浇筑前底部应先填以 </w:t>
      </w:r>
      <w:r>
        <w:t>5~10cm</w:t>
      </w:r>
      <w:r>
        <w:rPr>
          <w:spacing w:val="-11"/>
        </w:rPr>
        <w:t xml:space="preserve"> 与混凝土配比相同的减半石子混凝土。</w:t>
      </w:r>
      <w:r>
        <w:rPr>
          <w:spacing w:val="1"/>
        </w:rPr>
        <w:t xml:space="preserve">柱混凝土应分层振捣，使用插入式振捣器时每层厚度不大于 </w:t>
      </w:r>
      <w:r>
        <w:t>50cm，振捣不得撬动钢筋和预埋件，并须有专人在下面随时检查模板。</w:t>
      </w:r>
    </w:p>
    <w:p>
      <w:pPr>
        <w:spacing w:after="0" w:line="364" w:lineRule="auto"/>
        <w:sectPr>
          <w:headerReference w:type="default" r:id="rId26"/>
          <w:footerReference w:type="default" r:id="rId27"/>
          <w:pgSz w:w="17860" w:h="25260"/>
          <w:pgMar w:top="1400" w:right="0" w:bottom="2020" w:left="2000" w:header="1054" w:footer="1831"/>
          <w:pgNumType w:start="10"/>
          <w:cols w:space="708"/>
        </w:sectPr>
      </w:pPr>
    </w:p>
    <w:p>
      <w:pPr>
        <w:pStyle w:val="BodyText"/>
        <w:rPr>
          <w:sz w:val="20"/>
        </w:rPr>
      </w:pPr>
    </w:p>
    <w:p>
      <w:pPr>
        <w:pStyle w:val="BodyText"/>
        <w:spacing w:before="11"/>
        <w:rPr>
          <w:sz w:val="20"/>
        </w:rPr>
      </w:pPr>
    </w:p>
    <w:p>
      <w:pPr>
        <w:pStyle w:val="BodyText"/>
        <w:spacing w:before="49" w:line="364" w:lineRule="auto"/>
        <w:ind w:left="700" w:right="2695"/>
        <w:jc w:val="both"/>
      </w:pPr>
      <w:r>
        <w:t>b</w:t>
      </w:r>
      <w:r>
        <w:rPr>
          <w:spacing w:val="-16"/>
        </w:rPr>
        <w:t xml:space="preserve">、柱高在 </w:t>
      </w:r>
      <w:r>
        <w:t>3m</w:t>
      </w:r>
      <w:r>
        <w:rPr>
          <w:spacing w:val="-14"/>
        </w:rPr>
        <w:t xml:space="preserve"> 之内，可在柱顶直接下混凝土浇筑，柱高超过 </w:t>
      </w:r>
      <w:r>
        <w:t>3m</w:t>
      </w:r>
      <w:r>
        <w:rPr>
          <w:spacing w:val="-14"/>
        </w:rPr>
        <w:t xml:space="preserve"> 时采用串筒或在</w:t>
      </w:r>
      <w:r>
        <w:rPr>
          <w:spacing w:val="1"/>
        </w:rPr>
        <w:t xml:space="preserve">模板侧面开门洞装斜溜槽分段浇筑。每段的高度不得超过 </w:t>
      </w:r>
      <w:r>
        <w:t>2m，并在浇筑后将门洞封实，用柱箍箍实。</w:t>
      </w:r>
    </w:p>
    <w:p>
      <w:pPr>
        <w:pStyle w:val="BodyText"/>
        <w:spacing w:before="4" w:line="364" w:lineRule="auto"/>
        <w:ind w:left="700" w:right="2700"/>
        <w:jc w:val="both"/>
      </w:pPr>
      <w:r>
        <w:t>c、柱混凝土应一次浇筑完毕，如需留施工缝，应留在主梁下或主梁面，无梁楼</w:t>
      </w:r>
      <w:r>
        <w:rPr>
          <w:spacing w:val="-12"/>
        </w:rPr>
        <w:t>板应留在柱帽下面。柱混凝土与梁板整体浇筑时，应在柱混凝土浇筑完毕后停歇</w:t>
      </w:r>
      <w:r>
        <w:t>1-1.5H，使其获得初步沉实，再继续浇筑。</w:t>
      </w:r>
    </w:p>
    <w:p>
      <w:pPr>
        <w:pStyle w:val="Heading3"/>
      </w:pPr>
      <w:r>
        <w:rPr>
          <w:w w:val="95"/>
        </w:rPr>
        <w:t>（八）砖砌体砌筑工程</w:t>
      </w:r>
    </w:p>
    <w:p>
      <w:pPr>
        <w:pStyle w:val="BodyText"/>
        <w:spacing w:before="241" w:line="364" w:lineRule="auto"/>
        <w:ind w:left="700" w:right="2698" w:firstLine="539"/>
        <w:jc w:val="both"/>
      </w:pPr>
      <w:r>
        <w:rPr>
          <w:spacing w:val="-2"/>
        </w:rPr>
        <w:t>本工程基础将采用标准砖，</w:t>
      </w:r>
      <w:r>
        <w:rPr>
          <w:spacing w:val="-15"/>
        </w:rPr>
        <w:t>MU10</w:t>
      </w:r>
      <w:r>
        <w:rPr>
          <w:spacing w:val="-14"/>
        </w:rPr>
        <w:t xml:space="preserve"> 水泥砂浆砌筑，</w:t>
      </w:r>
      <w:r>
        <w:rPr>
          <w:spacing w:val="-11"/>
        </w:rPr>
        <w:t>±0.000</w:t>
      </w:r>
      <w:r>
        <w:rPr>
          <w:spacing w:val="-31"/>
        </w:rPr>
        <w:t xml:space="preserve"> 以下采用 </w:t>
      </w:r>
      <w:r>
        <w:t>MU20</w:t>
      </w:r>
      <w:r>
        <w:rPr>
          <w:spacing w:val="-35"/>
        </w:rPr>
        <w:t xml:space="preserve"> 烧结</w:t>
      </w:r>
      <w:r>
        <w:t>非黏土实心砖，M5 混合砂浆砌筑。砖的品种、规格必须符合设计要求，并有出厂合格证和复试报告。</w:t>
      </w:r>
    </w:p>
    <w:p>
      <w:pPr>
        <w:pStyle w:val="BodyText"/>
        <w:spacing w:before="4"/>
        <w:ind w:left="1240"/>
      </w:pPr>
      <w:r>
        <w:t>砌筑工艺：弹线、立皮数杆、摆砖、立头角、砌筑。</w:t>
      </w:r>
    </w:p>
    <w:p>
      <w:pPr>
        <w:pStyle w:val="BodyText"/>
        <w:spacing w:before="240" w:line="364" w:lineRule="auto"/>
        <w:ind w:left="700" w:right="2517" w:firstLine="539"/>
      </w:pPr>
      <w:r>
        <w:t>砂浆配制：按配合比搅好砂浆，计量准确，搅拌充分，砂浆要有良好的和易</w:t>
      </w:r>
      <w:r>
        <w:rPr>
          <w:spacing w:val="-21"/>
        </w:rPr>
        <w:t xml:space="preserve">性和保水性。砌筑时，要求组砌方法正确，首先进行盘角，盘角不得超过五皮砖， </w:t>
      </w:r>
      <w:r>
        <w:t>并进行吊线、靠直，如有偏差及时修正，盘角时严格按皮数杆的划线，控制好灰</w:t>
      </w:r>
      <w:r>
        <w:rPr>
          <w:spacing w:val="-19"/>
        </w:rPr>
        <w:t xml:space="preserve">缝厚度为 </w:t>
      </w:r>
      <w:r>
        <w:t>8--12MM，中间按头角砖拉通线砌筑。</w:t>
      </w:r>
    </w:p>
    <w:p>
      <w:pPr>
        <w:spacing w:before="4" w:line="364" w:lineRule="auto"/>
        <w:ind w:left="700" w:right="9036" w:firstLine="0"/>
        <w:jc w:val="left"/>
        <w:rPr>
          <w:sz w:val="36"/>
        </w:rPr>
      </w:pPr>
      <w:r>
        <w:rPr>
          <w:b/>
          <w:w w:val="95"/>
          <w:sz w:val="36"/>
        </w:rPr>
        <w:t>（九）</w:t>
      </w:r>
      <w:r>
        <w:rPr>
          <w:b/>
          <w:spacing w:val="-2"/>
          <w:w w:val="95"/>
          <w:sz w:val="36"/>
        </w:rPr>
        <w:t xml:space="preserve">铝合金龙骨条形板吊顶施工工艺 </w:t>
      </w:r>
      <w:r>
        <w:rPr>
          <w:sz w:val="36"/>
        </w:rPr>
        <w:t>1、作业条件：</w:t>
      </w:r>
    </w:p>
    <w:p>
      <w:pPr>
        <w:pStyle w:val="BodyText"/>
        <w:spacing w:before="2" w:line="364" w:lineRule="auto"/>
        <w:ind w:left="700" w:right="2558" w:firstLine="719"/>
      </w:pPr>
      <w:r>
        <w:t>在吊顶内各种管线已基本安装完毕，经检查无返修，四周墙面粉刷已完成， 开始吊顶施工。复罩面板前,各不同工种需在板面留洞时，必须及时对留洞位置与规格尺寸做好交底。</w:t>
      </w:r>
    </w:p>
    <w:p>
      <w:pPr>
        <w:pStyle w:val="BodyText"/>
        <w:spacing w:before="3"/>
        <w:ind w:left="700"/>
      </w:pPr>
      <w:r>
        <w:t>2、工序安排：</w:t>
      </w:r>
    </w:p>
    <w:p>
      <w:pPr>
        <w:pStyle w:val="BodyText"/>
        <w:spacing w:before="241" w:line="364" w:lineRule="auto"/>
        <w:ind w:left="700" w:right="2916"/>
      </w:pPr>
      <w:r>
        <w:rPr>
          <w:spacing w:val="-1"/>
        </w:rPr>
        <w:t>放线——打孔——铝合金龙骨安装——覆面板安装——校水平——罩面板安装</w:t>
      </w:r>
      <w:r>
        <w:t>3、操作要点：</w:t>
      </w:r>
    </w:p>
    <w:p>
      <w:pPr>
        <w:pStyle w:val="BodyText"/>
        <w:spacing w:before="3" w:line="364" w:lineRule="auto"/>
        <w:ind w:left="700" w:right="2696"/>
        <w:jc w:val="both"/>
      </w:pPr>
      <w:r>
        <w:rPr>
          <w:spacing w:val="-14"/>
        </w:rPr>
        <w:t xml:space="preserve">作好图纸交底后，根据基准线，弹出吊顶水平设计标高线，吊杆方木按 </w:t>
      </w:r>
      <w:r>
        <w:t>500</w:t>
      </w:r>
      <w:r>
        <w:rPr>
          <w:spacing w:val="-36"/>
        </w:rPr>
        <w:t xml:space="preserve"> 中距</w:t>
      </w:r>
      <w:r>
        <w:rPr>
          <w:spacing w:val="-12"/>
        </w:rPr>
        <w:t>布置，在钉好的吊杆上按吊顶设计标高固定，再覆上九厘板基板，然后打上强力</w:t>
      </w:r>
      <w:r>
        <w:t>胶，粘结铝面板。</w:t>
      </w:r>
    </w:p>
    <w:p>
      <w:pPr>
        <w:spacing w:before="2" w:line="364" w:lineRule="auto"/>
        <w:ind w:left="700" w:right="11687" w:firstLine="0"/>
        <w:jc w:val="left"/>
        <w:rPr>
          <w:sz w:val="36"/>
        </w:rPr>
      </w:pPr>
      <w:r>
        <w:rPr>
          <w:b/>
          <w:sz w:val="36"/>
        </w:rPr>
        <w:t>（十） 涂料施工工艺</w:t>
      </w:r>
      <w:r>
        <w:rPr>
          <w:sz w:val="36"/>
        </w:rPr>
        <w:t>1、工序安排：</w:t>
      </w:r>
    </w:p>
    <w:p>
      <w:pPr>
        <w:pStyle w:val="BodyText"/>
        <w:spacing w:before="2"/>
        <w:ind w:left="700"/>
      </w:pPr>
      <w:r>
        <w:t>基层处理——批腻子——打砂纸——刷漆</w:t>
      </w:r>
    </w:p>
    <w:p>
      <w:pPr>
        <w:spacing w:after="0"/>
        <w:sectPr>
          <w:headerReference w:type="default" r:id="rId28"/>
          <w:footerReference w:type="default" r:id="rId29"/>
          <w:pgSz w:w="17860" w:h="25260"/>
          <w:pgMar w:top="1400" w:right="0" w:bottom="2020" w:left="2000" w:header="1054" w:footer="1831"/>
          <w:pgNumType w:start="11"/>
          <w:cols w:space="708"/>
        </w:sectPr>
      </w:pPr>
    </w:p>
    <w:p>
      <w:pPr>
        <w:pStyle w:val="BodyText"/>
        <w:rPr>
          <w:sz w:val="20"/>
        </w:rPr>
      </w:pPr>
    </w:p>
    <w:p>
      <w:pPr>
        <w:pStyle w:val="BodyText"/>
        <w:spacing w:before="11"/>
        <w:rPr>
          <w:sz w:val="20"/>
        </w:rPr>
      </w:pPr>
    </w:p>
    <w:p>
      <w:pPr>
        <w:pStyle w:val="BodyText"/>
        <w:spacing w:before="49"/>
        <w:ind w:left="700"/>
      </w:pPr>
      <w:r>
        <w:t>2、操作要点：</w:t>
      </w:r>
    </w:p>
    <w:p>
      <w:pPr>
        <w:pStyle w:val="ListParagraph"/>
        <w:numPr>
          <w:ilvl w:val="0"/>
          <w:numId w:val="17"/>
        </w:numPr>
        <w:tabs>
          <w:tab w:val="left" w:pos="1421"/>
        </w:tabs>
        <w:spacing w:before="242" w:after="0" w:line="364" w:lineRule="auto"/>
        <w:ind w:left="700" w:right="2556" w:firstLine="0"/>
        <w:jc w:val="both"/>
        <w:rPr>
          <w:sz w:val="36"/>
        </w:rPr>
      </w:pPr>
      <w:r>
        <w:rPr>
          <w:spacing w:val="-1"/>
          <w:sz w:val="36"/>
        </w:rPr>
        <w:t>基层表面处理，油漆施工的基层表面必须坚实，无酥松、脱皮、起砂、粉化等现象，除去表面的油污、灰尘、泥土、基层表面要平整，孔洞、裂缝须用腻子</w:t>
      </w:r>
      <w:r>
        <w:rPr>
          <w:sz w:val="36"/>
        </w:rPr>
        <w:t>批嵌。</w:t>
      </w:r>
    </w:p>
    <w:p>
      <w:pPr>
        <w:pStyle w:val="ListParagraph"/>
        <w:numPr>
          <w:ilvl w:val="0"/>
          <w:numId w:val="17"/>
        </w:numPr>
        <w:tabs>
          <w:tab w:val="left" w:pos="1421"/>
        </w:tabs>
        <w:spacing w:before="2" w:after="0" w:line="364" w:lineRule="auto"/>
        <w:ind w:left="700" w:right="2558" w:firstLine="0"/>
        <w:jc w:val="left"/>
        <w:rPr>
          <w:sz w:val="36"/>
        </w:rPr>
      </w:pPr>
      <w:r>
        <w:rPr>
          <w:spacing w:val="-1"/>
          <w:sz w:val="36"/>
        </w:rPr>
        <w:t>批腻子的要点是实、平、光即做到密实牢固、平整光洁，为涂饰质量做好基</w:t>
      </w:r>
      <w:r>
        <w:rPr>
          <w:spacing w:val="-13"/>
          <w:sz w:val="36"/>
        </w:rPr>
        <w:t>础。嵌、批工序要在涂刷底漆并待其干燥后进行，以防止腻子中的漆料被基层过多吸收而影响腻子的附着性。</w:t>
      </w:r>
    </w:p>
    <w:p>
      <w:pPr>
        <w:pStyle w:val="ListParagraph"/>
        <w:numPr>
          <w:ilvl w:val="0"/>
          <w:numId w:val="17"/>
        </w:numPr>
        <w:tabs>
          <w:tab w:val="left" w:pos="1421"/>
        </w:tabs>
        <w:spacing w:before="3" w:after="0" w:line="364" w:lineRule="auto"/>
        <w:ind w:left="700" w:right="2662" w:firstLine="0"/>
        <w:jc w:val="both"/>
        <w:rPr>
          <w:sz w:val="36"/>
        </w:rPr>
      </w:pPr>
      <w:r>
        <w:rPr>
          <w:spacing w:val="-8"/>
          <w:sz w:val="36"/>
        </w:rPr>
        <w:t>用砂纸对被涂面进行研磨，根据不同要求和研磨目的，分三次研磨：基底打</w:t>
      </w:r>
      <w:r>
        <w:rPr>
          <w:spacing w:val="-14"/>
          <w:sz w:val="36"/>
        </w:rPr>
        <w:t>磨、层间打磨、和面层打磨，使油漆涂层附着力好,被涂面平整美观,棱角、线条</w:t>
      </w:r>
      <w:r>
        <w:rPr>
          <w:sz w:val="36"/>
        </w:rPr>
        <w:t>更挺直、清晰。</w:t>
      </w:r>
    </w:p>
    <w:p>
      <w:pPr>
        <w:pStyle w:val="ListParagraph"/>
        <w:numPr>
          <w:ilvl w:val="0"/>
          <w:numId w:val="17"/>
        </w:numPr>
        <w:tabs>
          <w:tab w:val="left" w:pos="1421"/>
        </w:tabs>
        <w:spacing w:before="4" w:after="0" w:line="364" w:lineRule="auto"/>
        <w:ind w:left="700" w:right="2522" w:firstLine="0"/>
        <w:jc w:val="both"/>
        <w:rPr>
          <w:sz w:val="36"/>
        </w:rPr>
      </w:pPr>
      <w:r>
        <w:rPr>
          <w:spacing w:val="-21"/>
          <w:sz w:val="36"/>
        </w:rPr>
        <w:t xml:space="preserve">涂饰乳胶漆时动作要快，相互间要配合好，刷均，特别是接头处要刷开刷均， </w:t>
      </w:r>
      <w:r>
        <w:rPr>
          <w:sz w:val="36"/>
        </w:rPr>
        <w:t>然后再轻轻理干。</w:t>
      </w:r>
    </w:p>
    <w:p>
      <w:pPr>
        <w:spacing w:before="1" w:line="364" w:lineRule="auto"/>
        <w:ind w:left="700" w:right="10476" w:firstLine="0"/>
        <w:jc w:val="left"/>
        <w:rPr>
          <w:sz w:val="36"/>
        </w:rPr>
      </w:pPr>
      <w:r>
        <w:rPr>
          <w:b/>
          <w:w w:val="95"/>
          <w:sz w:val="36"/>
        </w:rPr>
        <w:t>（十一）</w:t>
      </w:r>
      <w:r>
        <w:rPr>
          <w:b/>
          <w:spacing w:val="-2"/>
          <w:w w:val="95"/>
          <w:sz w:val="36"/>
        </w:rPr>
        <w:t xml:space="preserve">地砖、瓷砖饰面工程 </w:t>
      </w:r>
      <w:r>
        <w:rPr>
          <w:sz w:val="36"/>
        </w:rPr>
        <w:t>1、地砖、瓷砖饰面操作工序</w:t>
      </w:r>
    </w:p>
    <w:p>
      <w:pPr>
        <w:pStyle w:val="ListParagraph"/>
        <w:numPr>
          <w:ilvl w:val="0"/>
          <w:numId w:val="16"/>
        </w:numPr>
        <w:tabs>
          <w:tab w:val="left" w:pos="1421"/>
        </w:tabs>
        <w:spacing w:before="2" w:after="0" w:line="240" w:lineRule="auto"/>
        <w:ind w:left="1420" w:right="0" w:hanging="721"/>
        <w:jc w:val="left"/>
        <w:rPr>
          <w:sz w:val="36"/>
        </w:rPr>
      </w:pPr>
      <w:r>
        <w:rPr>
          <w:sz w:val="36"/>
        </w:rPr>
        <w:t>粘接剂法</w:t>
      </w:r>
    </w:p>
    <w:p>
      <w:pPr>
        <w:pStyle w:val="BodyText"/>
        <w:spacing w:before="241"/>
        <w:ind w:left="700"/>
      </w:pPr>
      <w:r>
        <w:t>原面层凿除、 找平、粘接剂粘贴瓷砖、配色填缝剂填缝</w:t>
      </w:r>
    </w:p>
    <w:p>
      <w:pPr>
        <w:pStyle w:val="ListParagraph"/>
        <w:numPr>
          <w:ilvl w:val="0"/>
          <w:numId w:val="16"/>
        </w:numPr>
        <w:tabs>
          <w:tab w:val="left" w:pos="1421"/>
        </w:tabs>
        <w:spacing w:before="241" w:after="0" w:line="240" w:lineRule="auto"/>
        <w:ind w:left="1420" w:right="0" w:hanging="721"/>
        <w:jc w:val="left"/>
        <w:rPr>
          <w:sz w:val="36"/>
        </w:rPr>
      </w:pPr>
      <w:r>
        <w:rPr>
          <w:sz w:val="36"/>
        </w:rPr>
        <w:t>水泥砂浆法</w:t>
      </w:r>
    </w:p>
    <w:p>
      <w:pPr>
        <w:pStyle w:val="BodyText"/>
        <w:spacing w:before="241" w:line="364" w:lineRule="auto"/>
        <w:ind w:left="700" w:right="2688"/>
      </w:pPr>
      <w:r>
        <w:rPr>
          <w:spacing w:val="-4"/>
        </w:rPr>
        <w:t>原面层凿毛、清理 、找平、 基层处理、放线、分格 、</w:t>
      </w:r>
      <w:r>
        <w:rPr>
          <w:spacing w:val="-3"/>
        </w:rPr>
        <w:t>1：3</w:t>
      </w:r>
      <w:r>
        <w:rPr>
          <w:spacing w:val="-14"/>
        </w:rPr>
        <w:t xml:space="preserve"> 水泥砂浆抹平、贴</w:t>
      </w:r>
      <w:r>
        <w:t>瓷砖、配色填缝剂填缝</w:t>
      </w:r>
    </w:p>
    <w:p>
      <w:pPr>
        <w:pStyle w:val="BodyText"/>
        <w:spacing w:before="2"/>
        <w:ind w:left="700"/>
      </w:pPr>
      <w:r>
        <w:t>2、操作工艺</w:t>
      </w:r>
    </w:p>
    <w:p>
      <w:pPr>
        <w:pStyle w:val="ListParagraph"/>
        <w:numPr>
          <w:ilvl w:val="0"/>
          <w:numId w:val="15"/>
        </w:numPr>
        <w:tabs>
          <w:tab w:val="left" w:pos="1421"/>
        </w:tabs>
        <w:spacing w:before="241" w:after="0" w:line="240" w:lineRule="auto"/>
        <w:ind w:left="1420" w:right="0" w:hanging="721"/>
        <w:jc w:val="left"/>
        <w:rPr>
          <w:sz w:val="36"/>
        </w:rPr>
      </w:pPr>
      <w:r>
        <w:rPr>
          <w:sz w:val="36"/>
        </w:rPr>
        <w:t>地砖铺贴操作工艺：</w:t>
      </w:r>
    </w:p>
    <w:p>
      <w:pPr>
        <w:pStyle w:val="BodyText"/>
        <w:spacing w:before="240" w:line="364" w:lineRule="auto"/>
        <w:ind w:left="700" w:right="7416"/>
      </w:pPr>
      <w:r>
        <w:t>a、准备工作：熟悉图纸并消化图纸，清理地面。b、弹线：弹出水平控制线并使之符合建筑标高。</w:t>
      </w:r>
    </w:p>
    <w:p>
      <w:pPr>
        <w:pStyle w:val="BodyText"/>
        <w:spacing w:before="3" w:line="364" w:lineRule="auto"/>
        <w:ind w:left="700" w:right="2736"/>
      </w:pPr>
      <w:r>
        <w:t>c、试拼：按施工图的图案、颜色、纹理试拼，然后按两个方向编号排列，按所编号码放整齐，测好相对位置。</w:t>
      </w:r>
    </w:p>
    <w:p>
      <w:pPr>
        <w:pStyle w:val="BodyText"/>
        <w:spacing w:before="2" w:line="364" w:lineRule="auto"/>
        <w:ind w:left="700" w:right="2691"/>
      </w:pPr>
      <w:r>
        <w:t>d、 刷水泥浆结合层：再次将垫层清扫干净，洒水湿润，随刷随铺水灰比为0.5 左右的素水泥浆。</w:t>
      </w:r>
    </w:p>
    <w:p>
      <w:pPr>
        <w:pStyle w:val="BodyText"/>
        <w:spacing w:before="2" w:line="364" w:lineRule="auto"/>
        <w:ind w:left="700" w:right="2698"/>
      </w:pPr>
      <w:r>
        <w:t>e、铺砂浆：根据水平线，铺找平层水泥砂浆（</w:t>
      </w:r>
      <w:r>
        <w:rPr>
          <w:spacing w:val="-4"/>
        </w:rPr>
        <w:t>找平层一般采用</w:t>
      </w:r>
      <w:r>
        <w:rPr>
          <w:spacing w:val="-10"/>
        </w:rPr>
        <w:t>1：3</w:t>
      </w:r>
      <w:r>
        <w:rPr>
          <w:spacing w:val="-19"/>
        </w:rPr>
        <w:t xml:space="preserve"> 的干硬性水</w:t>
      </w:r>
      <w:r>
        <w:rPr>
          <w:spacing w:val="-14"/>
        </w:rPr>
        <w:t>泥砂浆，干硬程度以手捏成团不松散为宜，找平层厚度宜高出大理石底面标高水</w:t>
      </w:r>
    </w:p>
    <w:p>
      <w:pPr>
        <w:spacing w:after="0" w:line="364" w:lineRule="auto"/>
        <w:sectPr>
          <w:headerReference w:type="default" r:id="rId30"/>
          <w:footerReference w:type="default" r:id="rId31"/>
          <w:pgSz w:w="17860" w:h="25260"/>
          <w:pgMar w:top="1400" w:right="0" w:bottom="2020" w:left="2000" w:header="1054" w:footer="1831"/>
          <w:pgNumType w:start="12"/>
          <w:cols w:space="708"/>
        </w:sectPr>
      </w:pPr>
    </w:p>
    <w:p>
      <w:pPr>
        <w:pStyle w:val="BodyText"/>
        <w:rPr>
          <w:sz w:val="20"/>
        </w:rPr>
      </w:pPr>
    </w:p>
    <w:p>
      <w:pPr>
        <w:pStyle w:val="BodyText"/>
        <w:spacing w:before="11"/>
        <w:rPr>
          <w:sz w:val="20"/>
        </w:rPr>
      </w:pPr>
    </w:p>
    <w:p>
      <w:pPr>
        <w:pStyle w:val="BodyText"/>
        <w:spacing w:before="49"/>
        <w:ind w:left="700"/>
      </w:pPr>
      <w:r>
        <w:t>平线 3--4 毫米）砂浆从里往外推铺刮平拍实。</w:t>
      </w:r>
    </w:p>
    <w:p>
      <w:pPr>
        <w:pStyle w:val="BodyText"/>
        <w:spacing w:before="242" w:line="364" w:lineRule="auto"/>
        <w:ind w:left="700" w:right="2556"/>
      </w:pPr>
      <w:r>
        <w:t>f、铺地砖（墙面砖</w:t>
      </w:r>
      <w:r>
        <w:rPr>
          <w:spacing w:val="-252"/>
        </w:rPr>
        <w:t>）</w:t>
      </w:r>
      <w:r>
        <w:t>：地砖铺设一般应从里向外铺，铺前应将板预先浸湿阴干后</w:t>
      </w:r>
      <w:r>
        <w:rPr>
          <w:spacing w:val="-1"/>
        </w:rPr>
        <w:t>备用，先进行试铺，对好纵横缝，用橡皮锤敲击，振实砂浆至铺设高度后，将大</w:t>
      </w:r>
      <w:r>
        <w:rPr>
          <w:spacing w:val="-10"/>
        </w:rPr>
        <w:t>理石掀起至一边，检查砂浆上表面与板块之间是否吻合，如发现空虚之处，应用</w:t>
      </w:r>
      <w:r>
        <w:rPr>
          <w:spacing w:val="-18"/>
        </w:rPr>
        <w:t xml:space="preserve">砂浆填补，在正式铺设前，先在水泥砂浆找平层上满浇一层水灰比 </w:t>
      </w:r>
      <w:r>
        <w:t>0.5</w:t>
      </w:r>
      <w:r>
        <w:rPr>
          <w:spacing w:val="-19"/>
        </w:rPr>
        <w:t xml:space="preserve"> 的素水泥浆配合层，再铺地砖，安放时要四角同时往下落，用橡皮锤轻击垫板，根据水平</w:t>
      </w:r>
      <w:r>
        <w:t>线用铁水平尺找平。地砖之间接缝要严密，一般不留缝隙。</w:t>
      </w:r>
    </w:p>
    <w:p>
      <w:pPr>
        <w:pStyle w:val="BodyText"/>
        <w:spacing w:before="5" w:line="364" w:lineRule="auto"/>
        <w:ind w:left="700" w:right="2695"/>
        <w:jc w:val="both"/>
      </w:pPr>
      <w:r>
        <w:t>g、擦缝：在铺设后进行灌浆擦缝，根据砖的颜色，选择相同颜色矿物颜料和水</w:t>
      </w:r>
      <w:r>
        <w:rPr>
          <w:spacing w:val="-10"/>
        </w:rPr>
        <w:t xml:space="preserve">泥拌合均匀调成 </w:t>
      </w:r>
      <w:r>
        <w:t>1</w:t>
      </w:r>
      <w:r>
        <w:rPr>
          <w:spacing w:val="1"/>
        </w:rPr>
        <w:t>：</w:t>
      </w:r>
      <w:r>
        <w:t>1</w:t>
      </w:r>
      <w:r>
        <w:rPr>
          <w:spacing w:val="-9"/>
        </w:rPr>
        <w:t xml:space="preserve"> 稀水泥浆，用壶徐徐灌入地砖之间 缝隙</w:t>
      </w:r>
      <w:r>
        <w:t>（分几次进行</w:t>
      </w:r>
      <w:r>
        <w:rPr>
          <w:spacing w:val="-188"/>
        </w:rPr>
        <w:t>）</w:t>
      </w:r>
      <w:r>
        <w:rPr>
          <w:spacing w:val="-8"/>
        </w:rPr>
        <w:t>，</w:t>
      </w:r>
      <w:r>
        <w:rPr>
          <w:spacing w:val="-4"/>
        </w:rPr>
        <w:t xml:space="preserve">并用长把刮板把流出的水泥浆向缝内喂灰灌浆 </w:t>
      </w:r>
      <w:r>
        <w:t>1--2</w:t>
      </w:r>
      <w:r>
        <w:rPr>
          <w:spacing w:val="-10"/>
        </w:rPr>
        <w:t xml:space="preserve"> 次后，用棉丝团蘸原稀水泥</w:t>
      </w:r>
      <w:r>
        <w:t>浆擦缝，与板在擦平，同时将板面上水泥浆擦净。然后面层加复盖保护。</w:t>
      </w:r>
    </w:p>
    <w:p>
      <w:pPr>
        <w:pStyle w:val="ListParagraph"/>
        <w:numPr>
          <w:ilvl w:val="0"/>
          <w:numId w:val="15"/>
        </w:numPr>
        <w:tabs>
          <w:tab w:val="left" w:pos="1421"/>
        </w:tabs>
        <w:spacing w:before="5" w:after="0" w:line="240" w:lineRule="auto"/>
        <w:ind w:left="1420" w:right="0" w:hanging="721"/>
        <w:jc w:val="both"/>
        <w:rPr>
          <w:sz w:val="36"/>
        </w:rPr>
      </w:pPr>
      <w:r>
        <w:rPr>
          <w:sz w:val="36"/>
        </w:rPr>
        <w:t>墙面砖铺贴操作工艺：</w:t>
      </w:r>
    </w:p>
    <w:p>
      <w:pPr>
        <w:pStyle w:val="BodyText"/>
        <w:spacing w:before="240" w:line="364" w:lineRule="auto"/>
        <w:ind w:left="700" w:right="6336"/>
      </w:pPr>
      <w:r>
        <w:t>a、准备工作：熟悉图纸并消化图纸，凿除并清理墙面。b、弹线并进行基层处理和吊垂直、套方、找规矩。</w:t>
      </w:r>
    </w:p>
    <w:p>
      <w:pPr>
        <w:pStyle w:val="BodyText"/>
        <w:spacing w:before="2" w:line="364" w:lineRule="auto"/>
        <w:ind w:left="700" w:right="2518"/>
      </w:pPr>
      <w:r>
        <w:t>c</w:t>
      </w:r>
      <w:r>
        <w:rPr>
          <w:spacing w:val="-6"/>
        </w:rPr>
        <w:t xml:space="preserve"> 、在基层湿润情况下，先刷 </w:t>
      </w:r>
      <w:r>
        <w:t>107</w:t>
      </w:r>
      <w:r>
        <w:rPr>
          <w:spacing w:val="-10"/>
        </w:rPr>
        <w:t xml:space="preserve"> 胶素水泥浆一道</w:t>
      </w:r>
      <w:r>
        <w:t>（</w:t>
      </w:r>
      <w:r>
        <w:rPr>
          <w:spacing w:val="-13"/>
        </w:rPr>
        <w:t xml:space="preserve">内掺水重 </w:t>
      </w:r>
      <w:r>
        <w:t>10%</w:t>
      </w:r>
      <w:r>
        <w:rPr>
          <w:spacing w:val="-32"/>
        </w:rPr>
        <w:t xml:space="preserve">的 </w:t>
      </w:r>
      <w:r>
        <w:t>107</w:t>
      </w:r>
      <w:r>
        <w:rPr>
          <w:spacing w:val="-33"/>
        </w:rPr>
        <w:t xml:space="preserve"> 胶</w:t>
      </w:r>
      <w:r>
        <w:rPr>
          <w:spacing w:val="-180"/>
        </w:rPr>
        <w:t>）</w:t>
      </w:r>
      <w:r>
        <w:t>，</w:t>
      </w:r>
      <w:r>
        <w:rPr>
          <w:spacing w:val="-19"/>
        </w:rPr>
        <w:t xml:space="preserve">随刷随打底，底灰采用 </w:t>
      </w:r>
      <w:r>
        <w:rPr>
          <w:spacing w:val="-34"/>
        </w:rPr>
        <w:t>1：3</w:t>
      </w:r>
      <w:r>
        <w:rPr>
          <w:spacing w:val="-31"/>
        </w:rPr>
        <w:t xml:space="preserve"> 水泥砂浆，厚度约 </w:t>
      </w:r>
      <w:r>
        <w:rPr>
          <w:spacing w:val="-21"/>
        </w:rPr>
        <w:t xml:space="preserve">12MM，分二遍操作，第一遍药 </w:t>
      </w:r>
      <w:r>
        <w:rPr>
          <w:spacing w:val="-4"/>
        </w:rPr>
        <w:t xml:space="preserve">5MM， </w:t>
      </w:r>
      <w:r>
        <w:rPr>
          <w:spacing w:val="-19"/>
        </w:rPr>
        <w:t xml:space="preserve">第二遍约 </w:t>
      </w:r>
      <w:r>
        <w:t>7MM，待底灰压实刮平后，将底子灰表面划毛。</w:t>
      </w:r>
    </w:p>
    <w:p>
      <w:pPr>
        <w:pStyle w:val="BodyText"/>
        <w:spacing w:before="3" w:line="364" w:lineRule="auto"/>
        <w:ind w:left="700" w:right="2555"/>
      </w:pPr>
      <w:r>
        <w:t>d</w:t>
      </w:r>
      <w:r>
        <w:rPr>
          <w:spacing w:val="-4"/>
        </w:rPr>
        <w:t xml:space="preserve">、待底子灰凝固后进行分块弹线，随时将块材抹上厚度为 </w:t>
      </w:r>
      <w:r>
        <w:t>2--3MM</w:t>
      </w:r>
      <w:r>
        <w:rPr>
          <w:spacing w:val="-17"/>
        </w:rPr>
        <w:t xml:space="preserve"> 的素水泥浆， </w:t>
      </w:r>
      <w:r>
        <w:rPr>
          <w:spacing w:val="-19"/>
        </w:rPr>
        <w:t xml:space="preserve">内掺水重 </w:t>
      </w:r>
      <w:r>
        <w:t>20%</w:t>
      </w:r>
      <w:r>
        <w:rPr>
          <w:spacing w:val="-45"/>
        </w:rPr>
        <w:t xml:space="preserve">的 </w:t>
      </w:r>
      <w:r>
        <w:t>107</w:t>
      </w:r>
      <w:r>
        <w:rPr>
          <w:spacing w:val="-10"/>
        </w:rPr>
        <w:t xml:space="preserve"> 胶进行镶贴。用木锤轻敲，用靠尺找平找直。</w:t>
      </w:r>
    </w:p>
    <w:p>
      <w:pPr>
        <w:pStyle w:val="ListParagraph"/>
        <w:numPr>
          <w:ilvl w:val="0"/>
          <w:numId w:val="15"/>
        </w:numPr>
        <w:tabs>
          <w:tab w:val="left" w:pos="1421"/>
        </w:tabs>
        <w:spacing w:before="2" w:after="0" w:line="240" w:lineRule="auto"/>
        <w:ind w:left="1420" w:right="0" w:hanging="721"/>
        <w:jc w:val="left"/>
        <w:rPr>
          <w:sz w:val="36"/>
        </w:rPr>
      </w:pPr>
      <w:r>
        <w:rPr>
          <w:sz w:val="36"/>
        </w:rPr>
        <w:t>质量标准：</w:t>
      </w:r>
    </w:p>
    <w:p>
      <w:pPr>
        <w:pStyle w:val="BodyText"/>
        <w:spacing w:before="241" w:line="364" w:lineRule="auto"/>
        <w:ind w:left="700" w:right="2736"/>
      </w:pPr>
      <w:r>
        <w:t>a、保证项目：铺地砖（墙面砖）</w:t>
      </w:r>
      <w:r>
        <w:rPr>
          <w:spacing w:val="-1"/>
        </w:rPr>
        <w:t>的品种、规格、质量必须符合设计要求，面层</w:t>
      </w:r>
      <w:r>
        <w:t>与基层的结合（粘结）必须牢固，无空鼓。</w:t>
      </w:r>
    </w:p>
    <w:p>
      <w:pPr>
        <w:pStyle w:val="BodyText"/>
        <w:spacing w:before="2" w:line="364" w:lineRule="auto"/>
        <w:ind w:left="700" w:right="2736"/>
      </w:pPr>
      <w:r>
        <w:t>b、地砖（墙面砖）</w:t>
      </w:r>
      <w:r>
        <w:rPr>
          <w:spacing w:val="-1"/>
        </w:rPr>
        <w:t>表面清净，图案清晰、光亮、光滑色泽一致，接缝均匀，周</w:t>
      </w:r>
      <w:r>
        <w:t>边顺直，板块无裂纹、掉角和缺棱等现象。</w:t>
      </w:r>
    </w:p>
    <w:p>
      <w:pPr>
        <w:pStyle w:val="BodyText"/>
        <w:spacing w:before="3"/>
        <w:ind w:left="700"/>
      </w:pPr>
      <w:r>
        <w:t>c、允许偏差项目：</w:t>
      </w:r>
    </w:p>
    <w:p>
      <w:pPr>
        <w:pStyle w:val="BodyText"/>
        <w:spacing w:before="240"/>
        <w:ind w:left="700"/>
      </w:pPr>
      <w:r>
        <w:t>表面、平整度：小于 1mm，用 2m 尺才楔形塞尺检查；</w:t>
      </w:r>
    </w:p>
    <w:p>
      <w:pPr>
        <w:pStyle w:val="BodyText"/>
        <w:spacing w:before="241" w:line="364" w:lineRule="auto"/>
        <w:ind w:left="700" w:right="5797"/>
      </w:pPr>
      <w:r>
        <w:rPr>
          <w:spacing w:val="-12"/>
        </w:rPr>
        <w:t xml:space="preserve">缝格平直：小于 </w:t>
      </w:r>
      <w:r>
        <w:t>2mm</w:t>
      </w:r>
      <w:r>
        <w:rPr>
          <w:spacing w:val="-60"/>
        </w:rPr>
        <w:t xml:space="preserve"> 拉 </w:t>
      </w:r>
      <w:r>
        <w:t>5m</w:t>
      </w:r>
      <w:r>
        <w:rPr>
          <w:spacing w:val="-31"/>
        </w:rPr>
        <w:t xml:space="preserve"> 线，不足 </w:t>
      </w:r>
      <w:r>
        <w:t>5m</w:t>
      </w:r>
      <w:r>
        <w:rPr>
          <w:spacing w:val="-13"/>
        </w:rPr>
        <w:t xml:space="preserve"> 拉通线和尺量检查； </w:t>
      </w:r>
      <w:r>
        <w:rPr>
          <w:spacing w:val="-10"/>
        </w:rPr>
        <w:t xml:space="preserve">接缝高低差：小于 </w:t>
      </w:r>
      <w:r>
        <w:t>0.5mm，尺量和楔形塞尺检查；</w:t>
      </w:r>
    </w:p>
    <w:p>
      <w:pPr>
        <w:pStyle w:val="BodyText"/>
        <w:spacing w:before="2"/>
        <w:ind w:left="700"/>
      </w:pPr>
      <w:r>
        <w:t>板块间隙宽度：小于 1mm，尺量检查。</w:t>
      </w:r>
    </w:p>
    <w:p>
      <w:pPr>
        <w:spacing w:after="0"/>
        <w:sectPr>
          <w:headerReference w:type="default" r:id="rId32"/>
          <w:footerReference w:type="default" r:id="rId33"/>
          <w:pgSz w:w="17860" w:h="25260"/>
          <w:pgMar w:top="1400" w:right="0" w:bottom="2020" w:left="2000" w:header="1054" w:footer="1831"/>
          <w:pgNumType w:start="1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5"/>
        </w:rPr>
      </w:pPr>
    </w:p>
    <w:p>
      <w:pPr>
        <w:pStyle w:val="Heading3"/>
        <w:spacing w:before="49" w:line="364" w:lineRule="auto"/>
        <w:ind w:right="9756"/>
      </w:pPr>
      <w:r>
        <w:rPr>
          <w:spacing w:val="-2"/>
          <w:w w:val="95"/>
        </w:rPr>
        <w:t xml:space="preserve">五、确保工程质量的技术组织措施 </w:t>
      </w:r>
      <w:r>
        <w:t>(一) 质量保证体系</w:t>
      </w:r>
    </w:p>
    <w:p>
      <w:pPr>
        <w:pStyle w:val="BodyText"/>
        <w:spacing w:before="2" w:line="364" w:lineRule="auto"/>
        <w:ind w:left="700" w:right="2556" w:firstLine="719"/>
      </w:pPr>
      <w:r>
        <w:rPr>
          <w:spacing w:val="-10"/>
        </w:rPr>
        <w:t>我公司本着对工程负责，让用户满意，使建设投资尽快发挥效益的原则，将</w:t>
      </w:r>
      <w:r>
        <w:rPr>
          <w:spacing w:val="-11"/>
        </w:rPr>
        <w:t>其列为我公司的重点工程，坚持“用户至上，质量第一，科技创新，铸造精品” 的质量方针，以我公司的质量手册为指导性文件，选派精通业务、组织能力强的</w:t>
      </w:r>
      <w:r>
        <w:rPr>
          <w:spacing w:val="-12"/>
        </w:rPr>
        <w:t>干练人员，组成强有力的工程项目班子，设质量检验、检测小组。采用先进的科</w:t>
      </w:r>
      <w:r>
        <w:rPr>
          <w:spacing w:val="1"/>
        </w:rPr>
        <w:t xml:space="preserve">学管理方法，建立完整的质量体系，推广一应用科技成果 :严格按照工 </w:t>
      </w:r>
      <w:r>
        <w:t>Sa9UD2 质量文件执行，将该工程建设成为高质量、高水平的建筑精品。</w:t>
      </w:r>
    </w:p>
    <w:p>
      <w:pPr>
        <w:pStyle w:val="BodyText"/>
        <w:spacing w:before="6" w:line="364" w:lineRule="auto"/>
        <w:ind w:left="700" w:right="2556" w:firstLine="719"/>
      </w:pPr>
      <w:r>
        <w:t>严格执行各级人员的岗位责任制，做到横向到边、坚向到底，要求全系统人员牢牢树立“质量第一，为用户服务”的思想，充分发挥质量保证体系的作用。</w:t>
      </w:r>
    </w:p>
    <w:p>
      <w:pPr>
        <w:pStyle w:val="Heading3"/>
      </w:pPr>
      <w:r>
        <w:t>（二）质量保证措施</w:t>
      </w:r>
    </w:p>
    <w:p>
      <w:pPr>
        <w:pStyle w:val="BodyText"/>
        <w:spacing w:before="241"/>
        <w:ind w:left="880"/>
      </w:pPr>
      <w:r>
        <w:t>1、施工过程的质量控制</w:t>
      </w:r>
    </w:p>
    <w:p>
      <w:pPr>
        <w:pStyle w:val="ListParagraph"/>
        <w:numPr>
          <w:ilvl w:val="1"/>
          <w:numId w:val="15"/>
        </w:numPr>
        <w:tabs>
          <w:tab w:val="left" w:pos="1422"/>
        </w:tabs>
        <w:spacing w:before="241" w:after="0" w:line="240" w:lineRule="auto"/>
        <w:ind w:left="1421" w:right="0" w:hanging="542"/>
        <w:jc w:val="left"/>
        <w:rPr>
          <w:sz w:val="36"/>
        </w:rPr>
      </w:pPr>
      <w:r>
        <w:rPr>
          <w:sz w:val="36"/>
        </w:rPr>
        <w:t>认真抓好职工质量意识教育，使精品意识深入到每个岗位、每个员工。</w:t>
      </w:r>
    </w:p>
    <w:p>
      <w:pPr>
        <w:pStyle w:val="ListParagraph"/>
        <w:numPr>
          <w:ilvl w:val="1"/>
          <w:numId w:val="15"/>
        </w:numPr>
        <w:tabs>
          <w:tab w:val="left" w:pos="1422"/>
        </w:tabs>
        <w:spacing w:before="240" w:after="0" w:line="364" w:lineRule="auto"/>
        <w:ind w:left="700" w:right="2558" w:firstLine="180"/>
        <w:jc w:val="left"/>
        <w:rPr>
          <w:sz w:val="36"/>
        </w:rPr>
      </w:pPr>
      <w:r>
        <w:rPr>
          <w:spacing w:val="-1"/>
          <w:sz w:val="36"/>
        </w:rPr>
        <w:t>认真进行图纸会审、定位放线、预检复核、沉降观测、材质检验、成品保护</w:t>
      </w:r>
      <w:r>
        <w:rPr>
          <w:sz w:val="36"/>
        </w:rPr>
        <w:t>等关键工作，确保工程质量</w:t>
      </w:r>
    </w:p>
    <w:p>
      <w:pPr>
        <w:pStyle w:val="ListParagraph"/>
        <w:numPr>
          <w:ilvl w:val="1"/>
          <w:numId w:val="15"/>
        </w:numPr>
        <w:tabs>
          <w:tab w:val="left" w:pos="1422"/>
        </w:tabs>
        <w:spacing w:before="3" w:after="0" w:line="364" w:lineRule="auto"/>
        <w:ind w:left="700" w:right="5438" w:firstLine="180"/>
        <w:jc w:val="left"/>
        <w:rPr>
          <w:sz w:val="36"/>
        </w:rPr>
      </w:pPr>
      <w:r>
        <w:rPr>
          <w:sz w:val="36"/>
        </w:rPr>
        <w:t>严格样板引路，以样板指导施工，创高标准的样板工程. (4)合理选择施工机械，搞好维护检修工作，确保机械设备的良好状态，从而确保质量。</w:t>
      </w:r>
    </w:p>
    <w:p>
      <w:pPr>
        <w:pStyle w:val="BodyText"/>
        <w:spacing w:before="2"/>
        <w:ind w:left="880"/>
      </w:pPr>
      <w:r>
        <w:rPr>
          <w:spacing w:val="-1"/>
        </w:rPr>
        <w:t>2</w:t>
      </w:r>
      <w:r>
        <w:t>、关键工序质量保证措施</w:t>
      </w:r>
    </w:p>
    <w:p>
      <w:pPr>
        <w:pStyle w:val="BodyText"/>
        <w:spacing w:before="241" w:line="364" w:lineRule="auto"/>
        <w:ind w:left="880" w:right="5078"/>
      </w:pPr>
      <w:r>
        <w:t>(1)施工前认真熟悉图纸、领会设计意图、做好图纸会审工作。(2)按设计要求，提前按设计试配出理想的硅配合比。</w:t>
      </w:r>
    </w:p>
    <w:p>
      <w:pPr>
        <w:pStyle w:val="ListParagraph"/>
        <w:numPr>
          <w:ilvl w:val="0"/>
          <w:numId w:val="14"/>
        </w:numPr>
        <w:tabs>
          <w:tab w:val="left" w:pos="1422"/>
        </w:tabs>
        <w:spacing w:before="2" w:after="0" w:line="364" w:lineRule="auto"/>
        <w:ind w:left="700" w:right="2697" w:firstLine="180"/>
        <w:jc w:val="left"/>
        <w:rPr>
          <w:sz w:val="36"/>
        </w:rPr>
      </w:pPr>
      <w:r>
        <w:rPr>
          <w:spacing w:val="-11"/>
          <w:sz w:val="36"/>
        </w:rPr>
        <w:t>成立专业测量组，精确测定各建筑物轴线与标高，建立复测制度，做好测定</w:t>
      </w:r>
      <w:r>
        <w:rPr>
          <w:sz w:val="36"/>
        </w:rPr>
        <w:t>记录</w:t>
      </w:r>
    </w:p>
    <w:p>
      <w:pPr>
        <w:pStyle w:val="ListParagraph"/>
        <w:numPr>
          <w:ilvl w:val="0"/>
          <w:numId w:val="14"/>
        </w:numPr>
        <w:tabs>
          <w:tab w:val="left" w:pos="1422"/>
        </w:tabs>
        <w:spacing w:before="3" w:after="0" w:line="364" w:lineRule="auto"/>
        <w:ind w:left="880" w:right="5438" w:firstLine="0"/>
        <w:jc w:val="left"/>
        <w:rPr>
          <w:sz w:val="36"/>
        </w:rPr>
      </w:pPr>
      <w:r>
        <w:rPr>
          <w:spacing w:val="-1"/>
          <w:sz w:val="36"/>
        </w:rPr>
        <w:t>硅施工缝严格按方案要求留设，硅开盘后确保连续浇筑。</w:t>
      </w:r>
      <w:r>
        <w:rPr>
          <w:sz w:val="36"/>
        </w:rPr>
        <w:t>(5)严格控制预埋件位置、标高，为安装工作创造条件。</w:t>
      </w:r>
    </w:p>
    <w:p>
      <w:pPr>
        <w:pStyle w:val="BodyText"/>
        <w:spacing w:before="2" w:line="364" w:lineRule="auto"/>
        <w:ind w:left="700" w:right="2558" w:firstLine="180"/>
      </w:pPr>
      <w:r>
        <w:t>(6</w:t>
      </w:r>
      <w:r>
        <w:rPr>
          <w:spacing w:val="-1"/>
        </w:rPr>
        <w:t xml:space="preserve">)加强原材料和半成品进入现场后复核检查制度，特别是钢材、水泥等材料， </w:t>
      </w:r>
      <w:r>
        <w:rPr>
          <w:spacing w:val="-12"/>
        </w:rPr>
        <w:t>不但要有材质证明，而且要经试验合格后才能使试验合格才允许焊接试件和单中应填写施焊人员姓名。</w:t>
      </w:r>
    </w:p>
    <w:p>
      <w:pPr>
        <w:spacing w:after="0" w:line="364" w:lineRule="auto"/>
        <w:sectPr>
          <w:headerReference w:type="default" r:id="rId34"/>
          <w:footerReference w:type="default" r:id="rId35"/>
          <w:pgSz w:w="17860" w:h="25260"/>
          <w:pgMar w:top="1400" w:right="0" w:bottom="2020" w:left="2000" w:header="1054" w:footer="1831"/>
          <w:pgNumType w:start="14"/>
          <w:cols w:space="708"/>
        </w:sectPr>
      </w:pPr>
    </w:p>
    <w:p>
      <w:pPr>
        <w:pStyle w:val="BodyText"/>
        <w:rPr>
          <w:sz w:val="20"/>
        </w:rPr>
      </w:pPr>
    </w:p>
    <w:p>
      <w:pPr>
        <w:pStyle w:val="BodyText"/>
        <w:spacing w:before="11"/>
        <w:rPr>
          <w:sz w:val="20"/>
        </w:rPr>
      </w:pPr>
    </w:p>
    <w:p>
      <w:pPr>
        <w:pStyle w:val="BodyText"/>
        <w:spacing w:before="49" w:line="364" w:lineRule="auto"/>
        <w:ind w:left="700" w:right="2697"/>
        <w:jc w:val="both"/>
      </w:pPr>
      <w:r>
        <w:t>3、文件和资料控制、物资采购控制、产品标识、可追溯性控制、进货检验与试</w:t>
      </w:r>
      <w:r>
        <w:rPr>
          <w:spacing w:val="-15"/>
        </w:rPr>
        <w:t>验控制、施工过程控制、检验测定、试验设备等笔均按公司质量手册规定程序执</w:t>
      </w:r>
      <w:r>
        <w:t>行。</w:t>
      </w:r>
    </w:p>
    <w:p>
      <w:pPr>
        <w:pStyle w:val="Heading3"/>
        <w:spacing w:before="4"/>
      </w:pPr>
      <w:r>
        <w:t>（三）技术质量措施</w:t>
      </w:r>
    </w:p>
    <w:p>
      <w:pPr>
        <w:pStyle w:val="BodyText"/>
        <w:spacing w:before="240" w:line="364" w:lineRule="auto"/>
        <w:ind w:left="700" w:right="2376"/>
      </w:pPr>
      <w:r>
        <w:t>1、收到图纸后，积极组织技术力量，认真阅读，正确理解设计意图和技术要求， 做好图纸审查和各个专业的会审工作，并做好会审记录。</w:t>
      </w:r>
    </w:p>
    <w:p>
      <w:pPr>
        <w:pStyle w:val="BodyText"/>
        <w:spacing w:before="2" w:line="364" w:lineRule="auto"/>
        <w:ind w:left="700" w:right="2556"/>
      </w:pPr>
      <w:r>
        <w:t>2、坚持“质量第一，预防为主”的指导思想，针对各个具体分部分项工程的施工特点，编写专项施工方案，经公司审批后实施。施工前做好技术交底工作，施工中及时进行检查、验收、技术复核和隐蔽记录。</w:t>
      </w:r>
    </w:p>
    <w:p>
      <w:pPr>
        <w:pStyle w:val="BodyText"/>
        <w:spacing w:before="4" w:line="364" w:lineRule="auto"/>
        <w:ind w:left="700" w:right="2556"/>
      </w:pPr>
      <w:r>
        <w:t>3、加强原材料的进场验收工作，及时收集好产品合格证和出厂证明书，按有关规定进行随机抽样检验、化验。凡是不合格的材料，一律清仓退货，不得使用， 并要做好不合格材料的退场签证记录。</w:t>
      </w:r>
    </w:p>
    <w:p>
      <w:pPr>
        <w:pStyle w:val="BodyText"/>
        <w:spacing w:before="2" w:line="364" w:lineRule="auto"/>
        <w:ind w:left="700" w:right="2556"/>
      </w:pPr>
      <w:r>
        <w:t>4、施工过程中要认真收集、整理技术档案资料，做到记录真实，数据准确，收集及时，分类归档，装订整洁并定期组织各施工前段进行自检、互查，共同提高档案管理水平。</w:t>
      </w:r>
    </w:p>
    <w:p>
      <w:pPr>
        <w:pStyle w:val="BodyText"/>
        <w:spacing w:before="3" w:line="364" w:lineRule="auto"/>
        <w:ind w:left="700" w:right="2520"/>
      </w:pPr>
      <w:r>
        <w:t xml:space="preserve">5、开展全面质量管理活动，定期对职工进行技术培训、技术考核和技能比赛， </w:t>
      </w:r>
      <w:r>
        <w:rPr>
          <w:spacing w:val="-21"/>
        </w:rPr>
        <w:t xml:space="preserve">提高全员质量意识。严格质量验收标准，质量样板制贯彻全过程，明确质量目标， </w:t>
      </w:r>
      <w:r>
        <w:rPr>
          <w:spacing w:val="-19"/>
        </w:rPr>
        <w:t xml:space="preserve">积极开展 </w:t>
      </w:r>
      <w:r>
        <w:t>QC</w:t>
      </w:r>
      <w:r>
        <w:rPr>
          <w:spacing w:val="-10"/>
        </w:rPr>
        <w:t xml:space="preserve"> 活动，防治质量通病。</w:t>
      </w:r>
    </w:p>
    <w:p>
      <w:pPr>
        <w:spacing w:before="3" w:line="364" w:lineRule="auto"/>
        <w:ind w:left="700" w:right="11736" w:firstLine="0"/>
        <w:jc w:val="left"/>
        <w:rPr>
          <w:sz w:val="36"/>
        </w:rPr>
      </w:pPr>
      <w:r>
        <w:rPr>
          <w:b/>
          <w:sz w:val="36"/>
        </w:rPr>
        <w:t>（四）质量管理措施</w:t>
      </w:r>
      <w:r>
        <w:rPr>
          <w:sz w:val="36"/>
        </w:rPr>
        <w:t>1、施工人员素质保证</w:t>
      </w:r>
    </w:p>
    <w:p>
      <w:pPr>
        <w:pStyle w:val="BodyText"/>
        <w:spacing w:before="2" w:line="364" w:lineRule="auto"/>
        <w:ind w:left="700" w:right="2556" w:firstLine="719"/>
      </w:pPr>
      <w:r>
        <w:t xml:space="preserve">本工程从根本上保证项目所需劳动者的素质，投入人员均为我公司自有职 </w:t>
      </w:r>
      <w:r>
        <w:rPr>
          <w:spacing w:val="-1"/>
        </w:rPr>
        <w:t>工，职工素质好、觉悟高，均具有多年的施工经验，组织纪律严明，从而为工程</w:t>
      </w:r>
      <w:r>
        <w:t>质量奠定了基础。</w:t>
      </w:r>
    </w:p>
    <w:p>
      <w:pPr>
        <w:pStyle w:val="BodyText"/>
        <w:spacing w:before="4"/>
        <w:ind w:left="700"/>
      </w:pPr>
      <w:r>
        <w:t>2、采购物资质量保证</w:t>
      </w:r>
    </w:p>
    <w:p>
      <w:pPr>
        <w:pStyle w:val="ListParagraph"/>
        <w:numPr>
          <w:ilvl w:val="0"/>
          <w:numId w:val="13"/>
        </w:numPr>
        <w:tabs>
          <w:tab w:val="left" w:pos="1421"/>
        </w:tabs>
        <w:spacing w:before="241" w:after="0" w:line="364" w:lineRule="auto"/>
        <w:ind w:left="700" w:right="2556" w:firstLine="0"/>
        <w:jc w:val="left"/>
        <w:rPr>
          <w:sz w:val="36"/>
        </w:rPr>
      </w:pPr>
      <w:r>
        <w:rPr>
          <w:spacing w:val="-12"/>
          <w:sz w:val="36"/>
        </w:rPr>
        <w:t>采购物资时，必须在经评定的确定合格的分供厂家采购，所采购的材料或设</w:t>
      </w:r>
      <w:r>
        <w:rPr>
          <w:spacing w:val="-13"/>
          <w:sz w:val="36"/>
        </w:rPr>
        <w:t>备须有出厂合格证、材质证明书和使用说明书，对材料设备有疑向的严禁进货。</w:t>
      </w:r>
    </w:p>
    <w:p>
      <w:pPr>
        <w:pStyle w:val="ListParagraph"/>
        <w:numPr>
          <w:ilvl w:val="0"/>
          <w:numId w:val="13"/>
        </w:numPr>
        <w:tabs>
          <w:tab w:val="left" w:pos="1421"/>
        </w:tabs>
        <w:spacing w:before="1" w:after="0" w:line="364" w:lineRule="auto"/>
        <w:ind w:left="700" w:right="2697" w:firstLine="0"/>
        <w:jc w:val="left"/>
        <w:rPr>
          <w:sz w:val="36"/>
        </w:rPr>
      </w:pPr>
      <w:r>
        <w:rPr>
          <w:spacing w:val="-8"/>
          <w:sz w:val="36"/>
        </w:rPr>
        <w:t>材料的供应在符合我方工程要求的分供厂家中选择，事先对其进行认可和评</w:t>
      </w:r>
      <w:r>
        <w:rPr>
          <w:sz w:val="36"/>
        </w:rPr>
        <w:t>价，并建立合格的分供厂家档。</w:t>
      </w:r>
    </w:p>
    <w:p>
      <w:pPr>
        <w:pStyle w:val="ListParagraph"/>
        <w:numPr>
          <w:ilvl w:val="0"/>
          <w:numId w:val="13"/>
        </w:numPr>
        <w:tabs>
          <w:tab w:val="left" w:pos="1421"/>
        </w:tabs>
        <w:spacing w:before="2" w:after="0" w:line="240" w:lineRule="auto"/>
        <w:ind w:left="1420" w:right="0" w:hanging="721"/>
        <w:jc w:val="left"/>
        <w:rPr>
          <w:sz w:val="36"/>
        </w:rPr>
      </w:pPr>
      <w:r>
        <w:rPr>
          <w:spacing w:val="-13"/>
          <w:sz w:val="36"/>
        </w:rPr>
        <w:t>实行动态管理，公司材料科和项目经理部等主管部门定期对分供厂家的实际</w:t>
      </w:r>
    </w:p>
    <w:p>
      <w:pPr>
        <w:spacing w:after="0" w:line="240" w:lineRule="auto"/>
        <w:jc w:val="left"/>
        <w:rPr>
          <w:sz w:val="36"/>
        </w:rPr>
        <w:sectPr>
          <w:headerReference w:type="default" r:id="rId36"/>
          <w:footerReference w:type="default" r:id="rId37"/>
          <w:pgSz w:w="17860" w:h="25260"/>
          <w:pgMar w:top="1400" w:right="0" w:bottom="2020" w:left="2000" w:header="1054" w:footer="1831"/>
          <w:pgNumType w:start="15"/>
          <w:cols w:space="708"/>
        </w:sectPr>
      </w:pPr>
    </w:p>
    <w:p>
      <w:pPr>
        <w:pStyle w:val="BodyText"/>
        <w:rPr>
          <w:sz w:val="20"/>
        </w:rPr>
      </w:pPr>
    </w:p>
    <w:p>
      <w:pPr>
        <w:pStyle w:val="BodyText"/>
        <w:spacing w:before="11"/>
        <w:rPr>
          <w:sz w:val="20"/>
        </w:rPr>
      </w:pPr>
    </w:p>
    <w:p>
      <w:pPr>
        <w:pStyle w:val="BodyText"/>
        <w:spacing w:before="49"/>
        <w:ind w:left="700"/>
      </w:pPr>
      <w:r>
        <w:t>业绩进行评审考核，并做记录，如发现不合格的分供厂家，将其从招案中除名。</w:t>
      </w:r>
    </w:p>
    <w:p>
      <w:pPr>
        <w:pStyle w:val="ListParagraph"/>
        <w:numPr>
          <w:ilvl w:val="0"/>
          <w:numId w:val="13"/>
        </w:numPr>
        <w:tabs>
          <w:tab w:val="left" w:pos="1421"/>
        </w:tabs>
        <w:spacing w:before="242" w:after="0" w:line="364" w:lineRule="auto"/>
        <w:ind w:left="700" w:right="2558" w:firstLine="0"/>
        <w:jc w:val="left"/>
        <w:rPr>
          <w:sz w:val="36"/>
        </w:rPr>
      </w:pPr>
      <w:r>
        <w:rPr>
          <w:spacing w:val="-1"/>
          <w:sz w:val="36"/>
        </w:rPr>
        <w:t>加强计量检测，采购物资根据国家、行业主管部门规定、标准、规范或合同</w:t>
      </w:r>
      <w:r>
        <w:rPr>
          <w:spacing w:val="-7"/>
          <w:sz w:val="36"/>
        </w:rPr>
        <w:t>规定要求及按经批准的质量计划要求抽样检验和试验，作好标识，当对其质量有怀疑时，须加强抽样或全数检验，不合格的采购物资不得使用。</w:t>
      </w:r>
    </w:p>
    <w:p>
      <w:pPr>
        <w:pStyle w:val="BodyText"/>
        <w:spacing w:before="2" w:line="364" w:lineRule="auto"/>
        <w:ind w:left="700" w:right="2376"/>
      </w:pPr>
      <w:r>
        <w:t>3、水、暖、电气要严格按有关规范，工艺标准及操作规程施工，密切配合土建， 避免返工，特别要注意以下几点：</w:t>
      </w:r>
    </w:p>
    <w:p>
      <w:pPr>
        <w:pStyle w:val="ListParagraph"/>
        <w:numPr>
          <w:ilvl w:val="0"/>
          <w:numId w:val="12"/>
        </w:numPr>
        <w:tabs>
          <w:tab w:val="left" w:pos="1421"/>
        </w:tabs>
        <w:spacing w:before="2" w:after="0" w:line="240" w:lineRule="auto"/>
        <w:ind w:left="1420" w:right="0" w:hanging="721"/>
        <w:jc w:val="left"/>
        <w:rPr>
          <w:sz w:val="36"/>
        </w:rPr>
      </w:pPr>
      <w:r>
        <w:rPr>
          <w:sz w:val="36"/>
        </w:rPr>
        <w:t>对楼、地面、屋面所有穿板管道，预先做好或下套管，防止破坏土建成品。</w:t>
      </w:r>
    </w:p>
    <w:p>
      <w:pPr>
        <w:pStyle w:val="ListParagraph"/>
        <w:numPr>
          <w:ilvl w:val="0"/>
          <w:numId w:val="12"/>
        </w:numPr>
        <w:tabs>
          <w:tab w:val="left" w:pos="1421"/>
        </w:tabs>
        <w:spacing w:before="241" w:after="0" w:line="364" w:lineRule="auto"/>
        <w:ind w:left="700" w:right="2558" w:firstLine="0"/>
        <w:jc w:val="left"/>
        <w:rPr>
          <w:sz w:val="36"/>
        </w:rPr>
      </w:pPr>
      <w:r>
        <w:rPr>
          <w:spacing w:val="-1"/>
          <w:sz w:val="36"/>
        </w:rPr>
        <w:t>立管支架的位置、标高，预先埋好或标出位置来，以免日后剔凿，影响墙面</w:t>
      </w:r>
      <w:r>
        <w:rPr>
          <w:sz w:val="36"/>
        </w:rPr>
        <w:t>和装修质量，施工中指派专人负责此项工作。</w:t>
      </w:r>
    </w:p>
    <w:p>
      <w:pPr>
        <w:pStyle w:val="ListParagraph"/>
        <w:numPr>
          <w:ilvl w:val="0"/>
          <w:numId w:val="12"/>
        </w:numPr>
        <w:tabs>
          <w:tab w:val="left" w:pos="1421"/>
        </w:tabs>
        <w:spacing w:before="3" w:after="0" w:line="364" w:lineRule="auto"/>
        <w:ind w:left="700" w:right="2558" w:firstLine="0"/>
        <w:jc w:val="left"/>
        <w:rPr>
          <w:sz w:val="36"/>
        </w:rPr>
      </w:pPr>
      <w:r>
        <w:rPr>
          <w:spacing w:val="-1"/>
          <w:sz w:val="36"/>
        </w:rPr>
        <w:t>管道的甩口、坐标、标高应准确，避免装修后返工卫生洁具排水甩口，在装</w:t>
      </w:r>
      <w:r>
        <w:rPr>
          <w:sz w:val="36"/>
        </w:rPr>
        <w:t>洁具前应封堵，以免管道堵塞。做好安装完后的洁具、设备的成品保护。</w:t>
      </w:r>
    </w:p>
    <w:p>
      <w:pPr>
        <w:pStyle w:val="ListParagraph"/>
        <w:numPr>
          <w:ilvl w:val="0"/>
          <w:numId w:val="12"/>
        </w:numPr>
        <w:tabs>
          <w:tab w:val="left" w:pos="1421"/>
        </w:tabs>
        <w:spacing w:before="1" w:after="0" w:line="364" w:lineRule="auto"/>
        <w:ind w:left="700" w:right="2697" w:firstLine="0"/>
        <w:jc w:val="left"/>
        <w:rPr>
          <w:sz w:val="36"/>
        </w:rPr>
      </w:pPr>
      <w:r>
        <w:rPr>
          <w:spacing w:val="-10"/>
          <w:sz w:val="36"/>
        </w:rPr>
        <w:t>接入配电箱的动力照明电线，应排列整齐，横平竖直，控制线两端加号码端</w:t>
      </w:r>
      <w:r>
        <w:rPr>
          <w:sz w:val="36"/>
        </w:rPr>
        <w:t>子，各接点压接牢固。</w:t>
      </w:r>
    </w:p>
    <w:p>
      <w:pPr>
        <w:pStyle w:val="ListParagraph"/>
        <w:numPr>
          <w:ilvl w:val="0"/>
          <w:numId w:val="12"/>
        </w:numPr>
        <w:tabs>
          <w:tab w:val="left" w:pos="1421"/>
        </w:tabs>
        <w:spacing w:before="2" w:after="0" w:line="240" w:lineRule="auto"/>
        <w:ind w:left="1420" w:right="0" w:hanging="721"/>
        <w:jc w:val="left"/>
        <w:rPr>
          <w:sz w:val="36"/>
        </w:rPr>
      </w:pPr>
      <w:r>
        <w:rPr>
          <w:sz w:val="36"/>
        </w:rPr>
        <w:t>灯具安装时，注意不得碰坏或污染墙面及顶棚。</w:t>
      </w:r>
    </w:p>
    <w:p>
      <w:pPr>
        <w:pStyle w:val="ListParagraph"/>
        <w:numPr>
          <w:ilvl w:val="0"/>
          <w:numId w:val="12"/>
        </w:numPr>
        <w:tabs>
          <w:tab w:val="left" w:pos="1421"/>
        </w:tabs>
        <w:spacing w:before="241" w:after="0" w:line="364" w:lineRule="auto"/>
        <w:ind w:left="700" w:right="2702" w:firstLine="0"/>
        <w:jc w:val="left"/>
        <w:rPr>
          <w:sz w:val="36"/>
        </w:rPr>
      </w:pPr>
      <w:r>
        <w:rPr>
          <w:spacing w:val="-13"/>
          <w:sz w:val="36"/>
        </w:rPr>
        <w:t>所有电气设备、水暖设备及管配件要有出厂合格证，经查验合格方可进行安</w:t>
      </w:r>
      <w:r>
        <w:rPr>
          <w:sz w:val="36"/>
        </w:rPr>
        <w:t>装。</w:t>
      </w:r>
    </w:p>
    <w:p>
      <w:pPr>
        <w:pStyle w:val="BodyText"/>
        <w:spacing w:before="2" w:line="364" w:lineRule="auto"/>
        <w:ind w:left="700" w:right="2736"/>
      </w:pPr>
      <w:r>
        <w:t>4、注意教育职工，提高质量意识，加强班组技术培训，坚持持证上岗，督促班组搞好“自检”，“互检”、“交接检”，严格控制操作工序质量。</w:t>
      </w:r>
    </w:p>
    <w:p>
      <w:pPr>
        <w:pStyle w:val="Heading3"/>
      </w:pPr>
      <w:r>
        <w:t>（五）消除质量通病措施</w:t>
      </w:r>
    </w:p>
    <w:p>
      <w:pPr>
        <w:pStyle w:val="BodyText"/>
        <w:spacing w:before="241" w:line="364" w:lineRule="auto"/>
        <w:ind w:left="700" w:right="2697" w:firstLine="719"/>
        <w:jc w:val="both"/>
      </w:pPr>
      <w:r>
        <w:rPr>
          <w:spacing w:val="-10"/>
        </w:rPr>
        <w:t>为了确保本工程必须达到优良，就必须在施工过程中，坚决消除和杜绝质量</w:t>
      </w:r>
      <w:r>
        <w:rPr>
          <w:spacing w:val="-13"/>
        </w:rPr>
        <w:t>通病，这是本工程质量保证的关键所在。如何消除在施工中存在的问题，我公司</w:t>
      </w:r>
      <w:r>
        <w:t>针对本工程认为关健是以下几点：</w:t>
      </w:r>
    </w:p>
    <w:p>
      <w:pPr>
        <w:pStyle w:val="ListParagraph"/>
        <w:numPr>
          <w:ilvl w:val="0"/>
          <w:numId w:val="11"/>
        </w:numPr>
        <w:tabs>
          <w:tab w:val="left" w:pos="1421"/>
        </w:tabs>
        <w:spacing w:before="3" w:after="0" w:line="240" w:lineRule="auto"/>
        <w:ind w:left="1420" w:right="0" w:hanging="721"/>
        <w:jc w:val="left"/>
        <w:rPr>
          <w:sz w:val="36"/>
        </w:rPr>
      </w:pPr>
      <w:r>
        <w:rPr>
          <w:sz w:val="36"/>
        </w:rPr>
        <w:t>水泥、钢材</w:t>
      </w:r>
    </w:p>
    <w:p>
      <w:pPr>
        <w:pStyle w:val="BodyText"/>
        <w:spacing w:before="241" w:line="364" w:lineRule="auto"/>
        <w:ind w:left="700" w:right="2695"/>
      </w:pPr>
      <w:r>
        <w:rPr>
          <w:spacing w:val="-14"/>
        </w:rPr>
        <w:t>①水泥：为了保证工程质量，水泥进场必须随带水泥出厂合格证，进场后必须整</w:t>
      </w:r>
      <w:r>
        <w:t>齐的放在水泥库中。</w:t>
      </w:r>
    </w:p>
    <w:p>
      <w:pPr>
        <w:pStyle w:val="BodyText"/>
        <w:spacing w:before="2" w:line="364" w:lineRule="auto"/>
        <w:ind w:left="700" w:right="2556"/>
        <w:jc w:val="both"/>
      </w:pPr>
      <w:r>
        <w:t>②钢材：钢材在采购进场前须经过化验，做到每采购一批，化验一批，合格后方可拉运到施工现场，并且，按施工平面图位置，分规格码放整齐、挂放规格及厂家牌在组织下料前，化验员必须二次取样化验，合格后方可进行下料施工。</w:t>
      </w:r>
    </w:p>
    <w:p>
      <w:pPr>
        <w:pStyle w:val="ListParagraph"/>
        <w:numPr>
          <w:ilvl w:val="0"/>
          <w:numId w:val="11"/>
        </w:numPr>
        <w:tabs>
          <w:tab w:val="left" w:pos="1421"/>
        </w:tabs>
        <w:spacing w:before="3" w:after="0" w:line="240" w:lineRule="auto"/>
        <w:ind w:left="1420" w:right="0" w:hanging="721"/>
        <w:jc w:val="both"/>
        <w:rPr>
          <w:sz w:val="36"/>
        </w:rPr>
      </w:pPr>
      <w:r>
        <w:rPr>
          <w:sz w:val="36"/>
        </w:rPr>
        <w:t>砖、砂、石</w:t>
      </w:r>
    </w:p>
    <w:p>
      <w:pPr>
        <w:spacing w:after="0" w:line="240" w:lineRule="auto"/>
        <w:jc w:val="both"/>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https://d.book118.com/218105103007006023</w:t>
        </w:r>
      </w:hyperlink>
    </w:p>
    <w:p>
      <w:pPr>
        <w:spacing w:after="0" w:line="240" w:lineRule="auto"/>
        <w:jc w:val="both"/>
        <w:rPr>
          <w:sz w:val="36"/>
        </w:rPr>
      </w:pPr>
    </w:p>
    <w:sectPr>
      <w:headerReference w:type="default" r:id="rId39"/>
      <w:footerReference w:type="default" r:id="rId40"/>
      <w:pgSz w:w="17860" w:h="25260"/>
      <w:pgMar w:top="1400" w:right="0" w:bottom="2020" w:left="2000" w:header="1054" w:footer="1831"/>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249.05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51" type="#_x0000_t202" style="width:56pt;height:15.5pt;margin-top:1160.35pt;margin-left:323.26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6pt;height:15.5pt;margin-top:1160.35pt;margin-left:249.05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54" type="#_x0000_t202" style="width:56pt;height:15.5pt;margin-top:1160.35pt;margin-left:323.26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249.05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57" type="#_x0000_t202" style="width:56pt;height:15.5pt;margin-top:1160.35pt;margin-left:323.26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6pt;height:15.5pt;margin-top:1160.35pt;margin-left:249.05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60" type="#_x0000_t202" style="width:56pt;height:15.5pt;margin-top:1160.35pt;margin-left:323.26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249.05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63" type="#_x0000_t202" style="width:56pt;height:15.5pt;margin-top:1160.35pt;margin-left:323.26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56pt;height:15.5pt;margin-top:1160.35pt;margin-left:249.05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66" type="#_x0000_t202" style="width:56pt;height:15.5pt;margin-top:1160.35pt;margin-left:323.26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249.05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69" type="#_x0000_t202" style="width:56pt;height:15.5pt;margin-top:1160.35pt;margin-left:323.26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56pt;height:15.5pt;margin-top:1160.35pt;margin-left:249.05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72" type="#_x0000_t202" style="width:56pt;height:15.5pt;margin-top:1160.35pt;margin-left:323.26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35pt;margin-left:249.05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75" type="#_x0000_t202" style="width:56pt;height:15.5pt;margin-top:1160.35pt;margin-left:323.26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56pt;height:15.5pt;margin-top:1160.35pt;margin-left:249.05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78" type="#_x0000_t202" style="width:56pt;height:15.5pt;margin-top:1160.35pt;margin-left:323.26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0.35pt;margin-left:249.05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81" type="#_x0000_t202" style="width:56pt;height:15.5pt;margin-top:1160.35pt;margin-left:323.26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56pt;height:15.5pt;margin-top:1160.35pt;margin-left:249.05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84" type="#_x0000_t202" style="width:56pt;height:15.5pt;margin-top:1160.35pt;margin-left:323.26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1160.35pt;margin-left:249.05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87" type="#_x0000_t202" style="width:56pt;height:15.5pt;margin-top:1160.35pt;margin-left:323.26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56pt;height:15.5pt;margin-top:1160.35pt;margin-left:249.05pt;mso-position-horizontal-relative:page;mso-position-vertical-relative:page;position:absolute;z-index:-251631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90" type="#_x0000_t202" style="width:56pt;height:15.5pt;margin-top:1160.35pt;margin-left:323.26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6pt;height:15.5pt;margin-top:1160.35pt;margin-left:249.05pt;mso-position-horizontal-relative:page;mso-position-vertical-relative:page;position:absolute;z-index:-251629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93" type="#_x0000_t202" style="width:56pt;height:15.5pt;margin-top:1160.35pt;margin-left:323.26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56pt;height:15.5pt;margin-top:1160.35pt;margin-left:249.05pt;mso-position-horizontal-relative:page;mso-position-vertical-relative:page;position:absolute;z-index:-251627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学习资料</w:t>
                </w:r>
              </w:p>
            </w:txbxContent>
          </v:textbox>
        </v:shape>
      </w:pict>
    </w:r>
    <w:r>
      <w:pict>
        <v:shape id="_x0000_s2096" type="#_x0000_t202" style="width:56pt;height:15.5pt;margin-top:1160.35pt;margin-left:323.26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整理分享</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7.15pt;height:17.2pt;margin-top:51.69pt;margin-left:402.99pt;mso-position-horizontal-relative:page;mso-position-vertical-relative:page;position:absolute;z-index:-25165721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470315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03150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87.15pt;height:17.2pt;margin-top:51.69pt;margin-left:402.99pt;mso-position-horizontal-relative:page;mso-position-vertical-relative:page;position:absolute;z-index:-25165516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816081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60814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7.15pt;height:17.2pt;margin-top:51.69pt;margin-left:402.99pt;mso-position-horizontal-relative:page;mso-position-vertical-relative:page;position:absolute;z-index:-25165312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295820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58202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87.15pt;height:17.2pt;margin-top:51.69pt;margin-left:402.99pt;mso-position-horizontal-relative:page;mso-position-vertical-relative:page;position:absolute;z-index:-25165107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721800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18005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7.15pt;height:17.2pt;margin-top:51.69pt;margin-left:402.99pt;mso-position-horizontal-relative:page;mso-position-vertical-relative:page;position:absolute;z-index:-25164902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49041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0416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87.15pt;height:17.2pt;margin-top:51.69pt;margin-left:402.99pt;mso-position-horizontal-relative:page;mso-position-vertical-relative:page;position:absolute;z-index:-25164697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939020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90206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87.15pt;height:17.2pt;margin-top:51.69pt;margin-left:402.99pt;mso-position-horizontal-relative:page;mso-position-vertical-relative:page;position:absolute;z-index:-25164492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954510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45106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87.15pt;height:17.2pt;margin-top:51.69pt;margin-left:402.99pt;mso-position-horizontal-relative:page;mso-position-vertical-relative:page;position:absolute;z-index:-25164288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668500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85009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87.15pt;height:17.2pt;margin-top:51.69pt;margin-left:402.99pt;mso-position-horizontal-relative:page;mso-position-vertical-relative:page;position:absolute;z-index:-25164083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379436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94363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87.15pt;height:17.2pt;margin-top:51.69pt;margin-left:402.99pt;mso-position-horizontal-relative:page;mso-position-vertical-relative:page;position:absolute;z-index:-25163878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159863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98634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87.15pt;height:17.2pt;margin-top:51.69pt;margin-left:402.99pt;mso-position-horizontal-relative:page;mso-position-vertical-relative:page;position:absolute;z-index:-25163673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6146447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4477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87.15pt;height:17.2pt;margin-top:51.69pt;margin-left:402.99pt;mso-position-horizontal-relative:page;mso-position-vertical-relative:page;position:absolute;z-index:-25163468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968885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88852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87.15pt;height:17.2pt;margin-top:51.69pt;margin-left:402.99pt;mso-position-horizontal-relative:page;mso-position-vertical-relative:page;position:absolute;z-index:-25163264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645509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55095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87.15pt;height:17.2pt;margin-top:51.69pt;margin-left:402.99pt;mso-position-horizontal-relative:page;mso-position-vertical-relative:page;position:absolute;z-index:-25163059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064783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47836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87.15pt;height:17.2pt;margin-top:51.69pt;margin-left:402.99pt;mso-position-horizontal-relative:page;mso-position-vertical-relative:page;position:absolute;z-index:-25162854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196667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6667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87.15pt;height:17.2pt;margin-top:51.69pt;margin-left:402.99pt;mso-position-horizontal-relative:page;mso-position-vertical-relative:page;position:absolute;z-index:-25162649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专业整理</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28073"/>
    <w:multiLevelType w:val="hybridMultilevel"/>
    <w:tmpl w:val="00000000"/>
    <w:lvl w:ilvl="0">
      <w:start w:val="1"/>
      <w:numFmt w:val="decimal"/>
      <w:lvlText w:val="(%1)"/>
      <w:lvlJc w:val="left"/>
      <w:pPr>
        <w:ind w:left="1241" w:hanging="541"/>
        <w:jc w:val="left"/>
      </w:pPr>
      <w:rPr>
        <w:rFonts w:ascii="楷体" w:eastAsia="楷体" w:hAnsi="楷体" w:cs="楷体" w:hint="default"/>
        <w:spacing w:val="-1"/>
        <w:w w:val="100"/>
        <w:sz w:val="34"/>
        <w:szCs w:val="34"/>
      </w:rPr>
    </w:lvl>
    <w:lvl w:ilvl="1">
      <w:start w:val="0"/>
      <w:numFmt w:val="bullet"/>
      <w:lvlText w:val="•"/>
      <w:lvlJc w:val="left"/>
      <w:pPr>
        <w:ind w:left="2701" w:hanging="541"/>
      </w:pPr>
      <w:rPr>
        <w:rFonts w:hint="default"/>
      </w:rPr>
    </w:lvl>
    <w:lvl w:ilvl="2">
      <w:start w:val="0"/>
      <w:numFmt w:val="bullet"/>
      <w:lvlText w:val="•"/>
      <w:lvlJc w:val="left"/>
      <w:pPr>
        <w:ind w:left="4163" w:hanging="541"/>
      </w:pPr>
      <w:rPr>
        <w:rFonts w:hint="default"/>
      </w:rPr>
    </w:lvl>
    <w:lvl w:ilvl="3">
      <w:start w:val="0"/>
      <w:numFmt w:val="bullet"/>
      <w:lvlText w:val="•"/>
      <w:lvlJc w:val="left"/>
      <w:pPr>
        <w:ind w:left="5625" w:hanging="541"/>
      </w:pPr>
      <w:rPr>
        <w:rFonts w:hint="default"/>
      </w:rPr>
    </w:lvl>
    <w:lvl w:ilvl="4">
      <w:start w:val="0"/>
      <w:numFmt w:val="bullet"/>
      <w:lvlText w:val="•"/>
      <w:lvlJc w:val="left"/>
      <w:pPr>
        <w:ind w:left="7087" w:hanging="541"/>
      </w:pPr>
      <w:rPr>
        <w:rFonts w:hint="default"/>
      </w:rPr>
    </w:lvl>
    <w:lvl w:ilvl="5">
      <w:start w:val="0"/>
      <w:numFmt w:val="bullet"/>
      <w:lvlText w:val="•"/>
      <w:lvlJc w:val="left"/>
      <w:pPr>
        <w:ind w:left="8549" w:hanging="541"/>
      </w:pPr>
      <w:rPr>
        <w:rFonts w:hint="default"/>
      </w:rPr>
    </w:lvl>
    <w:lvl w:ilvl="6">
      <w:start w:val="0"/>
      <w:numFmt w:val="bullet"/>
      <w:lvlText w:val="•"/>
      <w:lvlJc w:val="left"/>
      <w:pPr>
        <w:ind w:left="10011" w:hanging="541"/>
      </w:pPr>
      <w:rPr>
        <w:rFonts w:hint="default"/>
      </w:rPr>
    </w:lvl>
    <w:lvl w:ilvl="7">
      <w:start w:val="0"/>
      <w:numFmt w:val="bullet"/>
      <w:lvlText w:val="•"/>
      <w:lvlJc w:val="left"/>
      <w:pPr>
        <w:ind w:left="11473" w:hanging="541"/>
      </w:pPr>
      <w:rPr>
        <w:rFonts w:hint="default"/>
      </w:rPr>
    </w:lvl>
    <w:lvl w:ilvl="8">
      <w:start w:val="0"/>
      <w:numFmt w:val="bullet"/>
      <w:lvlText w:val="•"/>
      <w:lvlJc w:val="left"/>
      <w:pPr>
        <w:ind w:left="12935" w:hanging="541"/>
      </w:pPr>
      <w:rPr>
        <w:rFonts w:hint="default"/>
      </w:rPr>
    </w:lvl>
  </w:abstractNum>
  <w:abstractNum w:abstractNumId="1">
    <w:nsid w:val="07427737"/>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2">
    <w:nsid w:val="09269A3D"/>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3">
    <w:nsid w:val="100B9E46"/>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4">
    <w:nsid w:val="10E0380C"/>
    <w:multiLevelType w:val="hybridMultilevel"/>
    <w:tmpl w:val="00000000"/>
    <w:lvl w:ilvl="0">
      <w:start w:val="1"/>
      <w:numFmt w:val="decimal"/>
      <w:lvlText w:val="(%1)"/>
      <w:lvlJc w:val="left"/>
      <w:pPr>
        <w:ind w:left="700" w:hanging="720"/>
        <w:jc w:val="left"/>
      </w:pPr>
      <w:rPr>
        <w:rFonts w:ascii="楷体" w:eastAsia="楷体" w:hAnsi="楷体" w:cs="楷体" w:hint="default"/>
        <w:w w:val="100"/>
        <w:sz w:val="36"/>
        <w:szCs w:val="36"/>
      </w:rPr>
    </w:lvl>
    <w:lvl w:ilvl="1">
      <w:start w:val="0"/>
      <w:numFmt w:val="bullet"/>
      <w:lvlText w:val="•"/>
      <w:lvlJc w:val="left"/>
      <w:pPr>
        <w:ind w:left="2215" w:hanging="720"/>
      </w:pPr>
      <w:rPr>
        <w:rFonts w:hint="default"/>
      </w:rPr>
    </w:lvl>
    <w:lvl w:ilvl="2">
      <w:start w:val="0"/>
      <w:numFmt w:val="bullet"/>
      <w:lvlText w:val="•"/>
      <w:lvlJc w:val="left"/>
      <w:pPr>
        <w:ind w:left="3731" w:hanging="720"/>
      </w:pPr>
      <w:rPr>
        <w:rFonts w:hint="default"/>
      </w:rPr>
    </w:lvl>
    <w:lvl w:ilvl="3">
      <w:start w:val="0"/>
      <w:numFmt w:val="bullet"/>
      <w:lvlText w:val="•"/>
      <w:lvlJc w:val="left"/>
      <w:pPr>
        <w:ind w:left="5247" w:hanging="720"/>
      </w:pPr>
      <w:rPr>
        <w:rFonts w:hint="default"/>
      </w:rPr>
    </w:lvl>
    <w:lvl w:ilvl="4">
      <w:start w:val="0"/>
      <w:numFmt w:val="bullet"/>
      <w:lvlText w:val="•"/>
      <w:lvlJc w:val="left"/>
      <w:pPr>
        <w:ind w:left="676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795" w:hanging="720"/>
      </w:pPr>
      <w:rPr>
        <w:rFonts w:hint="default"/>
      </w:rPr>
    </w:lvl>
    <w:lvl w:ilvl="7">
      <w:start w:val="0"/>
      <w:numFmt w:val="bullet"/>
      <w:lvlText w:val="•"/>
      <w:lvlJc w:val="left"/>
      <w:pPr>
        <w:ind w:left="11311" w:hanging="720"/>
      </w:pPr>
      <w:rPr>
        <w:rFonts w:hint="default"/>
      </w:rPr>
    </w:lvl>
    <w:lvl w:ilvl="8">
      <w:start w:val="0"/>
      <w:numFmt w:val="bullet"/>
      <w:lvlText w:val="•"/>
      <w:lvlJc w:val="left"/>
      <w:pPr>
        <w:ind w:left="12827" w:hanging="720"/>
      </w:pPr>
      <w:rPr>
        <w:rFonts w:hint="default"/>
      </w:rPr>
    </w:lvl>
  </w:abstractNum>
  <w:abstractNum w:abstractNumId="5">
    <w:nsid w:val="258A40E8"/>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6">
    <w:nsid w:val="25DE8062"/>
    <w:multiLevelType w:val="hybridMultilevel"/>
    <w:tmpl w:val="00000000"/>
    <w:lvl w:ilvl="0">
      <w:start w:val="1"/>
      <w:numFmt w:val="decimal"/>
      <w:lvlText w:val="(%1)"/>
      <w:lvlJc w:val="left"/>
      <w:pPr>
        <w:ind w:left="700" w:hanging="720"/>
        <w:jc w:val="left"/>
      </w:pPr>
      <w:rPr>
        <w:rFonts w:ascii="楷体" w:eastAsia="楷体" w:hAnsi="楷体" w:cs="楷体" w:hint="default"/>
        <w:w w:val="100"/>
        <w:sz w:val="36"/>
        <w:szCs w:val="36"/>
      </w:rPr>
    </w:lvl>
    <w:lvl w:ilvl="1">
      <w:start w:val="0"/>
      <w:numFmt w:val="bullet"/>
      <w:lvlText w:val="•"/>
      <w:lvlJc w:val="left"/>
      <w:pPr>
        <w:ind w:left="2215" w:hanging="720"/>
      </w:pPr>
      <w:rPr>
        <w:rFonts w:hint="default"/>
      </w:rPr>
    </w:lvl>
    <w:lvl w:ilvl="2">
      <w:start w:val="0"/>
      <w:numFmt w:val="bullet"/>
      <w:lvlText w:val="•"/>
      <w:lvlJc w:val="left"/>
      <w:pPr>
        <w:ind w:left="3731" w:hanging="720"/>
      </w:pPr>
      <w:rPr>
        <w:rFonts w:hint="default"/>
      </w:rPr>
    </w:lvl>
    <w:lvl w:ilvl="3">
      <w:start w:val="0"/>
      <w:numFmt w:val="bullet"/>
      <w:lvlText w:val="•"/>
      <w:lvlJc w:val="left"/>
      <w:pPr>
        <w:ind w:left="5247" w:hanging="720"/>
      </w:pPr>
      <w:rPr>
        <w:rFonts w:hint="default"/>
      </w:rPr>
    </w:lvl>
    <w:lvl w:ilvl="4">
      <w:start w:val="0"/>
      <w:numFmt w:val="bullet"/>
      <w:lvlText w:val="•"/>
      <w:lvlJc w:val="left"/>
      <w:pPr>
        <w:ind w:left="676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795" w:hanging="720"/>
      </w:pPr>
      <w:rPr>
        <w:rFonts w:hint="default"/>
      </w:rPr>
    </w:lvl>
    <w:lvl w:ilvl="7">
      <w:start w:val="0"/>
      <w:numFmt w:val="bullet"/>
      <w:lvlText w:val="•"/>
      <w:lvlJc w:val="left"/>
      <w:pPr>
        <w:ind w:left="11311" w:hanging="720"/>
      </w:pPr>
      <w:rPr>
        <w:rFonts w:hint="default"/>
      </w:rPr>
    </w:lvl>
    <w:lvl w:ilvl="8">
      <w:start w:val="0"/>
      <w:numFmt w:val="bullet"/>
      <w:lvlText w:val="•"/>
      <w:lvlJc w:val="left"/>
      <w:pPr>
        <w:ind w:left="12827" w:hanging="720"/>
      </w:pPr>
      <w:rPr>
        <w:rFonts w:hint="default"/>
      </w:rPr>
    </w:lvl>
  </w:abstractNum>
  <w:abstractNum w:abstractNumId="7">
    <w:nsid w:val="27467DB2"/>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8">
    <w:nsid w:val="2F292FC1"/>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9">
    <w:nsid w:val="365225C0"/>
    <w:multiLevelType w:val="hybridMultilevel"/>
    <w:tmpl w:val="00000000"/>
    <w:lvl w:ilvl="0">
      <w:start w:val="1"/>
      <w:numFmt w:val="decimal"/>
      <w:lvlText w:val="(%1)"/>
      <w:lvlJc w:val="left"/>
      <w:pPr>
        <w:ind w:left="700" w:hanging="720"/>
        <w:jc w:val="left"/>
      </w:pPr>
      <w:rPr>
        <w:rFonts w:ascii="楷体" w:eastAsia="楷体" w:hAnsi="楷体" w:cs="楷体" w:hint="default"/>
        <w:w w:val="100"/>
        <w:sz w:val="36"/>
        <w:szCs w:val="36"/>
      </w:rPr>
    </w:lvl>
    <w:lvl w:ilvl="1">
      <w:start w:val="0"/>
      <w:numFmt w:val="bullet"/>
      <w:lvlText w:val="•"/>
      <w:lvlJc w:val="left"/>
      <w:pPr>
        <w:ind w:left="2215" w:hanging="720"/>
      </w:pPr>
      <w:rPr>
        <w:rFonts w:hint="default"/>
      </w:rPr>
    </w:lvl>
    <w:lvl w:ilvl="2">
      <w:start w:val="0"/>
      <w:numFmt w:val="bullet"/>
      <w:lvlText w:val="•"/>
      <w:lvlJc w:val="left"/>
      <w:pPr>
        <w:ind w:left="3731" w:hanging="720"/>
      </w:pPr>
      <w:rPr>
        <w:rFonts w:hint="default"/>
      </w:rPr>
    </w:lvl>
    <w:lvl w:ilvl="3">
      <w:start w:val="0"/>
      <w:numFmt w:val="bullet"/>
      <w:lvlText w:val="•"/>
      <w:lvlJc w:val="left"/>
      <w:pPr>
        <w:ind w:left="5247" w:hanging="720"/>
      </w:pPr>
      <w:rPr>
        <w:rFonts w:hint="default"/>
      </w:rPr>
    </w:lvl>
    <w:lvl w:ilvl="4">
      <w:start w:val="0"/>
      <w:numFmt w:val="bullet"/>
      <w:lvlText w:val="•"/>
      <w:lvlJc w:val="left"/>
      <w:pPr>
        <w:ind w:left="676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795" w:hanging="720"/>
      </w:pPr>
      <w:rPr>
        <w:rFonts w:hint="default"/>
      </w:rPr>
    </w:lvl>
    <w:lvl w:ilvl="7">
      <w:start w:val="0"/>
      <w:numFmt w:val="bullet"/>
      <w:lvlText w:val="•"/>
      <w:lvlJc w:val="left"/>
      <w:pPr>
        <w:ind w:left="11311" w:hanging="720"/>
      </w:pPr>
      <w:rPr>
        <w:rFonts w:hint="default"/>
      </w:rPr>
    </w:lvl>
    <w:lvl w:ilvl="8">
      <w:start w:val="0"/>
      <w:numFmt w:val="bullet"/>
      <w:lvlText w:val="•"/>
      <w:lvlJc w:val="left"/>
      <w:pPr>
        <w:ind w:left="12827" w:hanging="720"/>
      </w:pPr>
      <w:rPr>
        <w:rFonts w:hint="default"/>
      </w:rPr>
    </w:lvl>
  </w:abstractNum>
  <w:abstractNum w:abstractNumId="10">
    <w:nsid w:val="366DAA43"/>
    <w:multiLevelType w:val="hybridMultilevel"/>
    <w:tmpl w:val="00000000"/>
    <w:lvl w:ilvl="0">
      <w:start w:val="1"/>
      <w:numFmt w:val="decimal"/>
      <w:lvlText w:val="(%1)"/>
      <w:lvlJc w:val="left"/>
      <w:pPr>
        <w:ind w:left="700" w:hanging="720"/>
        <w:jc w:val="left"/>
      </w:pPr>
      <w:rPr>
        <w:rFonts w:ascii="楷体" w:eastAsia="楷体" w:hAnsi="楷体" w:cs="楷体" w:hint="default"/>
        <w:w w:val="100"/>
        <w:sz w:val="36"/>
        <w:szCs w:val="36"/>
      </w:rPr>
    </w:lvl>
    <w:lvl w:ilvl="1">
      <w:start w:val="0"/>
      <w:numFmt w:val="bullet"/>
      <w:lvlText w:val="•"/>
      <w:lvlJc w:val="left"/>
      <w:pPr>
        <w:ind w:left="2215" w:hanging="720"/>
      </w:pPr>
      <w:rPr>
        <w:rFonts w:hint="default"/>
      </w:rPr>
    </w:lvl>
    <w:lvl w:ilvl="2">
      <w:start w:val="0"/>
      <w:numFmt w:val="bullet"/>
      <w:lvlText w:val="•"/>
      <w:lvlJc w:val="left"/>
      <w:pPr>
        <w:ind w:left="3731" w:hanging="720"/>
      </w:pPr>
      <w:rPr>
        <w:rFonts w:hint="default"/>
      </w:rPr>
    </w:lvl>
    <w:lvl w:ilvl="3">
      <w:start w:val="0"/>
      <w:numFmt w:val="bullet"/>
      <w:lvlText w:val="•"/>
      <w:lvlJc w:val="left"/>
      <w:pPr>
        <w:ind w:left="5247" w:hanging="720"/>
      </w:pPr>
      <w:rPr>
        <w:rFonts w:hint="default"/>
      </w:rPr>
    </w:lvl>
    <w:lvl w:ilvl="4">
      <w:start w:val="0"/>
      <w:numFmt w:val="bullet"/>
      <w:lvlText w:val="•"/>
      <w:lvlJc w:val="left"/>
      <w:pPr>
        <w:ind w:left="676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795" w:hanging="720"/>
      </w:pPr>
      <w:rPr>
        <w:rFonts w:hint="default"/>
      </w:rPr>
    </w:lvl>
    <w:lvl w:ilvl="7">
      <w:start w:val="0"/>
      <w:numFmt w:val="bullet"/>
      <w:lvlText w:val="•"/>
      <w:lvlJc w:val="left"/>
      <w:pPr>
        <w:ind w:left="11311" w:hanging="720"/>
      </w:pPr>
      <w:rPr>
        <w:rFonts w:hint="default"/>
      </w:rPr>
    </w:lvl>
    <w:lvl w:ilvl="8">
      <w:start w:val="0"/>
      <w:numFmt w:val="bullet"/>
      <w:lvlText w:val="•"/>
      <w:lvlJc w:val="left"/>
      <w:pPr>
        <w:ind w:left="12827" w:hanging="720"/>
      </w:pPr>
      <w:rPr>
        <w:rFonts w:hint="default"/>
      </w:rPr>
    </w:lvl>
  </w:abstractNum>
  <w:abstractNum w:abstractNumId="11">
    <w:nsid w:val="4478439A"/>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12">
    <w:nsid w:val="45A1C50A"/>
    <w:multiLevelType w:val="hybridMultilevel"/>
    <w:tmpl w:val="00000000"/>
    <w:lvl w:ilvl="0">
      <w:start w:val="1"/>
      <w:numFmt w:val="decimal"/>
      <w:lvlText w:val="(%1)"/>
      <w:lvlJc w:val="left"/>
      <w:pPr>
        <w:ind w:left="700" w:hanging="720"/>
        <w:jc w:val="left"/>
      </w:pPr>
      <w:rPr>
        <w:rFonts w:ascii="楷体" w:eastAsia="楷体" w:hAnsi="楷体" w:cs="楷体" w:hint="default"/>
        <w:w w:val="100"/>
        <w:sz w:val="36"/>
        <w:szCs w:val="36"/>
      </w:rPr>
    </w:lvl>
    <w:lvl w:ilvl="1">
      <w:start w:val="0"/>
      <w:numFmt w:val="bullet"/>
      <w:lvlText w:val="•"/>
      <w:lvlJc w:val="left"/>
      <w:pPr>
        <w:ind w:left="2215" w:hanging="720"/>
      </w:pPr>
      <w:rPr>
        <w:rFonts w:hint="default"/>
      </w:rPr>
    </w:lvl>
    <w:lvl w:ilvl="2">
      <w:start w:val="0"/>
      <w:numFmt w:val="bullet"/>
      <w:lvlText w:val="•"/>
      <w:lvlJc w:val="left"/>
      <w:pPr>
        <w:ind w:left="3731" w:hanging="720"/>
      </w:pPr>
      <w:rPr>
        <w:rFonts w:hint="default"/>
      </w:rPr>
    </w:lvl>
    <w:lvl w:ilvl="3">
      <w:start w:val="0"/>
      <w:numFmt w:val="bullet"/>
      <w:lvlText w:val="•"/>
      <w:lvlJc w:val="left"/>
      <w:pPr>
        <w:ind w:left="5247" w:hanging="720"/>
      </w:pPr>
      <w:rPr>
        <w:rFonts w:hint="default"/>
      </w:rPr>
    </w:lvl>
    <w:lvl w:ilvl="4">
      <w:start w:val="0"/>
      <w:numFmt w:val="bullet"/>
      <w:lvlText w:val="•"/>
      <w:lvlJc w:val="left"/>
      <w:pPr>
        <w:ind w:left="6763" w:hanging="720"/>
      </w:pPr>
      <w:rPr>
        <w:rFonts w:hint="default"/>
      </w:rPr>
    </w:lvl>
    <w:lvl w:ilvl="5">
      <w:start w:val="0"/>
      <w:numFmt w:val="bullet"/>
      <w:lvlText w:val="•"/>
      <w:lvlJc w:val="left"/>
      <w:pPr>
        <w:ind w:left="8279" w:hanging="720"/>
      </w:pPr>
      <w:rPr>
        <w:rFonts w:hint="default"/>
      </w:rPr>
    </w:lvl>
    <w:lvl w:ilvl="6">
      <w:start w:val="0"/>
      <w:numFmt w:val="bullet"/>
      <w:lvlText w:val="•"/>
      <w:lvlJc w:val="left"/>
      <w:pPr>
        <w:ind w:left="9795" w:hanging="720"/>
      </w:pPr>
      <w:rPr>
        <w:rFonts w:hint="default"/>
      </w:rPr>
    </w:lvl>
    <w:lvl w:ilvl="7">
      <w:start w:val="0"/>
      <w:numFmt w:val="bullet"/>
      <w:lvlText w:val="•"/>
      <w:lvlJc w:val="left"/>
      <w:pPr>
        <w:ind w:left="11311" w:hanging="720"/>
      </w:pPr>
      <w:rPr>
        <w:rFonts w:hint="default"/>
      </w:rPr>
    </w:lvl>
    <w:lvl w:ilvl="8">
      <w:start w:val="0"/>
      <w:numFmt w:val="bullet"/>
      <w:lvlText w:val="•"/>
      <w:lvlJc w:val="left"/>
      <w:pPr>
        <w:ind w:left="12827" w:hanging="720"/>
      </w:pPr>
      <w:rPr>
        <w:rFonts w:hint="default"/>
      </w:rPr>
    </w:lvl>
  </w:abstractNum>
  <w:abstractNum w:abstractNumId="13">
    <w:nsid w:val="485B55E4"/>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14">
    <w:nsid w:val="56541385"/>
    <w:multiLevelType w:val="hybridMultilevel"/>
    <w:tmpl w:val="00000000"/>
    <w:lvl w:ilvl="0">
      <w:start w:val="8"/>
      <w:numFmt w:val="decimal"/>
      <w:lvlText w:val="%1."/>
      <w:lvlJc w:val="left"/>
      <w:pPr>
        <w:ind w:left="700" w:hanging="361"/>
        <w:jc w:val="left"/>
      </w:pPr>
      <w:rPr>
        <w:rFonts w:ascii="楷体" w:eastAsia="楷体" w:hAnsi="楷体" w:cs="楷体" w:hint="default"/>
        <w:spacing w:val="-1"/>
        <w:w w:val="100"/>
        <w:sz w:val="34"/>
        <w:szCs w:val="34"/>
      </w:rPr>
    </w:lvl>
    <w:lvl w:ilvl="1">
      <w:start w:val="0"/>
      <w:numFmt w:val="bullet"/>
      <w:lvlText w:val="•"/>
      <w:lvlJc w:val="left"/>
      <w:pPr>
        <w:ind w:left="2215" w:hanging="361"/>
      </w:pPr>
      <w:rPr>
        <w:rFonts w:hint="default"/>
      </w:rPr>
    </w:lvl>
    <w:lvl w:ilvl="2">
      <w:start w:val="0"/>
      <w:numFmt w:val="bullet"/>
      <w:lvlText w:val="•"/>
      <w:lvlJc w:val="left"/>
      <w:pPr>
        <w:ind w:left="3731" w:hanging="361"/>
      </w:pPr>
      <w:rPr>
        <w:rFonts w:hint="default"/>
      </w:rPr>
    </w:lvl>
    <w:lvl w:ilvl="3">
      <w:start w:val="0"/>
      <w:numFmt w:val="bullet"/>
      <w:lvlText w:val="•"/>
      <w:lvlJc w:val="left"/>
      <w:pPr>
        <w:ind w:left="5247" w:hanging="361"/>
      </w:pPr>
      <w:rPr>
        <w:rFonts w:hint="default"/>
      </w:rPr>
    </w:lvl>
    <w:lvl w:ilvl="4">
      <w:start w:val="0"/>
      <w:numFmt w:val="bullet"/>
      <w:lvlText w:val="•"/>
      <w:lvlJc w:val="left"/>
      <w:pPr>
        <w:ind w:left="6763" w:hanging="361"/>
      </w:pPr>
      <w:rPr>
        <w:rFonts w:hint="default"/>
      </w:rPr>
    </w:lvl>
    <w:lvl w:ilvl="5">
      <w:start w:val="0"/>
      <w:numFmt w:val="bullet"/>
      <w:lvlText w:val="•"/>
      <w:lvlJc w:val="left"/>
      <w:pPr>
        <w:ind w:left="8279" w:hanging="361"/>
      </w:pPr>
      <w:rPr>
        <w:rFonts w:hint="default"/>
      </w:rPr>
    </w:lvl>
    <w:lvl w:ilvl="6">
      <w:start w:val="0"/>
      <w:numFmt w:val="bullet"/>
      <w:lvlText w:val="•"/>
      <w:lvlJc w:val="left"/>
      <w:pPr>
        <w:ind w:left="9795" w:hanging="361"/>
      </w:pPr>
      <w:rPr>
        <w:rFonts w:hint="default"/>
      </w:rPr>
    </w:lvl>
    <w:lvl w:ilvl="7">
      <w:start w:val="0"/>
      <w:numFmt w:val="bullet"/>
      <w:lvlText w:val="•"/>
      <w:lvlJc w:val="left"/>
      <w:pPr>
        <w:ind w:left="11311" w:hanging="361"/>
      </w:pPr>
      <w:rPr>
        <w:rFonts w:hint="default"/>
      </w:rPr>
    </w:lvl>
    <w:lvl w:ilvl="8">
      <w:start w:val="0"/>
      <w:numFmt w:val="bullet"/>
      <w:lvlText w:val="•"/>
      <w:lvlJc w:val="left"/>
      <w:pPr>
        <w:ind w:left="12827" w:hanging="361"/>
      </w:pPr>
      <w:rPr>
        <w:rFonts w:hint="default"/>
      </w:rPr>
    </w:lvl>
  </w:abstractNum>
  <w:abstractNum w:abstractNumId="15">
    <w:nsid w:val="5D808D50"/>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16">
    <w:nsid w:val="694E56C3"/>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17">
    <w:nsid w:val="79FAB15D"/>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1"/>
      <w:numFmt w:val="decimal"/>
      <w:lvlText w:val="(%2)"/>
      <w:lvlJc w:val="left"/>
      <w:pPr>
        <w:ind w:left="1421" w:hanging="541"/>
        <w:jc w:val="left"/>
      </w:pPr>
      <w:rPr>
        <w:rFonts w:ascii="楷体" w:eastAsia="楷体" w:hAnsi="楷体" w:cs="楷体" w:hint="default"/>
        <w:spacing w:val="-1"/>
        <w:w w:val="100"/>
        <w:sz w:val="34"/>
        <w:szCs w:val="34"/>
      </w:rPr>
    </w:lvl>
    <w:lvl w:ilvl="2">
      <w:start w:val="0"/>
      <w:numFmt w:val="bullet"/>
      <w:lvlText w:val="•"/>
      <w:lvlJc w:val="left"/>
      <w:pPr>
        <w:ind w:left="4307" w:hanging="541"/>
      </w:pPr>
      <w:rPr>
        <w:rFonts w:hint="default"/>
      </w:rPr>
    </w:lvl>
    <w:lvl w:ilvl="3">
      <w:start w:val="0"/>
      <w:numFmt w:val="bullet"/>
      <w:lvlText w:val="•"/>
      <w:lvlJc w:val="left"/>
      <w:pPr>
        <w:ind w:left="5751" w:hanging="541"/>
      </w:pPr>
      <w:rPr>
        <w:rFonts w:hint="default"/>
      </w:rPr>
    </w:lvl>
    <w:lvl w:ilvl="4">
      <w:start w:val="0"/>
      <w:numFmt w:val="bullet"/>
      <w:lvlText w:val="•"/>
      <w:lvlJc w:val="left"/>
      <w:pPr>
        <w:ind w:left="7195" w:hanging="541"/>
      </w:pPr>
      <w:rPr>
        <w:rFonts w:hint="default"/>
      </w:rPr>
    </w:lvl>
    <w:lvl w:ilvl="5">
      <w:start w:val="0"/>
      <w:numFmt w:val="bullet"/>
      <w:lvlText w:val="•"/>
      <w:lvlJc w:val="left"/>
      <w:pPr>
        <w:ind w:left="8639" w:hanging="541"/>
      </w:pPr>
      <w:rPr>
        <w:rFonts w:hint="default"/>
      </w:rPr>
    </w:lvl>
    <w:lvl w:ilvl="6">
      <w:start w:val="0"/>
      <w:numFmt w:val="bullet"/>
      <w:lvlText w:val="•"/>
      <w:lvlJc w:val="left"/>
      <w:pPr>
        <w:ind w:left="10083" w:hanging="541"/>
      </w:pPr>
      <w:rPr>
        <w:rFonts w:hint="default"/>
      </w:rPr>
    </w:lvl>
    <w:lvl w:ilvl="7">
      <w:start w:val="0"/>
      <w:numFmt w:val="bullet"/>
      <w:lvlText w:val="•"/>
      <w:lvlJc w:val="left"/>
      <w:pPr>
        <w:ind w:left="11527" w:hanging="541"/>
      </w:pPr>
      <w:rPr>
        <w:rFonts w:hint="default"/>
      </w:rPr>
    </w:lvl>
    <w:lvl w:ilvl="8">
      <w:start w:val="0"/>
      <w:numFmt w:val="bullet"/>
      <w:lvlText w:val="•"/>
      <w:lvlJc w:val="left"/>
      <w:pPr>
        <w:ind w:left="12971" w:hanging="541"/>
      </w:pPr>
      <w:rPr>
        <w:rFonts w:hint="default"/>
      </w:rPr>
    </w:lvl>
  </w:abstractNum>
  <w:abstractNum w:abstractNumId="18">
    <w:nsid w:val="7D222AE8"/>
    <w:multiLevelType w:val="hybridMultilevel"/>
    <w:tmpl w:val="00000000"/>
    <w:lvl w:ilvl="0">
      <w:start w:val="6"/>
      <w:numFmt w:val="decimal"/>
      <w:lvlText w:val="(%1)"/>
      <w:lvlJc w:val="left"/>
      <w:pPr>
        <w:ind w:left="1420" w:hanging="720"/>
        <w:jc w:val="righ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19">
    <w:nsid w:val="7DEFA9AC"/>
    <w:multiLevelType w:val="hybridMultilevel"/>
    <w:tmpl w:val="00000000"/>
    <w:lvl w:ilvl="0">
      <w:start w:val="1"/>
      <w:numFmt w:val="decimal"/>
      <w:lvlText w:val="(%1)"/>
      <w:lvlJc w:val="left"/>
      <w:pPr>
        <w:ind w:left="1420" w:hanging="720"/>
        <w:jc w:val="lef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20">
    <w:nsid w:val="7ED685E2"/>
    <w:multiLevelType w:val="hybridMultilevel"/>
    <w:tmpl w:val="00000000"/>
    <w:lvl w:ilvl="0">
      <w:start w:val="3"/>
      <w:numFmt w:val="decimal"/>
      <w:lvlText w:val="(%1)"/>
      <w:lvlJc w:val="left"/>
      <w:pPr>
        <w:ind w:left="700" w:hanging="541"/>
        <w:jc w:val="left"/>
      </w:pPr>
      <w:rPr>
        <w:rFonts w:ascii="楷体" w:eastAsia="楷体" w:hAnsi="楷体" w:cs="楷体" w:hint="default"/>
        <w:spacing w:val="-1"/>
        <w:w w:val="100"/>
        <w:sz w:val="34"/>
        <w:szCs w:val="34"/>
      </w:rPr>
    </w:lvl>
    <w:lvl w:ilvl="1">
      <w:start w:val="0"/>
      <w:numFmt w:val="bullet"/>
      <w:lvlText w:val="•"/>
      <w:lvlJc w:val="left"/>
      <w:pPr>
        <w:ind w:left="2215" w:hanging="541"/>
      </w:pPr>
      <w:rPr>
        <w:rFonts w:hint="default"/>
      </w:rPr>
    </w:lvl>
    <w:lvl w:ilvl="2">
      <w:start w:val="0"/>
      <w:numFmt w:val="bullet"/>
      <w:lvlText w:val="•"/>
      <w:lvlJc w:val="left"/>
      <w:pPr>
        <w:ind w:left="3731" w:hanging="541"/>
      </w:pPr>
      <w:rPr>
        <w:rFonts w:hint="default"/>
      </w:rPr>
    </w:lvl>
    <w:lvl w:ilvl="3">
      <w:start w:val="0"/>
      <w:numFmt w:val="bullet"/>
      <w:lvlText w:val="•"/>
      <w:lvlJc w:val="left"/>
      <w:pPr>
        <w:ind w:left="5247" w:hanging="541"/>
      </w:pPr>
      <w:rPr>
        <w:rFonts w:hint="default"/>
      </w:rPr>
    </w:lvl>
    <w:lvl w:ilvl="4">
      <w:start w:val="0"/>
      <w:numFmt w:val="bullet"/>
      <w:lvlText w:val="•"/>
      <w:lvlJc w:val="left"/>
      <w:pPr>
        <w:ind w:left="6763" w:hanging="541"/>
      </w:pPr>
      <w:rPr>
        <w:rFonts w:hint="default"/>
      </w:rPr>
    </w:lvl>
    <w:lvl w:ilvl="5">
      <w:start w:val="0"/>
      <w:numFmt w:val="bullet"/>
      <w:lvlText w:val="•"/>
      <w:lvlJc w:val="left"/>
      <w:pPr>
        <w:ind w:left="8279" w:hanging="541"/>
      </w:pPr>
      <w:rPr>
        <w:rFonts w:hint="default"/>
      </w:rPr>
    </w:lvl>
    <w:lvl w:ilvl="6">
      <w:start w:val="0"/>
      <w:numFmt w:val="bullet"/>
      <w:lvlText w:val="•"/>
      <w:lvlJc w:val="left"/>
      <w:pPr>
        <w:ind w:left="9795" w:hanging="541"/>
      </w:pPr>
      <w:rPr>
        <w:rFonts w:hint="default"/>
      </w:rPr>
    </w:lvl>
    <w:lvl w:ilvl="7">
      <w:start w:val="0"/>
      <w:numFmt w:val="bullet"/>
      <w:lvlText w:val="•"/>
      <w:lvlJc w:val="left"/>
      <w:pPr>
        <w:ind w:left="11311" w:hanging="541"/>
      </w:pPr>
      <w:rPr>
        <w:rFonts w:hint="default"/>
      </w:rPr>
    </w:lvl>
    <w:lvl w:ilvl="8">
      <w:start w:val="0"/>
      <w:numFmt w:val="bullet"/>
      <w:lvlText w:val="•"/>
      <w:lvlJc w:val="left"/>
      <w:pPr>
        <w:ind w:left="12827" w:hanging="541"/>
      </w:pPr>
      <w:rPr>
        <w:rFonts w:hint="default"/>
      </w:rPr>
    </w:lvl>
  </w:abstractNum>
  <w:num w:numId="1">
    <w:abstractNumId w:val="14"/>
  </w:num>
  <w:num w:numId="2">
    <w:abstractNumId w:val="18"/>
  </w:num>
  <w:num w:numId="3">
    <w:abstractNumId w:val="11"/>
  </w:num>
  <w:num w:numId="4">
    <w:abstractNumId w:val="0"/>
  </w:num>
  <w:num w:numId="5">
    <w:abstractNumId w:val="3"/>
  </w:num>
  <w:num w:numId="6">
    <w:abstractNumId w:val="7"/>
  </w:num>
  <w:num w:numId="7">
    <w:abstractNumId w:val="5"/>
  </w:num>
  <w:num w:numId="8">
    <w:abstractNumId w:val="19"/>
  </w:num>
  <w:num w:numId="9">
    <w:abstractNumId w:val="15"/>
  </w:num>
  <w:num w:numId="10">
    <w:abstractNumId w:val="16"/>
  </w:num>
  <w:num w:numId="11">
    <w:abstractNumId w:val="1"/>
  </w:num>
  <w:num w:numId="12">
    <w:abstractNumId w:val="2"/>
  </w:num>
  <w:num w:numId="13">
    <w:abstractNumId w:val="12"/>
  </w:num>
  <w:num w:numId="14">
    <w:abstractNumId w:val="20"/>
  </w:num>
  <w:num w:numId="15">
    <w:abstractNumId w:val="17"/>
  </w:num>
  <w:num w:numId="16">
    <w:abstractNumId w:val="13"/>
  </w:num>
  <w:num w:numId="17">
    <w:abstractNumId w:val="4"/>
  </w:num>
  <w:num w:numId="18">
    <w:abstractNumId w:val="10"/>
  </w:num>
  <w:num w:numId="19">
    <w:abstractNumId w:val="8"/>
  </w:num>
  <w:num w:numId="20">
    <w:abstractNumId w:val="9"/>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jc w:val="center"/>
      <w:outlineLvl w:val="0"/>
    </w:pPr>
    <w:rPr>
      <w:rFonts w:ascii="楷体" w:eastAsia="楷体" w:hAnsi="楷体" w:cs="楷体"/>
      <w:b/>
      <w:bCs/>
      <w:sz w:val="48"/>
      <w:szCs w:val="48"/>
    </w:rPr>
  </w:style>
  <w:style w:type="paragraph" w:styleId="Heading2">
    <w:name w:val="heading 2"/>
    <w:basedOn w:val="Normal"/>
    <w:uiPriority w:val="1"/>
    <w:qFormat/>
    <w:pPr>
      <w:spacing w:before="42"/>
      <w:outlineLvl w:val="1"/>
    </w:pPr>
    <w:rPr>
      <w:rFonts w:ascii="楷体" w:eastAsia="楷体" w:hAnsi="楷体" w:cs="楷体"/>
      <w:b/>
      <w:bCs/>
      <w:sz w:val="42"/>
      <w:szCs w:val="42"/>
    </w:rPr>
  </w:style>
  <w:style w:type="paragraph" w:styleId="Heading3">
    <w:name w:val="heading 3"/>
    <w:basedOn w:val="Normal"/>
    <w:uiPriority w:val="1"/>
    <w:qFormat/>
    <w:pPr>
      <w:spacing w:before="2"/>
      <w:ind w:left="700"/>
      <w:outlineLvl w:val="2"/>
    </w:pPr>
    <w:rPr>
      <w:rFonts w:ascii="楷体" w:eastAsia="楷体" w:hAnsi="楷体" w:cs="楷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36"/>
      <w:szCs w:val="36"/>
    </w:rPr>
  </w:style>
  <w:style w:type="paragraph" w:styleId="Title">
    <w:name w:val="Title"/>
    <w:basedOn w:val="Normal"/>
    <w:uiPriority w:val="1"/>
    <w:qFormat/>
    <w:pPr>
      <w:spacing w:before="393"/>
      <w:ind w:left="6389" w:right="8389"/>
      <w:jc w:val="both"/>
    </w:pPr>
    <w:rPr>
      <w:rFonts w:ascii="楷体" w:eastAsia="楷体" w:hAnsi="楷体" w:cs="楷体"/>
      <w:b/>
      <w:bCs/>
      <w:sz w:val="108"/>
      <w:szCs w:val="108"/>
    </w:rPr>
  </w:style>
  <w:style w:type="paragraph" w:styleId="ListParagraph">
    <w:name w:val="List Paragraph"/>
    <w:basedOn w:val="Normal"/>
    <w:uiPriority w:val="1"/>
    <w:qFormat/>
    <w:pPr>
      <w:spacing w:before="241"/>
      <w:ind w:left="700" w:hanging="721"/>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5.png"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yperlink" Target="https://d.book118.com/218105103007006023" TargetMode="External" /><Relationship Id="rId39" Type="http://schemas.openxmlformats.org/officeDocument/2006/relationships/header" Target="header16.xml" /><Relationship Id="rId4" Type="http://schemas.openxmlformats.org/officeDocument/2006/relationships/image" Target="media/image1.png" /><Relationship Id="rId40" Type="http://schemas.openxmlformats.org/officeDocument/2006/relationships/footer" Target="footer16.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11.xml.rels><?xml version="1.0" encoding="utf-8" standalone="yes"?><Relationships xmlns="http://schemas.openxmlformats.org/package/2006/relationships"><Relationship Id="rId1" Type="http://schemas.openxmlformats.org/officeDocument/2006/relationships/image" Target="media/image4.png" /></Relationships>
</file>

<file path=word/_rels/header12.xml.rels><?xml version="1.0" encoding="utf-8" standalone="yes"?><Relationships xmlns="http://schemas.openxmlformats.org/package/2006/relationships"><Relationship Id="rId1" Type="http://schemas.openxmlformats.org/officeDocument/2006/relationships/image" Target="media/image4.png" /></Relationships>
</file>

<file path=word/_rels/header13.xml.rels><?xml version="1.0" encoding="utf-8" standalone="yes"?><Relationships xmlns="http://schemas.openxmlformats.org/package/2006/relationships"><Relationship Id="rId1" Type="http://schemas.openxmlformats.org/officeDocument/2006/relationships/image" Target="media/image4.png" /></Relationships>
</file>

<file path=word/_rels/header14.xml.rels><?xml version="1.0" encoding="utf-8" standalone="yes"?><Relationships xmlns="http://schemas.openxmlformats.org/package/2006/relationships"><Relationship Id="rId1" Type="http://schemas.openxmlformats.org/officeDocument/2006/relationships/image" Target="media/image4.png" /></Relationships>
</file>

<file path=word/_rels/header15.xml.rels><?xml version="1.0" encoding="utf-8" standalone="yes"?><Relationships xmlns="http://schemas.openxmlformats.org/package/2006/relationships"><Relationship Id="rId1" Type="http://schemas.openxmlformats.org/officeDocument/2006/relationships/image" Target="media/image4.png" /></Relationships>
</file>

<file path=word/_rels/header16.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2023-12-10T12:11:58Z</dcterms:created>
  <dcterms:modified xsi:type="dcterms:W3CDTF">2023-12-10T12:11:58Z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2022-10-09T00:00:00Z</vt:filetime>
  </property>
  <property fmtid="{D5CDD505-2E9C-101B-9397-08002B2CF9AE}" pid="3" name="LastSaved">
    <vt:filetime>2023-12-10T00:00:00Z</vt:filetime>
  </property>
</Properties>
</file>