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47"/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2933705</wp:posOffset>
            </wp:positionH>
            <wp:positionV relativeFrom="page">
              <wp:posOffset>1809730</wp:posOffset>
            </wp:positionV>
            <wp:extent cx="4273538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7353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3.55pt;height:303.5pt;margin-top:0;margin-left:0;mso-position-horizontal-relative:page;mso-position-vertical-relative:page;position:absolute;z-index:251660288" o:allowincell="f" filled="t" fillcolor="#aa8245" stroked="f">
            <o:lock v:ext="edit" aspectratio="f"/>
            <v:textbox style="layout-flow:vertical-ideographic" inset="0,0,0,0">
              <w:txbxContent>
                <w:p>
                  <w:pPr>
                    <w:spacing w:before="171" w:line="215" w:lineRule="auto"/>
                    <w:ind w:left="1764"/>
                    <w:rPr>
                      <w:rFonts w:ascii="SimHei" w:eastAsia="SimHei" w:hAnsi="SimHei" w:cs="SimHei"/>
                      <w:sz w:val="26"/>
                      <w:szCs w:val="26"/>
                    </w:rPr>
                  </w:pPr>
                  <w:r>
                    <w:rPr>
                      <w:rFonts w:ascii="SimHei" w:eastAsia="SimHei" w:hAnsi="SimHei" w:cs="SimHei"/>
                      <w:spacing w:val="18"/>
                      <w:sz w:val="26"/>
                      <w:szCs w:val="26"/>
                    </w:rPr>
                    <w:t>证券研究报告</w:t>
                  </w:r>
                </w:p>
              </w:txbxContent>
            </v:textbox>
          </v:shape>
        </w:pict>
      </w:r>
      <w:r>
        <w:pict>
          <v:shape id="_x0000_s1026" type="#_x0000_t202" style="width:324.7pt;height:62.85pt;margin-top:76.81pt;margin-left:237.15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513" w:lineRule="exact"/>
                    <w:ind w:left="2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pacing w:val="-5"/>
                      <w:position w:val="17"/>
                      <w:sz w:val="28"/>
                      <w:szCs w:val="28"/>
                    </w:rPr>
                    <w:t>具身智能是</w:t>
                  </w:r>
                  <w:r>
                    <w:rPr>
                      <w:spacing w:val="-5"/>
                      <w:position w:val="17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b/>
                      <w:bCs/>
                      <w:spacing w:val="-5"/>
                      <w:position w:val="17"/>
                      <w:sz w:val="28"/>
                      <w:szCs w:val="28"/>
                    </w:rPr>
                    <w:t xml:space="preserve">Al  </w:t>
                  </w:r>
                  <w:r>
                    <w:rPr>
                      <w:b/>
                      <w:bCs/>
                      <w:spacing w:val="-5"/>
                      <w:position w:val="17"/>
                      <w:sz w:val="28"/>
                      <w:szCs w:val="28"/>
                    </w:rPr>
                    <w:t>的终极形态，持续关注人形机器人产</w:t>
                  </w:r>
                </w:p>
                <w:p>
                  <w:pPr>
                    <w:spacing w:before="1" w:line="222" w:lineRule="auto"/>
                    <w:ind w:left="20"/>
                    <w:rPr>
                      <w:rFonts w:ascii="SimSun" w:eastAsia="SimSun" w:hAnsi="SimSun" w:cs="SimSun"/>
                      <w:sz w:val="21"/>
                      <w:szCs w:val="21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spacing w:val="-6"/>
                      <w:sz w:val="21"/>
                      <w:szCs w:val="21"/>
                    </w:rPr>
                    <w:t>业</w:t>
                  </w:r>
                  <w:r>
                    <w:rPr>
                      <w:rFonts w:ascii="SimSun" w:eastAsia="SimSun" w:hAnsi="SimSun" w:cs="SimSun"/>
                      <w:spacing w:val="13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b/>
                      <w:bCs/>
                      <w:spacing w:val="-6"/>
                      <w:sz w:val="21"/>
                      <w:szCs w:val="21"/>
                    </w:rPr>
                    <w:t>链</w:t>
                  </w:r>
                </w:p>
                <w:p>
                  <w:pPr>
                    <w:pStyle w:val="BodyText"/>
                    <w:spacing w:before="191" w:line="227" w:lineRule="auto"/>
                    <w:ind w:right="20"/>
                    <w:jc w:val="right"/>
                  </w:pPr>
                  <w:r>
                    <w:rPr>
                      <w:b/>
                      <w:bCs/>
                      <w:spacing w:val="19"/>
                    </w:rPr>
                    <w:t>——机械行业周报(2024.2.26-2024.3.1)</w:t>
                  </w:r>
                </w:p>
              </w:txbxContent>
            </v:textbox>
          </v:shape>
        </w:pict>
      </w:r>
      <w:r>
        <w:pict>
          <v:shape id="_x0000_s1027" type="#_x0000_t202" style="width:330.05pt;height:620.3pt;margin-top:147.74pt;margin-left:236.25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19" w:line="227" w:lineRule="auto"/>
                    <w:ind w:left="34"/>
                  </w:pPr>
                  <w:r>
                    <w:rPr>
                      <w:spacing w:val="14"/>
                    </w:rPr>
                    <w:t>■</w:t>
                  </w:r>
                  <w:r>
                    <w:rPr>
                      <w:spacing w:val="17"/>
                    </w:rPr>
                    <w:t xml:space="preserve">  </w:t>
                  </w:r>
                  <w:r>
                    <w:rPr>
                      <w:b/>
                      <w:bCs/>
                      <w:spacing w:val="14"/>
                    </w:rPr>
                    <w:t>行情回顾</w:t>
                  </w:r>
                </w:p>
                <w:p>
                  <w:pPr>
                    <w:pStyle w:val="BodyText"/>
                    <w:spacing w:before="32" w:line="237" w:lineRule="auto"/>
                    <w:ind w:left="34" w:right="145"/>
                  </w:pPr>
                  <w:r>
                    <w:rPr>
                      <w:spacing w:val="9"/>
                    </w:rPr>
                    <w:t>过去一周</w:t>
                  </w:r>
                  <w:r>
                    <w:rPr>
                      <w:spacing w:val="9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spacing w:val="9"/>
                    </w:rPr>
                    <w:t>(2024.2.26-2024.3</w:t>
                  </w:r>
                  <w:r>
                    <w:rPr>
                      <w:spacing w:val="9"/>
                    </w:rPr>
                    <w:t>.1),中信机械行业上涨5.16%,表现处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t>于中上游，在所有一级行业中涨跌幅排名第6。具体来看，工程机械上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14"/>
                    </w:rPr>
                    <w:t>涨1.83%,通用设备上涨5.53%,专用设备上涨6.14%,仪器仪表上涨</w:t>
                  </w:r>
                  <w:r>
                    <w:rPr>
                      <w:spacing w:val="10"/>
                    </w:rPr>
                    <w:t xml:space="preserve"> </w:t>
                  </w:r>
                  <w:r>
                    <w:rPr>
                      <w:spacing w:val="13"/>
                    </w:rPr>
                    <w:t>3.04%,金属制品上涨1.37%,运输设备上涨6.84</w:t>
                  </w:r>
                  <w:r>
                    <w:rPr>
                      <w:spacing w:val="12"/>
                    </w:rPr>
                    <w:t>%。</w:t>
                  </w:r>
                </w:p>
                <w:p>
                  <w:pPr>
                    <w:pStyle w:val="BodyText"/>
                    <w:spacing w:before="62" w:line="228" w:lineRule="auto"/>
                    <w:ind w:left="34"/>
                  </w:pPr>
                  <w:r>
                    <w:rPr>
                      <w:spacing w:val="16"/>
                    </w:rPr>
                    <w:t>■</w:t>
                  </w:r>
                  <w:r>
                    <w:rPr>
                      <w:spacing w:val="17"/>
                    </w:rPr>
                    <w:t xml:space="preserve">  </w:t>
                  </w:r>
                  <w:r>
                    <w:rPr>
                      <w:b/>
                      <w:bCs/>
                      <w:spacing w:val="16"/>
                    </w:rPr>
                    <w:t>主要观点</w:t>
                  </w:r>
                </w:p>
                <w:p>
                  <w:pPr>
                    <w:pStyle w:val="BodyText"/>
                    <w:spacing w:before="72" w:line="237" w:lineRule="auto"/>
                    <w:ind w:left="20" w:right="20" w:firstLine="17"/>
                    <w:jc w:val="both"/>
                  </w:pPr>
                  <w:r>
                    <w:rPr>
                      <w:b/>
                      <w:bCs/>
                      <w:spacing w:val="1"/>
                    </w:rPr>
                    <w:t>具身智能具备由“大脑”“小脑”“脑干”组成的完整人脑结构以及</w:t>
                  </w:r>
                  <w:r>
                    <w:rPr>
                      <w:spacing w:val="1"/>
                    </w:rPr>
                    <w:t xml:space="preserve">  </w:t>
                  </w:r>
                  <w:r>
                    <w:rPr>
                      <w:b/>
                      <w:bCs/>
                    </w:rPr>
                    <w:t>可实现行动的机器身体：</w:t>
                  </w:r>
                  <w:r>
                    <w:t xml:space="preserve"> </w:t>
                  </w:r>
                  <w:r>
                    <w:t>具身智能概念在1950年首次被提出，指能够</w:t>
                  </w:r>
                  <w:r>
                    <w:rPr>
                      <w:spacing w:val="6"/>
                    </w:rPr>
                    <w:t xml:space="preserve">  </w:t>
                  </w:r>
                  <w:r>
                    <w:rPr>
                      <w:spacing w:val="5"/>
                    </w:rPr>
                    <w:t>与环境交互感知，具备自主规划、决策、行动、</w:t>
                  </w:r>
                  <w:r>
                    <w:rPr>
                      <w:spacing w:val="4"/>
                    </w:rPr>
                    <w:t>执行能力的机器人或</w:t>
                  </w:r>
                  <w:r>
                    <w:t xml:space="preserve">  </w:t>
                  </w:r>
                  <w:r>
                    <w:rPr>
                      <w:spacing w:val="-1"/>
                    </w:rPr>
                    <w:t>虚拟环境中的仿真人，是</w:t>
                  </w:r>
                  <w:r>
                    <w:rPr>
                      <w:spacing w:val="-2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-1"/>
                    </w:rPr>
                    <w:t>Al</w:t>
                  </w:r>
                  <w:r>
                    <w:rPr>
                      <w:rFonts w:ascii="SimSun" w:eastAsia="SimSun" w:hAnsi="SimSun" w:cs="SimSun"/>
                      <w:spacing w:val="-33"/>
                    </w:rPr>
                    <w:t xml:space="preserve"> </w:t>
                  </w:r>
                  <w:r>
                    <w:rPr>
                      <w:spacing w:val="-1"/>
                    </w:rPr>
                    <w:t>的终级形态。具身智能具备自主感知、认</w:t>
                  </w:r>
                  <w:r>
                    <w:t xml:space="preserve">  </w:t>
                  </w:r>
                  <w:r>
                    <w:rPr>
                      <w:spacing w:val="16"/>
                    </w:rPr>
                    <w:t>知、理解、推理、行动等类人或高于人类的能力，具备由“大脑”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3"/>
                    </w:rPr>
                    <w:t>“小脑”“脑干”组成的完整人脑结构以及可实现行动的机器身体，</w:t>
                  </w:r>
                  <w:r>
                    <w:rPr>
                      <w:spacing w:val="9"/>
                    </w:rPr>
                    <w:t xml:space="preserve">  </w:t>
                  </w:r>
                  <w:r>
                    <w:rPr>
                      <w:spacing w:val="-1"/>
                    </w:rPr>
                    <w:t>其中，</w:t>
                  </w:r>
                  <w:r>
                    <w:rPr>
                      <w:spacing w:val="70"/>
                    </w:rPr>
                    <w:t xml:space="preserve"> </w:t>
                  </w:r>
                  <w:r>
                    <w:rPr>
                      <w:spacing w:val="-1"/>
                    </w:rPr>
                    <w:t>“大脑”部分负责对场景进行认知、理解、推断、分析，“小</w:t>
                  </w:r>
                  <w:r>
                    <w:t xml:space="preserve">  </w:t>
                  </w:r>
                  <w:r>
                    <w:rPr>
                      <w:spacing w:val="12"/>
                    </w:rPr>
                    <w:t>脑”部分开展柔性控制、协同控制、交互控制、灵巧操作等技能学</w:t>
                  </w:r>
                  <w:r>
                    <w:t xml:space="preserve">  </w:t>
                  </w:r>
                  <w:r>
                    <w:rPr>
                      <w:spacing w:val="-1"/>
                    </w:rPr>
                    <w:t>习，</w:t>
                  </w:r>
                  <w:r>
                    <w:rPr>
                      <w:spacing w:val="59"/>
                    </w:rPr>
                    <w:t xml:space="preserve"> </w:t>
                  </w:r>
                  <w:r>
                    <w:rPr>
                      <w:spacing w:val="-1"/>
                    </w:rPr>
                    <w:t>“脑干”部分则承担能源调配、环境感知、信号分析与计算等工</w:t>
                  </w:r>
                  <w:r>
                    <w:t xml:space="preserve">  </w:t>
                  </w:r>
                  <w:r>
                    <w:rPr>
                      <w:spacing w:val="4"/>
                    </w:rPr>
                    <w:t>作。随着时代的发展和科技的进步，具身智能的概念被不断迭代和更</w:t>
                  </w:r>
                  <w:r>
                    <w:rPr>
                      <w:spacing w:val="2"/>
                    </w:rPr>
                    <w:t xml:space="preserve">  </w:t>
                  </w:r>
                  <w:r>
                    <w:rPr>
                      <w:spacing w:val="5"/>
                    </w:rPr>
                    <w:t>新，尚未形成定论，但通识的理解是具有身体的</w:t>
                  </w:r>
                  <w:r>
                    <w:rPr>
                      <w:spacing w:val="4"/>
                    </w:rPr>
                    <w:t>智能技术，即为智能</w:t>
                  </w:r>
                  <w:r>
                    <w:t xml:space="preserve">  </w:t>
                  </w:r>
                  <w:r>
                    <w:rPr>
                      <w:spacing w:val="6"/>
                    </w:rPr>
                    <w:t>技术赋予行动能力。具身智能的实现依赖于</w:t>
                  </w:r>
                  <w:r>
                    <w:rPr>
                      <w:spacing w:val="-5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>Al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</w:rPr>
                    <w:t xml:space="preserve">  </w:t>
                  </w:r>
                  <w:r>
                    <w:rPr>
                      <w:spacing w:val="6"/>
                    </w:rPr>
                    <w:t>领域的计算机视觉技</w:t>
                  </w:r>
                  <w:r>
                    <w:t xml:space="preserve">  </w:t>
                  </w:r>
                  <w:r>
                    <w:rPr>
                      <w:spacing w:val="-1"/>
                    </w:rPr>
                    <w:t>术、多模态感知融合技术、</w:t>
                  </w:r>
                  <w:r>
                    <w:rPr>
                      <w:spacing w:val="67"/>
                    </w:rPr>
                    <w:t xml:space="preserve"> </w:t>
                  </w:r>
                  <w:r>
                    <w:rPr>
                      <w:spacing w:val="-1"/>
                    </w:rPr>
                    <w:t>自然语言处理技术、因果推断技术、移动</w:t>
                  </w:r>
                  <w:r>
                    <w:t xml:space="preserve">  </w:t>
                  </w:r>
                  <w:r>
                    <w:rPr>
                      <w:spacing w:val="4"/>
                    </w:rPr>
                    <w:t>导航与规划技术等。区别于离线智能，具身智能要求机器人具备高度</w:t>
                  </w:r>
                  <w:r>
                    <w:rPr>
                      <w:spacing w:val="2"/>
                    </w:rPr>
                    <w:t xml:space="preserve">  </w:t>
                  </w:r>
                  <w:r>
                    <w:rPr>
                      <w:spacing w:val="7"/>
                    </w:rPr>
                    <w:t>自主化且可进行感知、理解与决策的“脑”,具有稳定、安全、运动</w:t>
                  </w:r>
                  <w:r>
                    <w:rPr>
                      <w:spacing w:val="8"/>
                    </w:rPr>
                    <w:t xml:space="preserve">  </w:t>
                  </w:r>
                  <w:r>
                    <w:rPr>
                      <w:spacing w:val="3"/>
                    </w:rPr>
                    <w:t>自然的机器人“身体”。此外，机器人还要具备在执行人类高级指令</w:t>
                  </w:r>
                  <w:r>
                    <w:rPr>
                      <w:spacing w:val="6"/>
                    </w:rPr>
                    <w:t xml:space="preserve">  </w:t>
                  </w:r>
                  <w:r>
                    <w:rPr>
                      <w:spacing w:val="-1"/>
                    </w:rPr>
                    <w:t>及与环境交互过程中进行在线学习、更新“脑”和“身体”的能力。</w:t>
                  </w:r>
                </w:p>
                <w:p>
                  <w:pPr>
                    <w:pStyle w:val="BodyText"/>
                    <w:spacing w:before="10" w:line="224" w:lineRule="auto"/>
                    <w:ind w:left="37"/>
                  </w:pPr>
                  <w:r>
                    <w:rPr>
                      <w:b/>
                      <w:bCs/>
                      <w:spacing w:val="1"/>
                    </w:rPr>
                    <w:t>具身智能的四个关键要素：本体、智能体、数据、学习和进化架构。</w:t>
                  </w:r>
                </w:p>
                <w:p>
                  <w:pPr>
                    <w:pStyle w:val="BodyText"/>
                    <w:spacing w:before="12" w:line="239" w:lineRule="auto"/>
                    <w:ind w:left="34" w:right="107"/>
                  </w:pPr>
                  <w:r>
                    <w:rPr>
                      <w:spacing w:val="3"/>
                    </w:rPr>
                    <w:t>根据智元机器人稚晖君的公开发文，可以知晓具身智能的关键要素，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4"/>
                    </w:rPr>
                    <w:t>第一是本体，作为实际的执行者，是在物理或者虚拟世界进</w:t>
                  </w:r>
                  <w:r>
                    <w:rPr>
                      <w:spacing w:val="3"/>
                    </w:rPr>
                    <w:t>行感知和</w:t>
                  </w:r>
                  <w:r>
                    <w:t xml:space="preserve"> </w:t>
                  </w:r>
                  <w:r>
                    <w:rPr>
                      <w:spacing w:val="4"/>
                    </w:rPr>
                    <w:t>任务执行的机构。本体通常是具有物理实体的机器人，可以有多种形</w:t>
                  </w:r>
                  <w:r>
                    <w:rPr>
                      <w:spacing w:val="11"/>
                    </w:rPr>
                    <w:t xml:space="preserve"> </w:t>
                  </w:r>
                  <w:r>
                    <w:rPr>
                      <w:spacing w:val="4"/>
                    </w:rPr>
                    <w:t>态。本体的能力边界会限制智能体的能力发挥，所以，具有广泛适应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rPr>
                      <w:spacing w:val="4"/>
                    </w:rPr>
                    <w:t>性的机器人本体是非常必要的。本体具备环境感知能力、运</w:t>
                  </w:r>
                  <w:r>
                    <w:rPr>
                      <w:spacing w:val="3"/>
                    </w:rPr>
                    <w:t>动能力和</w:t>
                  </w:r>
                  <w:r>
                    <w:t xml:space="preserve"> </w:t>
                  </w:r>
                  <w:r>
                    <w:rPr>
                      <w:spacing w:val="5"/>
                    </w:rPr>
                    <w:t>操作执行能力，是连接数字世界和物理世界的载体。具身智能的第二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3"/>
                    </w:rPr>
                    <w:t>个要素是智能体，是具身于本体之上的智能核心，负责感知、理解、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4"/>
                    </w:rPr>
                    <w:t>决策、控制等的核心工作。智能体可以感知复杂环境，理解环境所包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4"/>
                    </w:rPr>
                    <w:t>含的语义信息，能够和环境进行交互；可以理解具体</w:t>
                  </w:r>
                  <w:r>
                    <w:rPr>
                      <w:spacing w:val="3"/>
                    </w:rPr>
                    <w:t>任务，并且根据</w:t>
                  </w:r>
                  <w:r>
                    <w:t xml:space="preserve"> </w:t>
                  </w:r>
                  <w:r>
                    <w:rPr>
                      <w:spacing w:val="4"/>
                    </w:rPr>
                    <w:t>环境的变化和目标状态做出决策，进而控制本</w:t>
                  </w:r>
                  <w:r>
                    <w:rPr>
                      <w:spacing w:val="3"/>
                    </w:rPr>
                    <w:t>体完成任务。随着深度</w:t>
                  </w:r>
                  <w:r>
                    <w:t xml:space="preserve"> </w:t>
                  </w:r>
                  <w:r>
                    <w:rPr>
                      <w:spacing w:val="4"/>
                    </w:rPr>
                    <w:t>学习的发展，现代智能体通常由深度网络模型驱动，</w:t>
                  </w:r>
                  <w:r>
                    <w:rPr>
                      <w:spacing w:val="3"/>
                    </w:rPr>
                    <w:t>尤其是随着大语</w:t>
                  </w:r>
                  <w:r>
                    <w:t xml:space="preserve"> </w:t>
                  </w:r>
                  <w:r>
                    <w:rPr>
                      <w:spacing w:val="2"/>
                    </w:rPr>
                    <w:t>言模型</w:t>
                  </w:r>
                  <w:r>
                    <w:rPr>
                      <w:spacing w:val="2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pacing w:val="2"/>
                    </w:rPr>
                    <w:t>(</w:t>
                  </w:r>
                  <w:r>
                    <w:rPr>
                      <w:rFonts w:ascii="SimSun" w:eastAsia="SimSun" w:hAnsi="SimSun" w:cs="SimSun"/>
                    </w:rPr>
                    <w:t>LLM</w:t>
                  </w:r>
                  <w:r>
                    <w:rPr>
                      <w:rFonts w:ascii="SimSun" w:eastAsia="SimSun" w:hAnsi="SimSun" w:cs="SimSun"/>
                      <w:spacing w:val="2"/>
                    </w:rPr>
                    <w:t xml:space="preserve">)  </w:t>
                  </w:r>
                  <w:r>
                    <w:rPr>
                      <w:spacing w:val="2"/>
                    </w:rPr>
                    <w:t>的发展，结合视觉等多种传感器的复杂多模态模型，</w:t>
                  </w:r>
                </w:p>
                <w:p>
                  <w:pPr>
                    <w:pStyle w:val="BodyText"/>
                    <w:spacing w:before="22" w:line="244" w:lineRule="auto"/>
                    <w:ind w:left="34" w:right="137"/>
                  </w:pPr>
                  <w:r>
                    <w:rPr>
                      <w:spacing w:val="3"/>
                    </w:rPr>
                    <w:t>已经开始成为新一代智能体的趋势。具身智能的第三个要素是数据，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4"/>
                    </w:rPr>
                    <w:t>为了适应复杂环境和任务的泛化性，智能体规模变的</w:t>
                  </w:r>
                  <w:r>
                    <w:rPr>
                      <w:spacing w:val="3"/>
                    </w:rPr>
                    <w:t>越来越大，而大</w:t>
                  </w:r>
                  <w:r>
                    <w:t xml:space="preserve"> </w:t>
                  </w:r>
                  <w:r>
                    <w:rPr>
                      <w:spacing w:val="4"/>
                    </w:rPr>
                    <w:t>规模的模型对于海量数据更为渴求，而针对具身智</w:t>
                  </w:r>
                  <w:r>
                    <w:rPr>
                      <w:spacing w:val="3"/>
                    </w:rPr>
                    <w:t>能的场景则更为复</w:t>
                  </w:r>
                  <w:r>
                    <w:t xml:space="preserve"> </w:t>
                  </w:r>
                  <w:r>
                    <w:rPr>
                      <w:spacing w:val="4"/>
                    </w:rPr>
                    <w:t>杂多样，这造成了多变的环境和任务，以及围绕着复杂任务链</w:t>
                  </w:r>
                  <w:r>
                    <w:rPr>
                      <w:spacing w:val="3"/>
                    </w:rPr>
                    <w:t>的规划</w:t>
                  </w:r>
                  <w:r>
                    <w:t xml:space="preserve"> </w:t>
                  </w:r>
                  <w:r>
                    <w:rPr>
                      <w:spacing w:val="4"/>
                    </w:rPr>
                    <w:t>决策控制数据。尤其是针对行业场景的高质量数据，将是未来具身智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pacing w:val="4"/>
                    </w:rPr>
                    <w:t>能成功应用落地的关键支撑。具身智能的第四个要素是学习</w:t>
                  </w:r>
                  <w:r>
                    <w:rPr>
                      <w:spacing w:val="3"/>
                    </w:rPr>
                    <w:t>和进化架</w:t>
                  </w:r>
                  <w:r>
                    <w:t xml:space="preserve"> </w:t>
                  </w:r>
                  <w:r>
                    <w:rPr>
                      <w:spacing w:val="11"/>
                    </w:rPr>
                    <w:t>构。智能体通过和物理世界(虚拟的或真实的)的交互，来适应新环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spacing w:val="34"/>
                      <w:sz w:val="18"/>
                      <w:szCs w:val="18"/>
                    </w:rPr>
                    <w:t>境、学习新知识并强化出新的解决问题方法。采用虚拟仿真</w:t>
                  </w:r>
                  <w:r>
                    <w:rPr>
                      <w:spacing w:val="33"/>
                      <w:sz w:val="18"/>
                      <w:szCs w:val="18"/>
                    </w:rPr>
                    <w:t>环境进行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4"/>
                    </w:rPr>
                    <w:t>部分学习是合理的设计，但真实环境的复杂度通常超过仿真环境，如</w:t>
                  </w:r>
                </w:p>
              </w:txbxContent>
            </v:textbox>
          </v:shape>
        </w:pict>
      </w:r>
      <w:r>
        <w:pict>
          <v:shape id="_x0000_s1028" type="#_x0000_t202" style="width:33.05pt;height:220.05pt;margin-top:309pt;margin-left:0;mso-position-horizontal-relative:page;mso-position-vertical-relative:page;position:absolute;z-index:251661312" o:allowincell="f" filled="t" fillcolor="#c00000" stroked="f">
            <o:lock v:ext="edit" aspectratio="f"/>
            <v:textbox style="layout-flow:vertical-ideographic" inset="0,0,0,0">
              <w:txbxContent>
                <w:p>
                  <w:pPr>
                    <w:spacing w:before="151" w:line="215" w:lineRule="auto"/>
                    <w:ind w:left="1589"/>
                    <w:rPr>
                      <w:rFonts w:ascii="SimHei" w:eastAsia="SimHei" w:hAnsi="SimHei" w:cs="SimHei"/>
                      <w:sz w:val="26"/>
                      <w:szCs w:val="26"/>
                    </w:rPr>
                  </w:pPr>
                  <w:r>
                    <w:rPr>
                      <w:rFonts w:ascii="SimHei" w:eastAsia="SimHei" w:hAnsi="SimHei" w:cs="SimHei"/>
                      <w:spacing w:val="26"/>
                      <w:sz w:val="26"/>
                      <w:szCs w:val="26"/>
                    </w:rPr>
                    <w:t>行业周报</w:t>
                  </w:r>
                </w:p>
              </w:txbxContent>
            </v:textbox>
          </v:shape>
        </w:pict>
      </w:r>
    </w:p>
    <w:p>
      <w:pPr>
        <w:spacing w:before="47"/>
      </w:pPr>
    </w:p>
    <w:p>
      <w:pPr>
        <w:spacing w:before="46"/>
      </w:pPr>
    </w:p>
    <w:p>
      <w:pPr>
        <w:spacing w:before="46"/>
      </w:pPr>
    </w:p>
    <w:p>
      <w:pPr>
        <w:spacing w:before="46"/>
      </w:pPr>
    </w:p>
    <w:tbl>
      <w:tblPr>
        <w:tblStyle w:val="TableNormal"/>
        <w:tblW w:w="3659" w:type="dxa"/>
        <w:tblInd w:w="8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50"/>
        <w:gridCol w:w="2609"/>
      </w:tblGrid>
      <w:tr>
        <w:tblPrEx>
          <w:tblW w:w="3659" w:type="dxa"/>
          <w:tblInd w:w="83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409"/>
        </w:trPr>
        <w:tc>
          <w:tcPr>
            <w:tcW w:w="1050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85" w:line="959" w:lineRule="exact"/>
              <w:ind w:firstLine="60"/>
            </w:pPr>
            <w:r>
              <w:rPr>
                <w:position w:val="-19"/>
              </w:rPr>
              <w:drawing>
                <wp:inline distT="0" distB="0" distL="0" distR="0">
                  <wp:extent cx="584154" cy="609523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54" cy="609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9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246" w:line="207" w:lineRule="auto"/>
              <w:ind w:left="77"/>
              <w:rPr>
                <w:rFonts w:ascii="SimHei" w:eastAsia="SimHei" w:hAnsi="SimHei" w:cs="SimHei"/>
                <w:sz w:val="52"/>
                <w:szCs w:val="52"/>
              </w:rPr>
            </w:pPr>
            <w:r>
              <w:rPr>
                <w:rFonts w:ascii="SimHei" w:eastAsia="SimHei" w:hAnsi="SimHei" w:cs="SimHei"/>
                <w:b/>
                <w:bCs/>
                <w:color w:val="EA0007"/>
                <w:spacing w:val="-3"/>
                <w:sz w:val="52"/>
                <w:szCs w:val="52"/>
              </w:rPr>
              <w:t>上海证券</w:t>
            </w:r>
          </w:p>
          <w:p>
            <w:pPr>
              <w:spacing w:line="198" w:lineRule="auto"/>
              <w:ind w:left="7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ED0000"/>
                <w:spacing w:val="-1"/>
                <w:sz w:val="18"/>
                <w:szCs w:val="18"/>
              </w:rPr>
              <w:t>SHANGHAI</w:t>
            </w:r>
            <w:r>
              <w:rPr>
                <w:rFonts w:ascii="Arial" w:eastAsia="Arial" w:hAnsi="Arial" w:cs="Arial"/>
                <w:b/>
                <w:bCs/>
                <w:color w:val="ED0000"/>
                <w:spacing w:val="4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ED0000"/>
                <w:spacing w:val="-1"/>
                <w:sz w:val="18"/>
                <w:szCs w:val="18"/>
              </w:rPr>
              <w:t>SECURITIES</w:t>
            </w:r>
          </w:p>
        </w:tc>
      </w:tr>
      <w:tr>
        <w:tblPrEx>
          <w:tblW w:w="3659" w:type="dxa"/>
          <w:tblInd w:w="830" w:type="dxa"/>
          <w:tblLayout w:type="fixed"/>
        </w:tblPrEx>
        <w:trPr>
          <w:trHeight w:val="4078"/>
        </w:trPr>
        <w:tc>
          <w:tcPr>
            <w:tcW w:w="3659" w:type="dxa"/>
            <w:gridSpan w:val="2"/>
            <w:tcBorders>
              <w:top w:val="single" w:sz="2" w:space="0" w:color="000000"/>
            </w:tcBorders>
            <w:vAlign w:val="top"/>
          </w:tcPr>
          <w:p>
            <w:pPr>
              <w:spacing w:before="150" w:line="227" w:lineRule="auto"/>
              <w:ind w:left="775"/>
              <w:rPr>
                <w:rFonts w:ascii="KaiTi" w:eastAsia="KaiTi" w:hAnsi="KaiTi" w:cs="KaiTi"/>
                <w:sz w:val="36"/>
                <w:szCs w:val="36"/>
              </w:rPr>
            </w:pPr>
            <w:r>
              <w:rPr>
                <w:rFonts w:ascii="KaiTi" w:eastAsia="KaiTi" w:hAnsi="KaiTi" w:cs="KaiTi"/>
                <w:b/>
                <w:bCs/>
                <w:spacing w:val="28"/>
                <w:sz w:val="36"/>
                <w:szCs w:val="36"/>
              </w:rPr>
              <w:t>增持(维持)</w:t>
            </w:r>
          </w:p>
          <w:p>
            <w:pPr>
              <w:pStyle w:val="TableText"/>
              <w:spacing w:before="123" w:line="231" w:lineRule="auto"/>
              <w:ind w:left="152"/>
              <w:rPr>
                <w:rFonts w:ascii="KaiTi" w:eastAsia="KaiTi" w:hAnsi="KaiTi" w:cs="KaiTi"/>
                <w:sz w:val="21"/>
                <w:szCs w:val="21"/>
              </w:rPr>
            </w:pPr>
            <w:r>
              <w:rPr>
                <w:b/>
                <w:bCs/>
                <w:spacing w:val="-19"/>
                <w:w w:val="97"/>
                <w:sz w:val="21"/>
                <w:szCs w:val="21"/>
              </w:rPr>
              <w:t>行业：</w:t>
            </w:r>
            <w:r>
              <w:rPr>
                <w:spacing w:val="22"/>
                <w:sz w:val="21"/>
                <w:szCs w:val="21"/>
              </w:rPr>
              <w:t xml:space="preserve">    </w:t>
            </w:r>
            <w:r>
              <w:rPr>
                <w:rFonts w:ascii="KaiTi" w:eastAsia="KaiTi" w:hAnsi="KaiTi" w:cs="KaiTi"/>
                <w:b/>
                <w:bCs/>
                <w:spacing w:val="-19"/>
                <w:w w:val="97"/>
                <w:sz w:val="21"/>
                <w:szCs w:val="21"/>
              </w:rPr>
              <w:t>机械</w:t>
            </w:r>
          </w:p>
          <w:p>
            <w:pPr>
              <w:pStyle w:val="TableText"/>
              <w:spacing w:before="55" w:line="220" w:lineRule="auto"/>
              <w:ind w:left="152"/>
            </w:pPr>
            <w:r>
              <w:rPr>
                <w:b/>
                <w:bCs/>
                <w:spacing w:val="2"/>
              </w:rPr>
              <w:t>日期：</w:t>
            </w:r>
            <w:r>
              <w:rPr>
                <w:spacing w:val="5"/>
              </w:rPr>
              <w:t xml:space="preserve">      </w:t>
            </w:r>
            <w:r>
              <w:rPr>
                <w:b/>
                <w:bCs/>
                <w:spacing w:val="2"/>
              </w:rPr>
              <w:t>2024年03月07日</w:t>
            </w: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19" w:lineRule="auto"/>
              <w:ind w:left="152"/>
              <w:rPr>
                <w:sz w:val="21"/>
                <w:szCs w:val="21"/>
              </w:rPr>
            </w:pPr>
            <w:r>
              <w:rPr>
                <w:b/>
                <w:bCs/>
                <w:spacing w:val="-16"/>
                <w:sz w:val="21"/>
                <w:szCs w:val="21"/>
              </w:rPr>
              <w:t>分析师：</w:t>
            </w:r>
            <w:r>
              <w:rPr>
                <w:spacing w:val="-16"/>
                <w:sz w:val="21"/>
                <w:szCs w:val="21"/>
              </w:rPr>
              <w:t xml:space="preserve">   </w:t>
            </w:r>
            <w:r>
              <w:rPr>
                <w:b/>
                <w:bCs/>
                <w:spacing w:val="-16"/>
                <w:sz w:val="21"/>
                <w:szCs w:val="21"/>
              </w:rPr>
              <w:t>刘阳东</w:t>
            </w:r>
          </w:p>
          <w:p>
            <w:pPr>
              <w:pStyle w:val="TableText"/>
              <w:spacing w:before="72" w:line="188" w:lineRule="auto"/>
              <w:ind w:left="149"/>
            </w:pPr>
            <w:r>
              <w:rPr>
                <w:rFonts w:ascii="Arial" w:eastAsia="Arial" w:hAnsi="Arial" w:cs="Arial"/>
                <w:b/>
                <w:bCs/>
                <w:spacing w:val="-3"/>
              </w:rPr>
              <w:t>Tel: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 xml:space="preserve">              </w:t>
            </w:r>
            <w:r>
              <w:rPr>
                <w:b/>
                <w:bCs/>
                <w:spacing w:val="-3"/>
              </w:rPr>
              <w:t>021-53686144</w:t>
            </w:r>
          </w:p>
          <w:p>
            <w:pPr>
              <w:pStyle w:val="TableText"/>
              <w:spacing w:before="24" w:line="283" w:lineRule="auto"/>
              <w:ind w:left="151" w:right="276" w:hanging="2"/>
            </w:pPr>
            <w:r>
              <w:rPr>
                <w:rFonts w:ascii="Arial" w:eastAsia="Arial" w:hAnsi="Arial" w:cs="Arial"/>
                <w:b/>
                <w:bCs/>
                <w:spacing w:val="-7"/>
                <w:position w:val="-1"/>
              </w:rPr>
              <w:t xml:space="preserve">E-mail:         </w:t>
            </w:r>
            <w:r>
              <w:rPr>
                <w:rFonts w:ascii="Arial" w:eastAsia="Arial" w:hAnsi="Arial" w:cs="Arial"/>
                <w:b/>
                <w:bCs/>
                <w:spacing w:val="-7"/>
                <w:sz w:val="21"/>
                <w:szCs w:val="21"/>
              </w:rPr>
              <w:t>liuyangdong@shzq.com</w:t>
            </w:r>
            <w:r>
              <w:rPr>
                <w:rFonts w:ascii="Arial" w:eastAsia="Arial" w:hAnsi="Arial" w:cs="Arial"/>
                <w:b/>
                <w:bCs/>
                <w:spacing w:val="11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7"/>
              </w:rPr>
              <w:t>SAC</w:t>
            </w:r>
            <w:r>
              <w:rPr>
                <w:spacing w:val="20"/>
              </w:rPr>
              <w:t xml:space="preserve">  </w:t>
            </w:r>
            <w:r>
              <w:rPr>
                <w:b/>
                <w:bCs/>
                <w:spacing w:val="-7"/>
              </w:rPr>
              <w:t>编号：</w:t>
            </w:r>
            <w:r>
              <w:rPr>
                <w:spacing w:val="-7"/>
              </w:rPr>
              <w:t xml:space="preserve"> </w:t>
            </w:r>
            <w:r>
              <w:rPr>
                <w:b/>
                <w:bCs/>
                <w:spacing w:val="-7"/>
              </w:rPr>
              <w:t>S0870523070002</w:t>
            </w:r>
          </w:p>
          <w:p>
            <w:pPr>
              <w:pStyle w:val="TableText"/>
              <w:spacing w:before="55" w:line="226" w:lineRule="auto"/>
              <w:ind w:left="152"/>
              <w:rPr>
                <w:rFonts w:ascii="KaiTi" w:eastAsia="KaiTi" w:hAnsi="KaiTi" w:cs="KaiTi"/>
                <w:sz w:val="21"/>
                <w:szCs w:val="21"/>
              </w:rPr>
            </w:pPr>
            <w:r>
              <w:rPr>
                <w:b/>
                <w:bCs/>
                <w:spacing w:val="-20"/>
                <w:sz w:val="21"/>
                <w:szCs w:val="21"/>
              </w:rPr>
              <w:t>分析师：</w:t>
            </w:r>
            <w:r>
              <w:rPr>
                <w:spacing w:val="52"/>
                <w:sz w:val="21"/>
                <w:szCs w:val="21"/>
              </w:rPr>
              <w:t xml:space="preserve">  </w:t>
            </w:r>
            <w:r>
              <w:rPr>
                <w:rFonts w:ascii="KaiTi" w:eastAsia="KaiTi" w:hAnsi="KaiTi" w:cs="KaiTi"/>
                <w:b/>
                <w:bCs/>
                <w:spacing w:val="-20"/>
                <w:sz w:val="21"/>
                <w:szCs w:val="21"/>
              </w:rPr>
              <w:t>吴婷婷</w:t>
            </w:r>
          </w:p>
          <w:p>
            <w:pPr>
              <w:pStyle w:val="TableText"/>
              <w:spacing w:before="56" w:line="188" w:lineRule="auto"/>
              <w:ind w:left="149"/>
            </w:pPr>
            <w:r>
              <w:rPr>
                <w:rFonts w:ascii="Arial" w:eastAsia="Arial" w:hAnsi="Arial" w:cs="Arial"/>
                <w:b/>
                <w:bCs/>
                <w:spacing w:val="-3"/>
              </w:rPr>
              <w:t>Tel:</w:t>
            </w:r>
            <w:r>
              <w:rPr>
                <w:rFonts w:ascii="Arial" w:eastAsia="Arial" w:hAnsi="Arial" w:cs="Arial"/>
                <w:b/>
                <w:bCs/>
                <w:spacing w:val="2"/>
              </w:rPr>
              <w:t xml:space="preserve">              </w:t>
            </w:r>
            <w:r>
              <w:rPr>
                <w:b/>
                <w:bCs/>
                <w:spacing w:val="-3"/>
              </w:rPr>
              <w:t>021-53686158</w:t>
            </w:r>
          </w:p>
          <w:p>
            <w:pPr>
              <w:spacing w:before="25" w:line="300" w:lineRule="exact"/>
              <w:ind w:left="14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pacing w:val="-6"/>
                <w:position w:val="4"/>
                <w:sz w:val="18"/>
                <w:szCs w:val="18"/>
              </w:rPr>
              <w:t xml:space="preserve">E-mail:         </w:t>
            </w:r>
            <w:r>
              <w:rPr>
                <w:rFonts w:ascii="Arial" w:eastAsia="Arial" w:hAnsi="Arial" w:cs="Arial"/>
                <w:b/>
                <w:bCs/>
                <w:spacing w:val="-6"/>
                <w:position w:val="4"/>
                <w:sz w:val="21"/>
                <w:szCs w:val="21"/>
              </w:rPr>
              <w:t>wutingting@shzq.com</w:t>
            </w:r>
          </w:p>
          <w:p>
            <w:pPr>
              <w:pStyle w:val="TableText"/>
              <w:spacing w:before="40" w:line="219" w:lineRule="auto"/>
              <w:ind w:left="152"/>
            </w:pPr>
            <w:r>
              <w:rPr>
                <w:b/>
                <w:bCs/>
                <w:spacing w:val="-12"/>
                <w:u w:val="single" w:color="auto"/>
              </w:rPr>
              <w:t>S</w:t>
            </w:r>
            <w:r>
              <w:rPr>
                <w:spacing w:val="-36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A</w:t>
            </w:r>
            <w:r>
              <w:rPr>
                <w:spacing w:val="-40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C</w:t>
            </w:r>
            <w:r>
              <w:rPr>
                <w:spacing w:val="-37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编</w:t>
            </w:r>
            <w:r>
              <w:rPr>
                <w:spacing w:val="-34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号</w:t>
            </w:r>
            <w:r>
              <w:rPr>
                <w:spacing w:val="-23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：</w:t>
            </w:r>
            <w:r>
              <w:rPr>
                <w:spacing w:val="-38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S</w:t>
            </w:r>
            <w:r>
              <w:rPr>
                <w:spacing w:val="-37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0</w:t>
            </w:r>
            <w:r>
              <w:rPr>
                <w:spacing w:val="-38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8</w:t>
            </w:r>
            <w:r>
              <w:rPr>
                <w:spacing w:val="-34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7</w:t>
            </w:r>
            <w:r>
              <w:rPr>
                <w:spacing w:val="-37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0</w:t>
            </w:r>
            <w:r>
              <w:rPr>
                <w:spacing w:val="-34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5</w:t>
            </w:r>
            <w:r>
              <w:rPr>
                <w:spacing w:val="-37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2</w:t>
            </w:r>
            <w:r>
              <w:rPr>
                <w:spacing w:val="-34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3</w:t>
            </w:r>
            <w:r>
              <w:rPr>
                <w:spacing w:val="-37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0</w:t>
            </w:r>
            <w:r>
              <w:rPr>
                <w:spacing w:val="-38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8</w:t>
            </w:r>
            <w:r>
              <w:rPr>
                <w:spacing w:val="-37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0</w:t>
            </w:r>
            <w:r>
              <w:rPr>
                <w:spacing w:val="-37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0</w:t>
            </w:r>
            <w:r>
              <w:rPr>
                <w:spacing w:val="-37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0</w:t>
            </w:r>
            <w:r>
              <w:rPr>
                <w:spacing w:val="-25"/>
                <w:u w:val="single" w:color="auto"/>
              </w:rPr>
              <w:t xml:space="preserve"> </w:t>
            </w:r>
            <w:r>
              <w:rPr>
                <w:b/>
                <w:bCs/>
                <w:spacing w:val="-12"/>
                <w:u w:val="single" w:color="auto"/>
              </w:rPr>
              <w:t>1</w:t>
            </w:r>
            <w:r>
              <w:rPr>
                <w:u w:val="single" w:color="auto"/>
              </w:rPr>
              <w:t xml:space="preserve">      </w:t>
            </w:r>
          </w:p>
        </w:tc>
      </w:tr>
      <w:tr>
        <w:tblPrEx>
          <w:tblW w:w="3659" w:type="dxa"/>
          <w:tblInd w:w="830" w:type="dxa"/>
          <w:tblLayout w:type="fixed"/>
        </w:tblPrEx>
        <w:trPr>
          <w:trHeight w:val="3089"/>
        </w:trPr>
        <w:tc>
          <w:tcPr>
            <w:tcW w:w="3659" w:type="dxa"/>
            <w:gridSpan w:val="2"/>
            <w:vAlign w:val="top"/>
          </w:tcPr>
          <w:p>
            <w:pPr>
              <w:spacing w:before="2" w:line="3076" w:lineRule="exact"/>
            </w:pPr>
            <w:r>
              <w:rPr>
                <w:position w:val="-61"/>
              </w:rPr>
              <w:drawing>
                <wp:inline distT="0" distB="0" distL="0" distR="0">
                  <wp:extent cx="2323464" cy="1953295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3464" cy="195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3659" w:type="dxa"/>
          <w:tblInd w:w="830" w:type="dxa"/>
          <w:tblLayout w:type="fixed"/>
        </w:tblPrEx>
        <w:trPr>
          <w:trHeight w:val="2959"/>
        </w:trPr>
        <w:tc>
          <w:tcPr>
            <w:tcW w:w="3659" w:type="dxa"/>
            <w:gridSpan w:val="2"/>
            <w:tcBorders>
              <w:bottom w:val="single" w:sz="2" w:space="0" w:color="000000"/>
            </w:tcBorders>
            <w:vAlign w:val="top"/>
          </w:tcPr>
          <w:p>
            <w:pPr>
              <w:spacing w:before="291" w:line="229" w:lineRule="auto"/>
              <w:ind w:left="152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b/>
                <w:bCs/>
                <w:spacing w:val="-9"/>
                <w:sz w:val="18"/>
                <w:szCs w:val="18"/>
              </w:rPr>
              <w:t>相关报告：</w:t>
            </w:r>
          </w:p>
          <w:p>
            <w:pPr>
              <w:spacing w:before="36" w:line="235" w:lineRule="auto"/>
              <w:ind w:left="152" w:right="80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b/>
                <w:bCs/>
                <w:spacing w:val="8"/>
                <w:sz w:val="18"/>
                <w:szCs w:val="18"/>
              </w:rPr>
              <w:t>《新一轮大规模设备更新启动，人形机器</w:t>
            </w:r>
            <w:r>
              <w:rPr>
                <w:rFonts w:ascii="KaiTi" w:eastAsia="KaiTi" w:hAnsi="KaiTi" w:cs="KaiTi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3"/>
                <w:sz w:val="18"/>
                <w:szCs w:val="18"/>
              </w:rPr>
              <w:t>人行业催化不断》</w:t>
            </w:r>
          </w:p>
          <w:p>
            <w:pPr>
              <w:spacing w:before="16" w:line="247" w:lineRule="auto"/>
              <w:ind w:left="152" w:right="91" w:firstLine="1420"/>
              <w:jc w:val="both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b/>
                <w:bCs/>
                <w:spacing w:val="16"/>
                <w:sz w:val="18"/>
                <w:szCs w:val="18"/>
              </w:rPr>
              <w:t>—</w:t>
            </w:r>
            <w:r>
              <w:rPr>
                <w:rFonts w:ascii="KaiTi" w:eastAsia="KaiTi" w:hAnsi="KaiTi" w:cs="KaiTi"/>
                <w:spacing w:val="-6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16"/>
                <w:sz w:val="18"/>
                <w:szCs w:val="18"/>
              </w:rPr>
              <w:t>—</w:t>
            </w:r>
            <w:r>
              <w:rPr>
                <w:rFonts w:ascii="KaiTi" w:eastAsia="KaiTi" w:hAnsi="KaiTi" w:cs="KaiTi"/>
                <w:spacing w:val="-6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16"/>
                <w:sz w:val="18"/>
                <w:szCs w:val="18"/>
              </w:rPr>
              <w:t>2024年02月27日</w:t>
            </w:r>
            <w:r>
              <w:rPr>
                <w:rFonts w:ascii="KaiTi" w:eastAsia="KaiTi" w:hAnsi="KaiTi" w:cs="KaiT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2"/>
                <w:sz w:val="18"/>
                <w:szCs w:val="18"/>
              </w:rPr>
              <w:t>《国内1月挖掘机销量大幅增长，万亿国债</w:t>
            </w:r>
            <w:r>
              <w:rPr>
                <w:rFonts w:ascii="KaiTi" w:eastAsia="KaiTi" w:hAnsi="KaiTi" w:cs="KaiTi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6"/>
                <w:sz w:val="18"/>
                <w:szCs w:val="18"/>
              </w:rPr>
              <w:t>项目全部下达完毕，建议关注工程机械板</w:t>
            </w:r>
            <w:r>
              <w:rPr>
                <w:rFonts w:ascii="KaiTi" w:eastAsia="KaiTi" w:hAnsi="KaiTi" w:cs="KaiTi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5"/>
                <w:sz w:val="18"/>
                <w:szCs w:val="18"/>
              </w:rPr>
              <w:t>块》</w:t>
            </w:r>
          </w:p>
          <w:p>
            <w:pPr>
              <w:spacing w:before="27" w:line="247" w:lineRule="auto"/>
              <w:ind w:left="152" w:right="82" w:firstLine="1430"/>
              <w:jc w:val="both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b/>
                <w:bCs/>
                <w:spacing w:val="16"/>
                <w:sz w:val="18"/>
                <w:szCs w:val="18"/>
              </w:rPr>
              <w:t>—</w:t>
            </w:r>
            <w:r>
              <w:rPr>
                <w:rFonts w:ascii="KaiTi" w:eastAsia="KaiTi" w:hAnsi="KaiTi" w:cs="KaiTi"/>
                <w:spacing w:val="-64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16"/>
                <w:sz w:val="18"/>
                <w:szCs w:val="18"/>
              </w:rPr>
              <w:t>—</w:t>
            </w:r>
            <w:r>
              <w:rPr>
                <w:rFonts w:ascii="KaiTi" w:eastAsia="KaiTi" w:hAnsi="KaiTi" w:cs="KaiTi"/>
                <w:spacing w:val="-6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16"/>
                <w:sz w:val="18"/>
                <w:szCs w:val="18"/>
              </w:rPr>
              <w:t>2024年02月22日</w:t>
            </w:r>
            <w:r>
              <w:rPr>
                <w:rFonts w:ascii="KaiTi" w:eastAsia="KaiTi" w:hAnsi="KaiTi" w:cs="KaiTi"/>
                <w:sz w:val="18"/>
                <w:szCs w:val="18"/>
              </w:rPr>
              <w:t xml:space="preserve">  </w:t>
            </w:r>
            <w:r>
              <w:rPr>
                <w:rFonts w:ascii="KaiTi" w:eastAsia="KaiTi" w:hAnsi="KaiTi" w:cs="KaiTi"/>
                <w:b/>
                <w:bCs/>
                <w:spacing w:val="2"/>
                <w:sz w:val="18"/>
                <w:szCs w:val="18"/>
              </w:rPr>
              <w:t>《1月制造业</w:t>
            </w:r>
            <w:r>
              <w:rPr>
                <w:rFonts w:ascii="KaiTi" w:eastAsia="KaiTi" w:hAnsi="KaiTi" w:cs="KaiTi"/>
                <w:spacing w:val="-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PMI</w:t>
            </w:r>
            <w:r>
              <w:rPr>
                <w:rFonts w:ascii="KaiTi" w:eastAsia="KaiTi" w:hAnsi="KaiTi" w:cs="KaiTi"/>
                <w:b/>
                <w:bCs/>
                <w:spacing w:val="2"/>
                <w:sz w:val="18"/>
                <w:szCs w:val="18"/>
              </w:rPr>
              <w:t>指数回升，市值管理考核</w:t>
            </w:r>
            <w:r>
              <w:rPr>
                <w:rFonts w:ascii="KaiTi" w:eastAsia="KaiTi" w:hAnsi="KaiTi" w:cs="KaiTi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3"/>
                <w:sz w:val="18"/>
                <w:szCs w:val="18"/>
              </w:rPr>
              <w:t>下关注央国企估值重估》</w:t>
            </w:r>
          </w:p>
          <w:p>
            <w:pPr>
              <w:spacing w:before="37" w:line="177" w:lineRule="auto"/>
              <w:ind w:left="1310"/>
              <w:rPr>
                <w:rFonts w:ascii="KaiTi" w:eastAsia="KaiTi" w:hAnsi="KaiTi" w:cs="KaiTi"/>
                <w:sz w:val="18"/>
                <w:szCs w:val="18"/>
              </w:rPr>
            </w:pP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—</w:t>
            </w:r>
            <w:r>
              <w:rPr>
                <w:rFonts w:ascii="KaiTi" w:eastAsia="KaiTi" w:hAnsi="KaiTi" w:cs="KaiTi"/>
                <w:spacing w:val="-11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2</w:t>
            </w:r>
            <w:r>
              <w:rPr>
                <w:rFonts w:ascii="KaiTi" w:eastAsia="KaiTi" w:hAnsi="KaiTi" w:cs="KaiTi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0</w:t>
            </w:r>
            <w:r>
              <w:rPr>
                <w:rFonts w:ascii="KaiTi" w:eastAsia="KaiTi" w:hAnsi="KaiTi" w:cs="KaiTi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2</w:t>
            </w:r>
            <w:r>
              <w:rPr>
                <w:rFonts w:ascii="KaiTi" w:eastAsia="KaiTi" w:hAnsi="KaiTi" w:cs="KaiTi"/>
                <w:spacing w:val="-20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4</w:t>
            </w:r>
            <w:r>
              <w:rPr>
                <w:rFonts w:ascii="KaiTi" w:eastAsia="KaiTi" w:hAnsi="KaiTi" w:cs="KaiTi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年</w:t>
            </w:r>
            <w:r>
              <w:rPr>
                <w:rFonts w:ascii="KaiTi" w:eastAsia="KaiTi" w:hAnsi="KaiTi" w:cs="KaiTi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0</w:t>
            </w:r>
            <w:r>
              <w:rPr>
                <w:rFonts w:ascii="KaiTi" w:eastAsia="KaiTi" w:hAnsi="KaiTi" w:cs="KaiTi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2</w:t>
            </w:r>
            <w:r>
              <w:rPr>
                <w:rFonts w:ascii="KaiTi" w:eastAsia="KaiTi" w:hAnsi="KaiTi" w:cs="KaiTi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月</w:t>
            </w:r>
            <w:r>
              <w:rPr>
                <w:rFonts w:ascii="KaiTi" w:eastAsia="KaiTi" w:hAnsi="KaiTi" w:cs="KaiTi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0</w:t>
            </w:r>
            <w:r>
              <w:rPr>
                <w:rFonts w:ascii="KaiTi" w:eastAsia="KaiTi" w:hAnsi="KaiTi" w:cs="KaiTi"/>
                <w:spacing w:val="-15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7</w:t>
            </w:r>
            <w:r>
              <w:rPr>
                <w:rFonts w:ascii="KaiTi" w:eastAsia="KaiTi" w:hAnsi="KaiTi" w:cs="KaiTi"/>
                <w:spacing w:val="22"/>
                <w:sz w:val="18"/>
                <w:szCs w:val="18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spacing w:val="-8"/>
                <w:sz w:val="18"/>
                <w:szCs w:val="18"/>
              </w:rPr>
              <w:t>日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eastAsia="Arial" w:hAnsi="Arial" w:cs="Arial"/>
          <w:sz w:val="21"/>
          <w:szCs w:val="21"/>
        </w:rPr>
        <w:sectPr>
          <w:pgSz w:w="11910" w:h="16840"/>
          <w:pgMar w:top="0" w:right="560" w:bottom="0" w:left="0" w:header="0" w:footer="0" w:gutter="0"/>
          <w:cols w:space="708"/>
        </w:sectPr>
      </w:pPr>
    </w:p>
    <w:p>
      <w:pPr>
        <w:pStyle w:val="BodyText"/>
        <w:spacing w:before="136" w:line="231" w:lineRule="auto"/>
        <w:ind w:left="3337" w:right="102" w:hanging="3"/>
      </w:pPr>
      <w:r>
        <w:rPr>
          <w:spacing w:val="-4"/>
        </w:rPr>
        <w:t>何耦合仿真和真实世界，</w:t>
      </w:r>
      <w:r>
        <w:rPr>
          <w:spacing w:val="52"/>
        </w:rPr>
        <w:t xml:space="preserve"> </w:t>
      </w:r>
      <w:r>
        <w:rPr>
          <w:spacing w:val="-4"/>
        </w:rPr>
        <w:t>进行高效率的迁移（</w:t>
      </w:r>
      <w:r>
        <w:rPr>
          <w:rFonts w:ascii="Arial" w:eastAsia="Arial" w:hAnsi="Arial" w:cs="Arial"/>
          <w:spacing w:val="-4"/>
        </w:rPr>
        <w:t>Sim2Real</w:t>
      </w:r>
      <w:r>
        <w:rPr>
          <w:spacing w:val="15"/>
        </w:rPr>
        <w:t>），</w:t>
      </w:r>
      <w:r>
        <w:rPr>
          <w:spacing w:val="-4"/>
        </w:rPr>
        <w:t>也是架构</w:t>
      </w:r>
      <w:r>
        <w:t xml:space="preserve"> </w:t>
      </w:r>
      <w:r>
        <w:rPr>
          <w:spacing w:val="-1"/>
        </w:rPr>
        <w:t>设计的关键。</w:t>
      </w:r>
    </w:p>
    <w:p>
      <w:pPr>
        <w:pStyle w:val="BodyText"/>
        <w:spacing w:before="17" w:line="239" w:lineRule="auto"/>
        <w:ind w:left="3332" w:right="78" w:firstLine="13"/>
      </w:pPr>
      <w:r>
        <w:rPr>
          <w:b/>
          <w:bCs/>
          <w:spacing w:val="2"/>
        </w:rPr>
        <w:t>实现优质的具身智能需解决算法、工程技术、数据、场景和复杂软硬</w:t>
      </w:r>
      <w:r>
        <w:rPr>
          <w:spacing w:val="7"/>
        </w:rPr>
        <w:t xml:space="preserve"> </w:t>
      </w:r>
      <w:r>
        <w:rPr>
          <w:b/>
          <w:bCs/>
          <w:spacing w:val="4"/>
        </w:rPr>
        <w:t>件等诸多挑战。</w:t>
      </w:r>
      <w:r>
        <w:rPr>
          <w:spacing w:val="4"/>
        </w:rPr>
        <w:t>根据智元机器人稚晖君的公开发文，实现优质的具身</w:t>
      </w:r>
      <w:r>
        <w:rPr>
          <w:spacing w:val="17"/>
        </w:rPr>
        <w:t xml:space="preserve"> </w:t>
      </w:r>
      <w:r>
        <w:rPr>
          <w:spacing w:val="5"/>
        </w:rPr>
        <w:t>智能需具备以下方面：首先，要有强大的通用本体平台。如何解决硬</w:t>
      </w:r>
      <w:r>
        <w:t xml:space="preserve"> </w:t>
      </w:r>
      <w:r>
        <w:rPr>
          <w:spacing w:val="5"/>
        </w:rPr>
        <w:t>件的关键零部件技术突破，形成具有优秀运动能力和操作能</w:t>
      </w:r>
      <w:r>
        <w:rPr>
          <w:spacing w:val="4"/>
        </w:rPr>
        <w:t>力的平台</w:t>
      </w:r>
      <w:r>
        <w:t xml:space="preserve"> </w:t>
      </w:r>
      <w:r>
        <w:rPr>
          <w:spacing w:val="12"/>
        </w:rPr>
        <w:t>级通用机器人产品，将具身本体的可靠性、成本和通用能力做到平</w:t>
      </w:r>
      <w:r>
        <w:rPr>
          <w:spacing w:val="14"/>
        </w:rPr>
        <w:t xml:space="preserve"> </w:t>
      </w:r>
      <w:r>
        <w:rPr>
          <w:spacing w:val="5"/>
        </w:rPr>
        <w:t>衡，是一个巨大的挑战。从基础的电机、减速器、控制器到</w:t>
      </w:r>
      <w:r>
        <w:rPr>
          <w:spacing w:val="4"/>
        </w:rPr>
        <w:t>灵巧手等</w:t>
      </w:r>
      <w:r>
        <w:t xml:space="preserve"> </w:t>
      </w:r>
      <w:r>
        <w:rPr>
          <w:spacing w:val="5"/>
        </w:rPr>
        <w:t>各部分，都需要持续进行技术突破，才能够满足大规模商用</w:t>
      </w:r>
      <w:r>
        <w:rPr>
          <w:spacing w:val="4"/>
        </w:rPr>
        <w:t>的落地需</w:t>
      </w:r>
      <w:r>
        <w:t xml:space="preserve"> </w:t>
      </w:r>
      <w:r>
        <w:rPr>
          <w:spacing w:val="5"/>
        </w:rPr>
        <w:t>求。同时，考虑到通用能力，人形机器人被认为是具身智能</w:t>
      </w:r>
      <w:r>
        <w:rPr>
          <w:spacing w:val="4"/>
        </w:rPr>
        <w:t>的终极形</w:t>
      </w:r>
      <w:r>
        <w:t xml:space="preserve"> </w:t>
      </w:r>
      <w:r>
        <w:rPr>
          <w:spacing w:val="5"/>
        </w:rPr>
        <w:t>态。这方面的研发，也将持续成为热点和核心挑战。其次，需要设计</w:t>
      </w:r>
      <w:r>
        <w:rPr>
          <w:spacing w:val="2"/>
        </w:rPr>
        <w:t xml:space="preserve"> </w:t>
      </w:r>
      <w:r>
        <w:rPr>
          <w:spacing w:val="5"/>
        </w:rPr>
        <w:t>强大的智能体系统。作为具身智能的核心，具备复杂环境感</w:t>
      </w:r>
      <w:r>
        <w:rPr>
          <w:spacing w:val="4"/>
        </w:rPr>
        <w:t>知认知能</w:t>
      </w:r>
      <w:r>
        <w:t xml:space="preserve"> </w:t>
      </w:r>
      <w:r>
        <w:rPr>
          <w:spacing w:val="-4"/>
        </w:rPr>
        <w:t>力的智能体，将需要解决诸多挑战，</w:t>
      </w:r>
      <w:r>
        <w:rPr>
          <w:spacing w:val="-4"/>
        </w:rPr>
        <w:t xml:space="preserve"> </w:t>
      </w:r>
      <w:r>
        <w:rPr>
          <w:spacing w:val="-4"/>
        </w:rPr>
        <w:t>包括：物理</w:t>
      </w:r>
      <w:r>
        <w:rPr>
          <w:spacing w:val="-49"/>
        </w:rPr>
        <w:t xml:space="preserve"> </w:t>
      </w:r>
      <w:r>
        <w:rPr>
          <w:rFonts w:ascii="Arial" w:eastAsia="Arial" w:hAnsi="Arial" w:cs="Arial"/>
          <w:spacing w:val="-4"/>
        </w:rPr>
        <w:t xml:space="preserve">3D </w:t>
      </w:r>
      <w:r>
        <w:rPr>
          <w:spacing w:val="-4"/>
        </w:rPr>
        <w:t>环境精确感知、任</w:t>
      </w:r>
      <w:r>
        <w:t xml:space="preserve"> </w:t>
      </w:r>
      <w:r>
        <w:rPr>
          <w:spacing w:val="5"/>
        </w:rPr>
        <w:t>务编排与执行、强大的通识能力、多级语义推理能力、人机口语</w:t>
      </w:r>
      <w:r>
        <w:rPr>
          <w:spacing w:val="4"/>
        </w:rPr>
        <w:t>多轮</w:t>
      </w:r>
      <w:r>
        <w:t xml:space="preserve"> </w:t>
      </w:r>
      <w:r>
        <w:t>交互能力、</w:t>
      </w:r>
      <w:r>
        <w:rPr>
          <w:rFonts w:ascii="Arial" w:eastAsia="Arial" w:hAnsi="Arial" w:cs="Arial"/>
        </w:rPr>
        <w:t>long-term</w:t>
      </w:r>
      <w:r>
        <w:rPr>
          <w:rFonts w:ascii="Arial" w:eastAsia="Arial" w:hAnsi="Arial" w:cs="Arial"/>
          <w:spacing w:val="47"/>
          <w:w w:val="101"/>
        </w:rPr>
        <w:t xml:space="preserve"> </w:t>
      </w:r>
      <w:r>
        <w:t>记忆能力、个性化情感关怀能力、强大的任务泛</w:t>
      </w:r>
      <w:r>
        <w:t xml:space="preserve"> </w:t>
      </w:r>
      <w:r>
        <w:rPr>
          <w:spacing w:val="3"/>
        </w:rPr>
        <w:t>化与自学迁移能力等。同时，具身智能要求实时感知和决策能力，</w:t>
      </w:r>
      <w:r>
        <w:rPr>
          <w:spacing w:val="-49"/>
        </w:rPr>
        <w:t xml:space="preserve"> </w:t>
      </w:r>
      <w:r>
        <w:rPr>
          <w:spacing w:val="3"/>
        </w:rPr>
        <w:t>以</w:t>
      </w:r>
      <w:r>
        <w:t xml:space="preserve"> </w:t>
      </w:r>
      <w:r>
        <w:rPr>
          <w:spacing w:val="3"/>
        </w:rPr>
        <w:t>适应复杂和变化的环境。这要求高速的数据采集、传输和处理，</w:t>
      </w:r>
      <w:r>
        <w:rPr>
          <w:spacing w:val="-49"/>
        </w:rPr>
        <w:t xml:space="preserve"> </w:t>
      </w:r>
      <w:r>
        <w:rPr>
          <w:spacing w:val="3"/>
        </w:rPr>
        <w:t>以及</w:t>
      </w:r>
      <w:r>
        <w:t xml:space="preserve"> </w:t>
      </w:r>
      <w:r>
        <w:rPr>
          <w:spacing w:val="-1"/>
        </w:rPr>
        <w:t>实时的决策反应，尤其是</w:t>
      </w:r>
      <w:r>
        <w:rPr>
          <w:spacing w:val="-1"/>
        </w:rPr>
        <w:t xml:space="preserve"> </w:t>
      </w:r>
      <w:r>
        <w:rPr>
          <w:rFonts w:ascii="Arial" w:eastAsia="Arial" w:hAnsi="Arial" w:cs="Arial"/>
          <w:spacing w:val="-1"/>
        </w:rPr>
        <w:t>LLM</w:t>
      </w:r>
      <w:r>
        <w:rPr>
          <w:rFonts w:ascii="Arial" w:eastAsia="Arial" w:hAnsi="Arial" w:cs="Arial"/>
          <w:spacing w:val="33"/>
          <w:w w:val="101"/>
        </w:rPr>
        <w:t xml:space="preserve"> </w:t>
      </w:r>
      <w:r>
        <w:rPr>
          <w:spacing w:val="-1"/>
        </w:rPr>
        <w:t>所消耗的算力规模巨大，对于资源有限</w:t>
      </w:r>
      <w:r>
        <w:t xml:space="preserve"> </w:t>
      </w:r>
      <w:r>
        <w:rPr>
          <w:spacing w:val="5"/>
        </w:rPr>
        <w:t>的机器人处理系统将形成巨大的数据量、</w:t>
      </w:r>
      <w:r>
        <w:rPr>
          <w:spacing w:val="5"/>
        </w:rPr>
        <w:t xml:space="preserve"> </w:t>
      </w:r>
      <w:r>
        <w:rPr>
          <w:rFonts w:ascii="Arial" w:eastAsia="Arial" w:hAnsi="Arial" w:cs="Arial"/>
        </w:rPr>
        <w:t>AI</w:t>
      </w:r>
      <w:r>
        <w:rPr>
          <w:rFonts w:ascii="Arial" w:eastAsia="Arial" w:hAnsi="Arial" w:cs="Arial"/>
          <w:spacing w:val="5"/>
        </w:rPr>
        <w:t xml:space="preserve">  </w:t>
      </w:r>
      <w:r>
        <w:rPr>
          <w:spacing w:val="5"/>
        </w:rPr>
        <w:t>计算能力和</w:t>
      </w:r>
      <w:r>
        <w:rPr>
          <w:spacing w:val="4"/>
        </w:rPr>
        <w:t>低延迟的挑</w:t>
      </w:r>
      <w:r>
        <w:t xml:space="preserve"> </w:t>
      </w:r>
      <w:r>
        <w:rPr>
          <w:spacing w:val="12"/>
        </w:rPr>
        <w:t>战。再者，高质量的行业数据将成为巨大挑战。现实场景的复杂多</w:t>
      </w:r>
      <w:r>
        <w:rPr>
          <w:spacing w:val="10"/>
        </w:rPr>
        <w:t xml:space="preserve"> </w:t>
      </w:r>
      <w:r>
        <w:rPr>
          <w:spacing w:val="5"/>
        </w:rPr>
        <w:t>变，使得现阶段缺乏足够的场景数据来训练一个完全</w:t>
      </w:r>
      <w:r>
        <w:rPr>
          <w:spacing w:val="4"/>
        </w:rPr>
        <w:t>通用的大模型，</w:t>
      </w:r>
      <w:r>
        <w:t xml:space="preserve"> </w:t>
      </w:r>
      <w:r>
        <w:rPr>
          <w:spacing w:val="5"/>
        </w:rPr>
        <w:t>进而让智能体自我进化。而且，耦合的本体，需要实际部署</w:t>
      </w:r>
      <w:r>
        <w:rPr>
          <w:spacing w:val="4"/>
        </w:rPr>
        <w:t>到真实环</w:t>
      </w:r>
      <w:r>
        <w:t xml:space="preserve"> </w:t>
      </w:r>
      <w:r>
        <w:rPr>
          <w:spacing w:val="5"/>
        </w:rPr>
        <w:t>境中，才能够采集数据，这也是和非具身智能的明显不同。</w:t>
      </w:r>
      <w:r>
        <w:rPr>
          <w:spacing w:val="4"/>
        </w:rPr>
        <w:t>比如，在</w:t>
      </w:r>
      <w:r>
        <w:t xml:space="preserve"> </w:t>
      </w:r>
      <w:r>
        <w:rPr>
          <w:spacing w:val="5"/>
        </w:rPr>
        <w:t>工厂作业中，由于机器人本体并未参与到实际业务，则很多</w:t>
      </w:r>
      <w:r>
        <w:rPr>
          <w:spacing w:val="4"/>
        </w:rPr>
        <w:t>实际运行</w:t>
      </w:r>
      <w:r>
        <w:t xml:space="preserve"> </w:t>
      </w:r>
      <w:r>
        <w:rPr>
          <w:spacing w:val="5"/>
        </w:rPr>
        <w:t>数据就无法采集，而大量的人类操作数据虽然可以弥补部分</w:t>
      </w:r>
      <w:r>
        <w:rPr>
          <w:spacing w:val="4"/>
        </w:rPr>
        <w:t>不足，但</w:t>
      </w:r>
      <w:r>
        <w:t xml:space="preserve"> </w:t>
      </w:r>
      <w:r>
        <w:rPr>
          <w:spacing w:val="5"/>
        </w:rPr>
        <w:t>仍然需要实际业务的数据。当然，通过大模型的涌现能力和</w:t>
      </w:r>
      <w:r>
        <w:rPr>
          <w:spacing w:val="4"/>
        </w:rPr>
        <w:t>思维链能</w:t>
      </w:r>
      <w:r>
        <w:t xml:space="preserve"> </w:t>
      </w:r>
      <w:r>
        <w:rPr>
          <w:spacing w:val="5"/>
        </w:rPr>
        <w:t>力，部分任务可以零样本学习到，但对于关键业务，要求成</w:t>
      </w:r>
      <w:r>
        <w:rPr>
          <w:spacing w:val="4"/>
        </w:rPr>
        <w:t>功率，则</w:t>
      </w:r>
      <w:r>
        <w:t xml:space="preserve"> </w:t>
      </w:r>
      <w:r>
        <w:rPr>
          <w:spacing w:val="5"/>
        </w:rPr>
        <w:t>仍然需要高质量的垂域数据。同时，通过层次化的智能体设计，将不</w:t>
      </w:r>
      <w:r>
        <w:rPr>
          <w:spacing w:val="2"/>
        </w:rPr>
        <w:t xml:space="preserve"> </w:t>
      </w:r>
      <w:r>
        <w:rPr>
          <w:spacing w:val="5"/>
        </w:rPr>
        <w:t>同任务限定到特定领域，则是一个解决泛化和成功率的有效尝试。最</w:t>
      </w:r>
      <w:r>
        <w:rPr>
          <w:spacing w:val="3"/>
        </w:rPr>
        <w:t xml:space="preserve"> </w:t>
      </w:r>
      <w:r>
        <w:rPr>
          <w:spacing w:val="5"/>
        </w:rPr>
        <w:t>后，通过虚拟和真实的交互，持续学习和进化的能力，则是</w:t>
      </w:r>
      <w:r>
        <w:rPr>
          <w:spacing w:val="4"/>
        </w:rPr>
        <w:t>具身智能</w:t>
      </w:r>
      <w:r>
        <w:t xml:space="preserve"> </w:t>
      </w:r>
      <w:r>
        <w:rPr>
          <w:spacing w:val="5"/>
        </w:rPr>
        <w:t>演进的重要技术途径。亿万年的生物演化过程，造就了形态丰富的生</w:t>
      </w:r>
      <w:r>
        <w:t xml:space="preserve"> </w:t>
      </w:r>
      <w:r>
        <w:rPr>
          <w:spacing w:val="5"/>
        </w:rPr>
        <w:t>命形式。而学习新任务来适应环境的变化，则是持续改进的</w:t>
      </w:r>
      <w:r>
        <w:rPr>
          <w:spacing w:val="4"/>
        </w:rPr>
        <w:t>动力。形</w:t>
      </w:r>
      <w:r>
        <w:t xml:space="preserve"> </w:t>
      </w:r>
      <w:r>
        <w:rPr>
          <w:spacing w:val="5"/>
        </w:rPr>
        <w:t>态适配环境合适的智能体，则可以快速的学习到解决问题能</w:t>
      </w:r>
      <w:r>
        <w:rPr>
          <w:spacing w:val="4"/>
        </w:rPr>
        <w:t>力，进而</w:t>
      </w:r>
      <w:r>
        <w:t xml:space="preserve"> </w:t>
      </w:r>
      <w:r>
        <w:rPr>
          <w:spacing w:val="5"/>
        </w:rPr>
        <w:t>更好的适应变化。但是，由于形态的变化空间无穷巨大，搜</w:t>
      </w:r>
      <w:r>
        <w:rPr>
          <w:spacing w:val="4"/>
        </w:rPr>
        <w:t>索所有可</w:t>
      </w:r>
      <w:r>
        <w:t xml:space="preserve"> </w:t>
      </w:r>
      <w:r>
        <w:rPr>
          <w:spacing w:val="5"/>
        </w:rPr>
        <w:t>能的选择在有限的计算资源情况下变的几乎不可能。本体的自</w:t>
      </w:r>
      <w:r>
        <w:rPr>
          <w:spacing w:val="4"/>
        </w:rPr>
        <w:t>由度设</w:t>
      </w:r>
      <w:r>
        <w:t xml:space="preserve"> </w:t>
      </w:r>
      <w:r>
        <w:rPr>
          <w:spacing w:val="5"/>
        </w:rPr>
        <w:t>计，也会物理上约束智能体的任务执行能力，进而限制了控</w:t>
      </w:r>
      <w:r>
        <w:rPr>
          <w:spacing w:val="4"/>
        </w:rPr>
        <w:t>制器的学</w:t>
      </w:r>
      <w:r>
        <w:t xml:space="preserve"> </w:t>
      </w:r>
      <w:r>
        <w:rPr>
          <w:spacing w:val="5"/>
        </w:rPr>
        <w:t>习效果。在复杂环境、形态演化和任务的可学习性之间，存在着未可</w:t>
      </w:r>
      <w:r>
        <w:t xml:space="preserve"> </w:t>
      </w:r>
      <w:r>
        <w:rPr>
          <w:spacing w:val="5"/>
        </w:rPr>
        <w:t>知的隐式关系，如何快速学习到合理的规划和决策能力，则</w:t>
      </w:r>
      <w:r>
        <w:rPr>
          <w:spacing w:val="4"/>
        </w:rPr>
        <w:t>成为具身</w:t>
      </w:r>
      <w:r>
        <w:t xml:space="preserve"> </w:t>
      </w:r>
      <w:r>
        <w:rPr>
          <w:spacing w:val="-3"/>
        </w:rPr>
        <w:t>智能的重要一环。我们认为，</w:t>
      </w:r>
      <w:r>
        <w:rPr>
          <w:spacing w:val="-20"/>
        </w:rPr>
        <w:t xml:space="preserve"> </w:t>
      </w:r>
      <w:r>
        <w:rPr>
          <w:spacing w:val="-3"/>
        </w:rPr>
        <w:t>具身智能是</w:t>
      </w:r>
      <w:r>
        <w:rPr>
          <w:spacing w:val="-21"/>
        </w:rPr>
        <w:t xml:space="preserve"> </w:t>
      </w:r>
      <w:r>
        <w:rPr>
          <w:rFonts w:ascii="Arial" w:eastAsia="Arial" w:hAnsi="Arial" w:cs="Arial"/>
          <w:spacing w:val="-3"/>
        </w:rPr>
        <w:t>AI</w:t>
      </w:r>
      <w:r>
        <w:rPr>
          <w:rFonts w:ascii="Arial" w:eastAsia="Arial" w:hAnsi="Arial" w:cs="Arial"/>
          <w:spacing w:val="38"/>
        </w:rPr>
        <w:t xml:space="preserve"> </w:t>
      </w:r>
      <w:r>
        <w:rPr>
          <w:spacing w:val="-3"/>
        </w:rPr>
        <w:t>的终极形态</w:t>
      </w:r>
      <w:r>
        <w:rPr>
          <w:spacing w:val="-4"/>
        </w:rPr>
        <w:t>，人形机器人</w:t>
      </w:r>
      <w:r>
        <w:t xml:space="preserve"> </w:t>
      </w:r>
      <w:r>
        <w:rPr>
          <w:spacing w:val="-4"/>
        </w:rPr>
        <w:t>是具身智能的终极形态，</w:t>
      </w:r>
      <w:r>
        <w:rPr>
          <w:spacing w:val="56"/>
        </w:rPr>
        <w:t xml:space="preserve"> </w:t>
      </w:r>
      <w:r>
        <w:rPr>
          <w:spacing w:val="-4"/>
        </w:rPr>
        <w:t>建议关注人形机器人产业链：</w:t>
      </w:r>
      <w:r>
        <w:rPr>
          <w:rFonts w:ascii="Arial" w:eastAsia="Arial" w:hAnsi="Arial" w:cs="Arial"/>
          <w:spacing w:val="-4"/>
        </w:rPr>
        <w:t>1</w:t>
      </w:r>
      <w:r>
        <w:rPr>
          <w:spacing w:val="-4"/>
        </w:rPr>
        <w:t>）总</w:t>
      </w:r>
      <w:r>
        <w:rPr>
          <w:spacing w:val="-5"/>
        </w:rPr>
        <w:t>成：拓普</w:t>
      </w:r>
      <w:r>
        <w:t xml:space="preserve"> </w:t>
      </w:r>
      <w:r>
        <w:rPr>
          <w:spacing w:val="4"/>
        </w:rPr>
        <w:t>集团、三花智控；</w:t>
      </w:r>
      <w:r>
        <w:rPr>
          <w:rFonts w:ascii="Arial" w:eastAsia="Arial" w:hAnsi="Arial" w:cs="Arial"/>
          <w:spacing w:val="4"/>
        </w:rPr>
        <w:t>2</w:t>
      </w:r>
      <w:r>
        <w:rPr>
          <w:spacing w:val="4"/>
        </w:rPr>
        <w:t>）传感器：东华测试、汉威科技等。</w:t>
      </w:r>
      <w:r>
        <w:rPr>
          <w:rFonts w:ascii="Arial" w:eastAsia="Arial" w:hAnsi="Arial" w:cs="Arial"/>
          <w:spacing w:val="4"/>
        </w:rPr>
        <w:t>3</w:t>
      </w:r>
      <w:r>
        <w:rPr>
          <w:spacing w:val="4"/>
        </w:rPr>
        <w:t>）减速器：</w:t>
      </w:r>
      <w:r>
        <w:t xml:space="preserve"> </w:t>
      </w:r>
      <w:r>
        <w:t>绿的谐波、双环传动、中大力德等；</w:t>
      </w:r>
      <w:r>
        <w:rPr>
          <w:rFonts w:ascii="Arial" w:eastAsia="Arial" w:hAnsi="Arial" w:cs="Arial"/>
        </w:rPr>
        <w:t>4</w:t>
      </w:r>
      <w:r>
        <w:t>）丝杠：恒立液压、</w:t>
      </w:r>
      <w:r>
        <w:rPr>
          <w:spacing w:val="-1"/>
        </w:rPr>
        <w:t>贝斯特等；</w:t>
      </w:r>
      <w:r>
        <w:t xml:space="preserve"> </w:t>
      </w:r>
      <w:r>
        <w:rPr>
          <w:rFonts w:ascii="Arial" w:eastAsia="Arial" w:hAnsi="Arial" w:cs="Arial"/>
          <w:spacing w:val="6"/>
        </w:rPr>
        <w:t>5</w:t>
      </w:r>
      <w:r>
        <w:rPr>
          <w:spacing w:val="6"/>
        </w:rPr>
        <w:t>）电机：鸣志电器等；</w:t>
      </w:r>
      <w:r>
        <w:rPr>
          <w:spacing w:val="51"/>
        </w:rPr>
        <w:t xml:space="preserve"> </w:t>
      </w:r>
      <w:r>
        <w:rPr>
          <w:rFonts w:ascii="Arial" w:eastAsia="Arial" w:hAnsi="Arial" w:cs="Arial"/>
          <w:spacing w:val="6"/>
        </w:rPr>
        <w:t>5</w:t>
      </w:r>
      <w:r>
        <w:rPr>
          <w:spacing w:val="6"/>
        </w:rPr>
        <w:t>）装备：秦川机床、华辰装备、日发精机</w:t>
      </w:r>
      <w:r>
        <w:t xml:space="preserve"> </w:t>
      </w:r>
      <w:r>
        <w:rPr>
          <w:spacing w:val="-7"/>
        </w:rPr>
        <w:t>等。</w:t>
      </w:r>
    </w:p>
    <w:p>
      <w:pPr>
        <w:pStyle w:val="BodyText"/>
        <w:spacing w:before="267" w:line="223" w:lineRule="auto"/>
        <w:ind w:left="3334"/>
      </w:pPr>
      <w:r>
        <w:rPr>
          <w:b/>
          <w:bCs/>
          <w:spacing w:val="-3"/>
        </w:rPr>
        <w:t>风险提示</w:t>
      </w:r>
    </w:p>
    <w:p>
      <w:pPr>
        <w:pStyle w:val="BodyText"/>
        <w:spacing w:before="16" w:line="217" w:lineRule="auto"/>
        <w:ind w:left="3338"/>
      </w:pPr>
      <w:r>
        <w:rPr>
          <w:spacing w:val="-1"/>
        </w:rPr>
        <w:t>宏观经济下行风险、下游需求不及预期、原材料价格波动等。</w:t>
      </w:r>
    </w:p>
    <w:p>
      <w:pPr>
        <w:spacing w:line="217" w:lineRule="auto"/>
        <w:sectPr>
          <w:headerReference w:type="default" r:id="rId7"/>
          <w:pgSz w:w="11907" w:h="16839"/>
          <w:pgMar w:top="1332" w:right="601" w:bottom="0" w:left="1437" w:header="885" w:footer="0" w:gutter="0"/>
          <w:pgNumType w:start="2"/>
          <w:cols w:space="708"/>
        </w:sectPr>
      </w:pPr>
    </w:p>
    <w:sdt>
      <w:sdtPr>
        <w:rPr>
          <w:rFonts w:ascii="Arial" w:eastAsia="Arial" w:hAnsi="Arial" w:cs="Arial"/>
          <w:sz w:val="21"/>
          <w:szCs w:val="21"/>
        </w:rPr>
        <w:id w:val="2061485266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1"/>
          <w:szCs w:val="21"/>
        </w:rPr>
      </w:sdtEndPr>
      <w:sdtContent>
        <w:p>
          <w:pPr>
            <w:pStyle w:val="BodyText"/>
            <w:spacing w:before="317" w:line="219" w:lineRule="auto"/>
            <w:ind w:left="6531"/>
            <w:rPr>
              <w:sz w:val="28"/>
              <w:szCs w:val="28"/>
            </w:rPr>
          </w:pPr>
          <w:r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page">
                  <wp:posOffset>532500</wp:posOffset>
                </wp:positionH>
                <wp:positionV relativeFrom="page">
                  <wp:posOffset>586571</wp:posOffset>
                </wp:positionV>
                <wp:extent cx="870479" cy="254846"/>
                <wp:effectExtent l="0" t="0" r="0" b="0"/>
                <wp:wrapNone/>
                <wp:docPr id="10" name="IM 1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 10"/>
                        <pic:cNvPicPr/>
                      </pic:nvPicPr>
                      <pic:blipFill>
                        <a:blip xmlns:r="http://schemas.openxmlformats.org/officeDocument/2006/relationships"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0479" cy="254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b/>
              <w:bCs/>
              <w:spacing w:val="-21"/>
              <w:sz w:val="28"/>
              <w:szCs w:val="28"/>
            </w:rPr>
            <w:t>目录</w:t>
          </w:r>
        </w:p>
        <w:p>
          <w:pPr>
            <w:pStyle w:val="BodyText"/>
            <w:tabs>
              <w:tab w:val="right" w:leader="dot" w:pos="9770"/>
            </w:tabs>
            <w:spacing w:before="170" w:line="220" w:lineRule="auto"/>
            <w:ind w:left="3715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b/>
              <w:bCs/>
              <w:spacing w:val="-7"/>
            </w:rPr>
            <w:t>1</w:t>
          </w:r>
          <w:r>
            <w:rPr>
              <w:rFonts w:ascii="Arial" w:eastAsia="Arial" w:hAnsi="Arial" w:cs="Arial"/>
              <w:b/>
              <w:bCs/>
              <w:spacing w:val="13"/>
            </w:rPr>
            <w:t xml:space="preserve"> </w:t>
          </w:r>
          <w:r>
            <w:rPr>
              <w:b/>
              <w:bCs/>
              <w:spacing w:val="-7"/>
            </w:rPr>
            <w:t>行情回顾</w:t>
          </w:r>
          <w:r>
            <w:rPr>
              <w:spacing w:val="-59"/>
            </w:rPr>
            <w:t xml:space="preserve"> </w:t>
          </w:r>
          <w:r>
            <w:tab/>
          </w:r>
          <w:hyperlink w:anchor="bookmark1" w:history="1">
            <w:r>
              <w:rPr>
                <w:rFonts w:ascii="Arial" w:eastAsia="Arial" w:hAnsi="Arial" w:cs="Arial"/>
                <w:b/>
                <w:bCs/>
                <w:spacing w:val="7"/>
              </w:rPr>
              <w:t>5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1" w:line="220" w:lineRule="auto"/>
            <w:ind w:left="4141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-3"/>
            </w:rPr>
            <w:t xml:space="preserve">1.1 </w:t>
          </w:r>
          <w:r>
            <w:rPr>
              <w:spacing w:val="-3"/>
            </w:rPr>
            <w:t>板块行情</w:t>
          </w:r>
          <w:r>
            <w:rPr>
              <w:spacing w:val="-69"/>
            </w:rPr>
            <w:t xml:space="preserve"> </w:t>
          </w:r>
          <w:r>
            <w:tab/>
          </w:r>
          <w:hyperlink w:anchor="bookmark2" w:history="1">
            <w:r>
              <w:rPr>
                <w:rFonts w:ascii="Arial" w:eastAsia="Arial" w:hAnsi="Arial" w:cs="Arial"/>
                <w:spacing w:val="7"/>
              </w:rPr>
              <w:t>5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2" w:line="218" w:lineRule="auto"/>
            <w:ind w:left="4141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-3"/>
            </w:rPr>
            <w:t xml:space="preserve">1.2 </w:t>
          </w:r>
          <w:r>
            <w:rPr>
              <w:spacing w:val="-3"/>
            </w:rPr>
            <w:t>个股行情</w:t>
          </w:r>
          <w:r>
            <w:rPr>
              <w:spacing w:val="-69"/>
            </w:rPr>
            <w:t xml:space="preserve"> </w:t>
          </w:r>
          <w:r>
            <w:tab/>
          </w:r>
          <w:hyperlink w:anchor="bookmark3" w:history="1">
            <w:r>
              <w:rPr>
                <w:rFonts w:ascii="Arial" w:eastAsia="Arial" w:hAnsi="Arial" w:cs="Arial"/>
                <w:spacing w:val="7"/>
              </w:rPr>
              <w:t>6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4" w:line="221" w:lineRule="auto"/>
            <w:ind w:left="3703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b/>
              <w:bCs/>
              <w:spacing w:val="-2"/>
            </w:rPr>
            <w:t xml:space="preserve">2 </w:t>
          </w:r>
          <w:r>
            <w:rPr>
              <w:b/>
              <w:bCs/>
              <w:spacing w:val="-2"/>
            </w:rPr>
            <w:t>行业高频数据跟踪</w:t>
          </w:r>
          <w:r>
            <w:rPr>
              <w:spacing w:val="-34"/>
            </w:rPr>
            <w:t xml:space="preserve"> </w:t>
          </w:r>
          <w:r>
            <w:tab/>
          </w:r>
          <w:hyperlink w:anchor="bookmark4" w:history="1">
            <w:r>
              <w:rPr>
                <w:rFonts w:ascii="Arial" w:eastAsia="Arial" w:hAnsi="Arial" w:cs="Arial"/>
                <w:b/>
                <w:bCs/>
                <w:spacing w:val="7"/>
              </w:rPr>
              <w:t>6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0" w:line="220" w:lineRule="auto"/>
            <w:ind w:left="4124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-1"/>
            </w:rPr>
            <w:t xml:space="preserve">2.1 </w:t>
          </w:r>
          <w:r>
            <w:rPr>
              <w:spacing w:val="-1"/>
            </w:rPr>
            <w:t>工程机械设备</w:t>
          </w:r>
          <w:r>
            <w:rPr>
              <w:spacing w:val="-83"/>
            </w:rPr>
            <w:t xml:space="preserve"> </w:t>
          </w:r>
          <w:r>
            <w:tab/>
          </w:r>
          <w:hyperlink w:anchor="bookmark5" w:history="1">
            <w:r>
              <w:rPr>
                <w:rFonts w:ascii="Arial" w:eastAsia="Arial" w:hAnsi="Arial" w:cs="Arial"/>
                <w:spacing w:val="7"/>
              </w:rPr>
              <w:t>6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2" w:line="220" w:lineRule="auto"/>
            <w:ind w:left="4124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-7"/>
            </w:rPr>
            <w:t xml:space="preserve">2.2  </w:t>
          </w:r>
          <w:r>
            <w:rPr>
              <w:spacing w:val="-7"/>
            </w:rPr>
            <w:t>自动化设备</w:t>
          </w:r>
          <w:r>
            <w:rPr>
              <w:spacing w:val="-44"/>
            </w:rPr>
            <w:t xml:space="preserve"> </w:t>
          </w:r>
          <w:r>
            <w:tab/>
          </w:r>
          <w:hyperlink w:anchor="bookmark6" w:history="1">
            <w:r>
              <w:rPr>
                <w:rFonts w:ascii="Arial" w:eastAsia="Arial" w:hAnsi="Arial" w:cs="Arial"/>
                <w:spacing w:val="7"/>
              </w:rPr>
              <w:t>8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2" w:line="220" w:lineRule="auto"/>
            <w:ind w:left="4124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-1"/>
            </w:rPr>
            <w:t xml:space="preserve">2.3 </w:t>
          </w:r>
          <w:r>
            <w:rPr>
              <w:spacing w:val="-1"/>
            </w:rPr>
            <w:t>锂电设备</w:t>
          </w:r>
          <w:r>
            <w:rPr>
              <w:spacing w:val="-68"/>
            </w:rPr>
            <w:t xml:space="preserve"> </w:t>
          </w:r>
          <w:r>
            <w:tab/>
          </w:r>
          <w:hyperlink w:anchor="bookmark7" w:history="1">
            <w:r>
              <w:rPr>
                <w:rFonts w:ascii="Arial" w:eastAsia="Arial" w:hAnsi="Arial" w:cs="Arial"/>
                <w:spacing w:val="7"/>
              </w:rPr>
              <w:t>9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2" w:line="217" w:lineRule="auto"/>
            <w:ind w:left="4124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-1"/>
            </w:rPr>
            <w:t xml:space="preserve">2.4 </w:t>
          </w:r>
          <w:r>
            <w:rPr>
              <w:spacing w:val="-1"/>
            </w:rPr>
            <w:t>半导体设备</w:t>
          </w:r>
          <w:r>
            <w:rPr>
              <w:spacing w:val="-47"/>
            </w:rPr>
            <w:t xml:space="preserve"> </w:t>
          </w:r>
          <w:r>
            <w:tab/>
          </w:r>
          <w:hyperlink w:anchor="bookmark8" w:history="1">
            <w:r>
              <w:rPr>
                <w:rFonts w:ascii="Arial" w:eastAsia="Arial" w:hAnsi="Arial" w:cs="Arial"/>
                <w:spacing w:val="7"/>
              </w:rPr>
              <w:t>9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5" w:line="220" w:lineRule="auto"/>
            <w:ind w:left="4124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spacing w:val="-1"/>
            </w:rPr>
            <w:t xml:space="preserve">2.5 </w:t>
          </w:r>
          <w:r>
            <w:rPr>
              <w:spacing w:val="-1"/>
            </w:rPr>
            <w:t>光伏设备</w:t>
          </w:r>
          <w:r>
            <w:rPr>
              <w:spacing w:val="-68"/>
            </w:rPr>
            <w:t xml:space="preserve"> </w:t>
          </w:r>
          <w:r>
            <w:tab/>
          </w:r>
          <w:r>
            <w:rPr>
              <w:spacing w:val="-76"/>
            </w:rPr>
            <w:t xml:space="preserve"> </w:t>
          </w:r>
          <w:hyperlink w:anchor="bookmark9" w:history="1">
            <w:r>
              <w:rPr>
                <w:rFonts w:ascii="Arial" w:eastAsia="Arial" w:hAnsi="Arial" w:cs="Arial"/>
                <w:spacing w:val="-6"/>
              </w:rPr>
              <w:t>10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2" w:line="218" w:lineRule="auto"/>
            <w:ind w:left="3706"/>
            <w:rPr>
              <w:rFonts w:ascii="Arial" w:eastAsia="Arial" w:hAnsi="Arial" w:cs="Arial"/>
            </w:rPr>
          </w:pPr>
          <w:r>
            <w:rPr>
              <w:b/>
              <w:bCs/>
              <w:spacing w:val="-2"/>
            </w:rPr>
            <w:t>3</w:t>
          </w:r>
          <w:r>
            <w:rPr>
              <w:spacing w:val="-2"/>
            </w:rPr>
            <w:t xml:space="preserve"> </w:t>
          </w:r>
          <w:r>
            <w:rPr>
              <w:b/>
              <w:bCs/>
              <w:spacing w:val="-2"/>
            </w:rPr>
            <w:t>原材料价格及汇率走势</w:t>
          </w:r>
          <w:r>
            <w:rPr>
              <w:spacing w:val="-33"/>
            </w:rPr>
            <w:t xml:space="preserve"> </w:t>
          </w:r>
          <w:r>
            <w:tab/>
          </w:r>
          <w:r>
            <w:rPr>
              <w:spacing w:val="-72"/>
            </w:rPr>
            <w:t xml:space="preserve"> </w:t>
          </w:r>
          <w:hyperlink w:anchor="bookmark10" w:history="1">
            <w:r>
              <w:rPr>
                <w:rFonts w:ascii="Arial" w:eastAsia="Arial" w:hAnsi="Arial" w:cs="Arial"/>
                <w:b/>
                <w:bCs/>
                <w:spacing w:val="-7"/>
              </w:rPr>
              <w:t>11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4" w:line="221" w:lineRule="auto"/>
            <w:ind w:left="3700"/>
            <w:rPr>
              <w:rFonts w:ascii="Arial" w:eastAsia="Arial" w:hAnsi="Arial" w:cs="Arial"/>
            </w:rPr>
          </w:pPr>
          <w:r>
            <w:rPr>
              <w:b/>
              <w:bCs/>
              <w:spacing w:val="-2"/>
            </w:rPr>
            <w:t>4</w:t>
          </w:r>
          <w:r>
            <w:rPr>
              <w:spacing w:val="-2"/>
            </w:rPr>
            <w:t xml:space="preserve"> </w:t>
          </w:r>
          <w:r>
            <w:rPr>
              <w:b/>
              <w:bCs/>
              <w:spacing w:val="-2"/>
            </w:rPr>
            <w:t>行业要闻及公告</w:t>
          </w:r>
          <w:r>
            <w:rPr>
              <w:spacing w:val="-31"/>
            </w:rPr>
            <w:t xml:space="preserve"> </w:t>
          </w:r>
          <w:r>
            <w:tab/>
          </w:r>
          <w:hyperlink w:anchor="bookmark11" w:history="1">
            <w:r>
              <w:rPr>
                <w:rFonts w:ascii="Arial" w:eastAsia="Arial" w:hAnsi="Arial" w:cs="Arial"/>
                <w:b/>
                <w:bCs/>
                <w:spacing w:val="4"/>
              </w:rPr>
              <w:t>13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2" w:line="218" w:lineRule="auto"/>
            <w:ind w:left="4120"/>
            <w:rPr>
              <w:rFonts w:ascii="Arial" w:eastAsia="Arial" w:hAnsi="Arial" w:cs="Arial"/>
            </w:rPr>
          </w:pPr>
          <w:r>
            <w:t>4.1</w:t>
          </w:r>
          <w:r>
            <w:rPr>
              <w:spacing w:val="23"/>
            </w:rPr>
            <w:t xml:space="preserve"> </w:t>
          </w:r>
          <w:r>
            <w:t>行业重点新闻</w:t>
          </w:r>
          <w:r>
            <w:rPr>
              <w:spacing w:val="-67"/>
            </w:rPr>
            <w:t xml:space="preserve"> </w:t>
          </w:r>
          <w:r>
            <w:tab/>
          </w:r>
          <w:r>
            <w:rPr>
              <w:spacing w:val="-75"/>
            </w:rPr>
            <w:t xml:space="preserve"> </w:t>
          </w:r>
          <w:hyperlink w:anchor="bookmark12" w:history="1">
            <w:r>
              <w:rPr>
                <w:rFonts w:ascii="Arial" w:eastAsia="Arial" w:hAnsi="Arial" w:cs="Arial"/>
                <w:spacing w:val="-6"/>
              </w:rPr>
              <w:t>13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3" w:line="221" w:lineRule="auto"/>
            <w:ind w:left="4120"/>
            <w:rPr>
              <w:rFonts w:ascii="Arial" w:eastAsia="Arial" w:hAnsi="Arial" w:cs="Arial"/>
            </w:rPr>
          </w:pPr>
          <w:r>
            <w:t>4.2</w:t>
          </w:r>
          <w:r>
            <w:rPr>
              <w:spacing w:val="23"/>
            </w:rPr>
            <w:t xml:space="preserve"> </w:t>
          </w:r>
          <w:r>
            <w:t>重点公司公告</w:t>
          </w:r>
          <w:r>
            <w:rPr>
              <w:spacing w:val="-67"/>
            </w:rPr>
            <w:t xml:space="preserve"> </w:t>
          </w:r>
          <w:r>
            <w:tab/>
          </w:r>
          <w:r>
            <w:rPr>
              <w:spacing w:val="-75"/>
            </w:rPr>
            <w:t xml:space="preserve"> </w:t>
          </w:r>
          <w:hyperlink w:anchor="bookmark13" w:history="1">
            <w:r>
              <w:rPr>
                <w:rFonts w:ascii="Arial" w:eastAsia="Arial" w:hAnsi="Arial" w:cs="Arial"/>
                <w:spacing w:val="-6"/>
              </w:rPr>
              <w:t>15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1" w:line="223" w:lineRule="auto"/>
            <w:ind w:left="3701"/>
            <w:rPr>
              <w:rFonts w:ascii="Arial" w:eastAsia="Arial" w:hAnsi="Arial" w:cs="Arial"/>
            </w:rPr>
          </w:pPr>
          <w:r>
            <w:rPr>
              <w:b/>
              <w:bCs/>
              <w:spacing w:val="-2"/>
            </w:rPr>
            <w:t>5</w:t>
          </w:r>
          <w:r>
            <w:rPr>
              <w:spacing w:val="-2"/>
            </w:rPr>
            <w:t xml:space="preserve"> </w:t>
          </w:r>
          <w:r>
            <w:rPr>
              <w:b/>
              <w:bCs/>
              <w:spacing w:val="-2"/>
            </w:rPr>
            <w:t>风险提示</w:t>
          </w:r>
          <w:r>
            <w:rPr>
              <w:spacing w:val="-35"/>
            </w:rPr>
            <w:t xml:space="preserve"> </w:t>
          </w:r>
          <w:r>
            <w:tab/>
          </w:r>
          <w:hyperlink w:anchor="bookmark14" w:history="1">
            <w:r>
              <w:rPr>
                <w:rFonts w:ascii="Arial" w:eastAsia="Arial" w:hAnsi="Arial" w:cs="Arial"/>
                <w:b/>
                <w:bCs/>
                <w:spacing w:val="4"/>
              </w:rPr>
              <w:t>19</w:t>
            </w:r>
          </w:hyperlink>
        </w:p>
        <w:p>
          <w:pPr>
            <w:spacing w:line="275" w:lineRule="auto"/>
            <w:rPr>
              <w:rFonts w:ascii="Arial"/>
              <w:sz w:val="21"/>
            </w:rPr>
          </w:pPr>
        </w:p>
        <w:p>
          <w:pPr>
            <w:pStyle w:val="BodyText"/>
            <w:spacing w:before="79" w:line="220" w:lineRule="auto"/>
            <w:ind w:left="3736"/>
            <w:rPr>
              <w:sz w:val="24"/>
              <w:szCs w:val="24"/>
            </w:rPr>
          </w:pPr>
          <w:r>
            <w:rPr>
              <w:b/>
              <w:bCs/>
              <w:spacing w:val="-3"/>
              <w:sz w:val="24"/>
              <w:szCs w:val="24"/>
            </w:rPr>
            <w:t>图</w:t>
          </w:r>
        </w:p>
        <w:p>
          <w:pPr>
            <w:pStyle w:val="BodyText"/>
            <w:tabs>
              <w:tab w:val="right" w:leader="dot" w:pos="9770"/>
            </w:tabs>
            <w:spacing w:before="41" w:line="231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5"/>
            </w:rPr>
            <w:t>图</w:t>
          </w:r>
          <w:r>
            <w:rPr>
              <w:spacing w:val="-20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</w:rPr>
            <w:t>1</w:t>
          </w:r>
          <w:r>
            <w:rPr>
              <w:b/>
              <w:bCs/>
              <w:spacing w:val="-5"/>
            </w:rPr>
            <w:t>：中信一级行业周涨跌幅比较（</w:t>
          </w:r>
          <w:r>
            <w:rPr>
              <w:rFonts w:ascii="Arial" w:eastAsia="Arial" w:hAnsi="Arial" w:cs="Arial"/>
              <w:b/>
              <w:bCs/>
              <w:spacing w:val="-5"/>
            </w:rPr>
            <w:t>%</w:t>
          </w:r>
          <w:r>
            <w:rPr>
              <w:b/>
              <w:bCs/>
              <w:spacing w:val="-5"/>
            </w:rPr>
            <w:t>）</w:t>
          </w:r>
          <w:r>
            <w:rPr>
              <w:spacing w:val="-77"/>
            </w:rPr>
            <w:t xml:space="preserve"> </w:t>
          </w:r>
          <w:r>
            <w:tab/>
          </w:r>
          <w:hyperlink w:anchor="bookmark15" w:history="1">
            <w:r>
              <w:rPr>
                <w:rFonts w:ascii="Arial" w:eastAsia="Arial" w:hAnsi="Arial" w:cs="Arial"/>
                <w:b/>
                <w:bCs/>
                <w:spacing w:val="7"/>
              </w:rPr>
              <w:t>5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48" w:line="220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4"/>
            </w:rPr>
            <w:t>图</w:t>
          </w:r>
          <w:r>
            <w:rPr>
              <w:spacing w:val="-33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>2</w:t>
          </w:r>
          <w:r>
            <w:rPr>
              <w:b/>
              <w:bCs/>
              <w:spacing w:val="-4"/>
            </w:rPr>
            <w:t>：大盘和机械子板块指数周涨跌幅对比</w:t>
          </w:r>
          <w:r>
            <w:rPr>
              <w:spacing w:val="-85"/>
            </w:rPr>
            <w:t xml:space="preserve"> </w:t>
          </w:r>
          <w:r>
            <w:tab/>
          </w:r>
          <w:hyperlink w:anchor="bookmark16" w:history="1">
            <w:r>
              <w:rPr>
                <w:rFonts w:ascii="Arial" w:eastAsia="Arial" w:hAnsi="Arial" w:cs="Arial"/>
                <w:b/>
                <w:bCs/>
                <w:spacing w:val="7"/>
              </w:rPr>
              <w:t>5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3" w:line="218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4"/>
            </w:rPr>
            <w:t>图</w:t>
          </w:r>
          <w:r>
            <w:rPr>
              <w:spacing w:val="-39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>3</w:t>
          </w:r>
          <w:r>
            <w:rPr>
              <w:b/>
              <w:bCs/>
              <w:spacing w:val="-4"/>
            </w:rPr>
            <w:t>：沪深</w:t>
          </w:r>
          <w:r>
            <w:rPr>
              <w:spacing w:val="-38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 xml:space="preserve">300 </w:t>
          </w:r>
          <w:r>
            <w:rPr>
              <w:b/>
              <w:bCs/>
              <w:spacing w:val="-4"/>
            </w:rPr>
            <w:t>和机械子板块指数近两年走势对比</w:t>
          </w:r>
          <w:r>
            <w:rPr>
              <w:spacing w:val="-55"/>
            </w:rPr>
            <w:t xml:space="preserve"> </w:t>
          </w:r>
          <w:r>
            <w:tab/>
          </w:r>
          <w:hyperlink w:anchor="bookmark17" w:history="1">
            <w:r>
              <w:rPr>
                <w:rFonts w:ascii="Arial" w:eastAsia="Arial" w:hAnsi="Arial" w:cs="Arial"/>
                <w:b/>
                <w:bCs/>
                <w:spacing w:val="7"/>
              </w:rPr>
              <w:t>5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3" w:line="234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6"/>
            </w:rPr>
            <w:t>图</w:t>
          </w:r>
          <w:r>
            <w:rPr>
              <w:spacing w:val="-36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6"/>
            </w:rPr>
            <w:t>4</w:t>
          </w:r>
          <w:r>
            <w:rPr>
              <w:b/>
              <w:bCs/>
              <w:spacing w:val="-6"/>
            </w:rPr>
            <w:t>：制造业</w:t>
          </w:r>
          <w:r>
            <w:rPr>
              <w:spacing w:val="-24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6"/>
            </w:rPr>
            <w:t xml:space="preserve">PMI </w:t>
          </w:r>
          <w:r>
            <w:rPr>
              <w:b/>
              <w:bCs/>
              <w:spacing w:val="-6"/>
            </w:rPr>
            <w:t>数据跟踪（</w:t>
          </w:r>
          <w:r>
            <w:rPr>
              <w:rFonts w:ascii="Arial" w:eastAsia="Arial" w:hAnsi="Arial" w:cs="Arial"/>
              <w:b/>
              <w:bCs/>
              <w:spacing w:val="-6"/>
            </w:rPr>
            <w:t>%</w:t>
          </w:r>
          <w:r>
            <w:rPr>
              <w:b/>
              <w:bCs/>
              <w:spacing w:val="-6"/>
            </w:rPr>
            <w:t>）</w:t>
          </w:r>
          <w:r>
            <w:rPr>
              <w:spacing w:val="-77"/>
            </w:rPr>
            <w:t xml:space="preserve"> </w:t>
          </w:r>
          <w:r>
            <w:tab/>
          </w:r>
          <w:hyperlink w:anchor="bookmark18" w:history="1">
            <w:r>
              <w:rPr>
                <w:rFonts w:ascii="Arial" w:eastAsia="Arial" w:hAnsi="Arial" w:cs="Arial"/>
                <w:b/>
                <w:bCs/>
                <w:spacing w:val="7"/>
              </w:rPr>
              <w:t>7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46" w:line="229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4"/>
            </w:rPr>
            <w:t>图</w:t>
          </w:r>
          <w:r>
            <w:rPr>
              <w:spacing w:val="-38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>5</w:t>
          </w:r>
          <w:r>
            <w:rPr>
              <w:b/>
              <w:bCs/>
              <w:spacing w:val="-4"/>
            </w:rPr>
            <w:t>：制造业固定资产投资额跟踪（</w:t>
          </w:r>
          <w:r>
            <w:rPr>
              <w:rFonts w:ascii="Arial" w:eastAsia="Arial" w:hAnsi="Arial" w:cs="Arial"/>
              <w:b/>
              <w:bCs/>
              <w:spacing w:val="-4"/>
            </w:rPr>
            <w:t>%</w:t>
          </w:r>
          <w:r>
            <w:rPr>
              <w:b/>
              <w:bCs/>
              <w:spacing w:val="-4"/>
            </w:rPr>
            <w:t>）</w:t>
          </w:r>
          <w:r>
            <w:rPr>
              <w:spacing w:val="-77"/>
            </w:rPr>
            <w:t xml:space="preserve"> </w:t>
          </w:r>
          <w:r>
            <w:tab/>
          </w:r>
          <w:hyperlink w:anchor="bookmark19" w:history="1">
            <w:r>
              <w:rPr>
                <w:rFonts w:ascii="Arial" w:eastAsia="Arial" w:hAnsi="Arial" w:cs="Arial"/>
                <w:b/>
                <w:bCs/>
                <w:spacing w:val="7"/>
              </w:rPr>
              <w:t>7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52" w:line="229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4"/>
            </w:rPr>
            <w:t>图</w:t>
          </w:r>
          <w:r>
            <w:rPr>
              <w:spacing w:val="-32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>6</w:t>
          </w:r>
          <w:r>
            <w:rPr>
              <w:b/>
              <w:bCs/>
              <w:spacing w:val="-4"/>
            </w:rPr>
            <w:t>：房地产开发投资完成额数据跟踪（</w:t>
          </w:r>
          <w:r>
            <w:rPr>
              <w:rFonts w:ascii="Arial" w:eastAsia="Arial" w:hAnsi="Arial" w:cs="Arial"/>
              <w:b/>
              <w:bCs/>
              <w:spacing w:val="-4"/>
            </w:rPr>
            <w:t>%</w:t>
          </w:r>
          <w:r>
            <w:rPr>
              <w:b/>
              <w:bCs/>
              <w:spacing w:val="-4"/>
            </w:rPr>
            <w:t>）</w:t>
          </w:r>
          <w:r>
            <w:rPr>
              <w:spacing w:val="-38"/>
            </w:rPr>
            <w:t xml:space="preserve"> </w:t>
          </w:r>
          <w:r>
            <w:tab/>
          </w:r>
          <w:hyperlink w:anchor="bookmark20" w:history="1">
            <w:r>
              <w:rPr>
                <w:rFonts w:ascii="Arial" w:eastAsia="Arial" w:hAnsi="Arial" w:cs="Arial"/>
                <w:b/>
                <w:bCs/>
                <w:spacing w:val="7"/>
              </w:rPr>
              <w:t>7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51" w:line="226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10"/>
            </w:rPr>
            <w:t>图</w:t>
          </w:r>
          <w:r>
            <w:rPr>
              <w:spacing w:val="-43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0"/>
            </w:rPr>
            <w:t>7</w:t>
          </w:r>
          <w:r>
            <w:rPr>
              <w:b/>
              <w:bCs/>
              <w:spacing w:val="-10"/>
            </w:rPr>
            <w:t>：叉车销售数据跟踪（台，</w:t>
          </w:r>
          <w:r>
            <w:rPr>
              <w:spacing w:val="-10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0"/>
            </w:rPr>
            <w:t>%</w:t>
          </w:r>
          <w:r>
            <w:rPr>
              <w:b/>
              <w:bCs/>
              <w:spacing w:val="-10"/>
            </w:rPr>
            <w:t>）</w:t>
          </w:r>
          <w:r>
            <w:rPr>
              <w:spacing w:val="-58"/>
            </w:rPr>
            <w:t xml:space="preserve"> </w:t>
          </w:r>
          <w:r>
            <w:tab/>
          </w:r>
          <w:hyperlink w:anchor="bookmark21" w:history="1">
            <w:r>
              <w:rPr>
                <w:rFonts w:ascii="Arial" w:eastAsia="Arial" w:hAnsi="Arial" w:cs="Arial"/>
                <w:b/>
                <w:bCs/>
                <w:spacing w:val="7"/>
              </w:rPr>
              <w:t>7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56" w:line="226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10"/>
            </w:rPr>
            <w:t>图</w:t>
          </w:r>
          <w:r>
            <w:rPr>
              <w:spacing w:val="-34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0"/>
            </w:rPr>
            <w:t>8</w:t>
          </w:r>
          <w:r>
            <w:rPr>
              <w:b/>
              <w:bCs/>
              <w:spacing w:val="-10"/>
            </w:rPr>
            <w:t>：挖掘机销售数据跟踪（台，</w:t>
          </w:r>
          <w:r>
            <w:rPr>
              <w:spacing w:val="-10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0"/>
            </w:rPr>
            <w:t>%</w:t>
          </w:r>
          <w:r>
            <w:rPr>
              <w:b/>
              <w:bCs/>
              <w:spacing w:val="-10"/>
            </w:rPr>
            <w:t>）</w:t>
          </w:r>
          <w:r>
            <w:rPr>
              <w:spacing w:val="-38"/>
            </w:rPr>
            <w:t xml:space="preserve"> </w:t>
          </w:r>
          <w:r>
            <w:tab/>
          </w:r>
          <w:hyperlink w:anchor="bookmark22" w:history="1">
            <w:r>
              <w:rPr>
                <w:rFonts w:ascii="Arial" w:eastAsia="Arial" w:hAnsi="Arial" w:cs="Arial"/>
                <w:b/>
                <w:bCs/>
                <w:spacing w:val="7"/>
              </w:rPr>
              <w:t>7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55" w:line="226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12"/>
            </w:rPr>
            <w:t>图</w:t>
          </w:r>
          <w:r>
            <w:rPr>
              <w:spacing w:val="-32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2"/>
            </w:rPr>
            <w:t>9</w:t>
          </w:r>
          <w:r>
            <w:rPr>
              <w:b/>
              <w:bCs/>
              <w:spacing w:val="-12"/>
            </w:rPr>
            <w:t>：小松挖掘机开工小时跟踪（小时，</w:t>
          </w:r>
          <w:r>
            <w:rPr>
              <w:spacing w:val="55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2"/>
            </w:rPr>
            <w:t>%</w:t>
          </w:r>
          <w:r>
            <w:rPr>
              <w:b/>
              <w:bCs/>
              <w:spacing w:val="-12"/>
            </w:rPr>
            <w:t>）</w:t>
          </w:r>
          <w:r>
            <w:rPr>
              <w:spacing w:val="-38"/>
            </w:rPr>
            <w:t xml:space="preserve"> </w:t>
          </w:r>
          <w:r>
            <w:tab/>
          </w:r>
          <w:hyperlink w:anchor="bookmark23" w:history="1">
            <w:r>
              <w:rPr>
                <w:rFonts w:ascii="Arial" w:eastAsia="Arial" w:hAnsi="Arial" w:cs="Arial"/>
                <w:b/>
                <w:bCs/>
                <w:spacing w:val="7"/>
              </w:rPr>
              <w:t>7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55" w:line="231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4"/>
            </w:rPr>
            <w:t>图</w:t>
          </w:r>
          <w:r>
            <w:rPr>
              <w:spacing w:val="-36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>10</w:t>
          </w:r>
          <w:r>
            <w:rPr>
              <w:b/>
              <w:bCs/>
              <w:spacing w:val="-4"/>
            </w:rPr>
            <w:t>：汽车起重机销售变动趋势（</w:t>
          </w:r>
          <w:r>
            <w:rPr>
              <w:rFonts w:ascii="Arial" w:eastAsia="Arial" w:hAnsi="Arial" w:cs="Arial"/>
              <w:b/>
              <w:bCs/>
              <w:spacing w:val="-4"/>
            </w:rPr>
            <w:t>%</w:t>
          </w:r>
          <w:r>
            <w:rPr>
              <w:b/>
              <w:bCs/>
              <w:spacing w:val="-4"/>
            </w:rPr>
            <w:t>）</w:t>
          </w:r>
          <w:r>
            <w:rPr>
              <w:spacing w:val="-41"/>
            </w:rPr>
            <w:t xml:space="preserve"> </w:t>
          </w:r>
          <w:r>
            <w:tab/>
          </w:r>
          <w:hyperlink w:anchor="bookmark24" w:history="1">
            <w:r>
              <w:rPr>
                <w:rFonts w:ascii="Arial" w:eastAsia="Arial" w:hAnsi="Arial" w:cs="Arial"/>
                <w:b/>
                <w:bCs/>
                <w:spacing w:val="7"/>
              </w:rPr>
              <w:t>8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49" w:line="226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10"/>
            </w:rPr>
            <w:t>图</w:t>
          </w:r>
          <w:r>
            <w:rPr>
              <w:spacing w:val="-17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0"/>
            </w:rPr>
            <w:t>11</w:t>
          </w:r>
          <w:r>
            <w:rPr>
              <w:b/>
              <w:bCs/>
              <w:spacing w:val="-10"/>
            </w:rPr>
            <w:t>：装载机销售数据跟踪（台，</w:t>
          </w:r>
          <w:r>
            <w:rPr>
              <w:spacing w:val="-10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0"/>
            </w:rPr>
            <w:t>%</w:t>
          </w:r>
          <w:r>
            <w:rPr>
              <w:b/>
              <w:bCs/>
              <w:spacing w:val="-10"/>
            </w:rPr>
            <w:t>）</w:t>
          </w:r>
          <w:r>
            <w:tab/>
          </w:r>
          <w:hyperlink w:anchor="bookmark25" w:history="1">
            <w:r>
              <w:rPr>
                <w:rFonts w:ascii="Arial" w:eastAsia="Arial" w:hAnsi="Arial" w:cs="Arial"/>
                <w:b/>
                <w:bCs/>
                <w:spacing w:val="7"/>
              </w:rPr>
              <w:t>8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55" w:line="229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6"/>
            </w:rPr>
            <w:t>图</w:t>
          </w:r>
          <w:r>
            <w:rPr>
              <w:spacing w:val="-28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6"/>
            </w:rPr>
            <w:t>12</w:t>
          </w:r>
          <w:r>
            <w:rPr>
              <w:b/>
              <w:bCs/>
              <w:spacing w:val="-6"/>
            </w:rPr>
            <w:t>：</w:t>
          </w:r>
          <w:r>
            <w:rPr>
              <w:rFonts w:ascii="Arial" w:eastAsia="Arial" w:hAnsi="Arial" w:cs="Arial"/>
              <w:b/>
              <w:bCs/>
              <w:spacing w:val="-6"/>
            </w:rPr>
            <w:t>M1</w:t>
          </w:r>
          <w:r>
            <w:rPr>
              <w:b/>
              <w:bCs/>
              <w:spacing w:val="-6"/>
            </w:rPr>
            <w:t>、</w:t>
          </w:r>
          <w:r>
            <w:rPr>
              <w:rFonts w:ascii="Arial" w:eastAsia="Arial" w:hAnsi="Arial" w:cs="Arial"/>
              <w:b/>
              <w:bCs/>
              <w:spacing w:val="-6"/>
            </w:rPr>
            <w:t>M2</w:t>
          </w:r>
          <w:r>
            <w:rPr>
              <w:rFonts w:ascii="Arial" w:eastAsia="Arial" w:hAnsi="Arial" w:cs="Arial"/>
              <w:b/>
              <w:bCs/>
              <w:spacing w:val="24"/>
            </w:rPr>
            <w:t xml:space="preserve"> </w:t>
          </w:r>
          <w:r>
            <w:rPr>
              <w:b/>
              <w:bCs/>
              <w:spacing w:val="-6"/>
            </w:rPr>
            <w:t>当月同比变动（</w:t>
          </w:r>
          <w:r>
            <w:rPr>
              <w:rFonts w:ascii="Arial" w:eastAsia="Arial" w:hAnsi="Arial" w:cs="Arial"/>
              <w:b/>
              <w:bCs/>
              <w:spacing w:val="-6"/>
            </w:rPr>
            <w:t>%</w:t>
          </w:r>
          <w:r>
            <w:rPr>
              <w:b/>
              <w:bCs/>
              <w:spacing w:val="-6"/>
            </w:rPr>
            <w:t>）</w:t>
          </w:r>
          <w:r>
            <w:rPr>
              <w:spacing w:val="-60"/>
            </w:rPr>
            <w:t xml:space="preserve"> </w:t>
          </w:r>
          <w:r>
            <w:tab/>
          </w:r>
          <w:hyperlink w:anchor="bookmark26" w:history="1">
            <w:r>
              <w:rPr>
                <w:rFonts w:ascii="Arial" w:eastAsia="Arial" w:hAnsi="Arial" w:cs="Arial"/>
                <w:b/>
                <w:bCs/>
                <w:spacing w:val="7"/>
              </w:rPr>
              <w:t>8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51" w:line="226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11"/>
            </w:rPr>
            <w:t>图</w:t>
          </w:r>
          <w:r>
            <w:rPr>
              <w:spacing w:val="-3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1"/>
            </w:rPr>
            <w:t>13</w:t>
          </w:r>
          <w:r>
            <w:rPr>
              <w:b/>
              <w:bCs/>
              <w:spacing w:val="-11"/>
            </w:rPr>
            <w:t>：工业机器人产量以及同比变动（台，</w:t>
          </w:r>
          <w:r>
            <w:rPr>
              <w:spacing w:val="56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11"/>
            </w:rPr>
            <w:t>%</w:t>
          </w:r>
          <w:r>
            <w:rPr>
              <w:b/>
              <w:bCs/>
              <w:spacing w:val="-11"/>
            </w:rPr>
            <w:t>）</w:t>
          </w:r>
          <w:r>
            <w:rPr>
              <w:spacing w:val="-79"/>
            </w:rPr>
            <w:t xml:space="preserve"> </w:t>
          </w:r>
          <w:r>
            <w:tab/>
          </w:r>
          <w:hyperlink w:anchor="bookmark27" w:history="1">
            <w:r>
              <w:rPr>
                <w:rFonts w:ascii="Arial" w:eastAsia="Arial" w:hAnsi="Arial" w:cs="Arial"/>
                <w:b/>
                <w:bCs/>
                <w:spacing w:val="7"/>
              </w:rPr>
              <w:t>8</w:t>
            </w:r>
          </w:hyperlink>
        </w:p>
        <w:p>
          <w:pPr>
            <w:pStyle w:val="BodyText"/>
            <w:spacing w:before="55" w:line="216" w:lineRule="auto"/>
            <w:ind w:left="4152"/>
          </w:pPr>
          <w:r>
            <w:rPr>
              <w:b/>
              <w:bCs/>
              <w:spacing w:val="-4"/>
            </w:rPr>
            <w:t>图</w:t>
          </w:r>
          <w:r>
            <w:rPr>
              <w:spacing w:val="-27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>14</w:t>
          </w:r>
          <w:r>
            <w:rPr>
              <w:b/>
              <w:bCs/>
              <w:spacing w:val="-4"/>
            </w:rPr>
            <w:t>：中国电梯、自动扶梯及升降机产量以及同比变动（万</w:t>
          </w:r>
        </w:p>
        <w:p>
          <w:pPr>
            <w:pStyle w:val="BodyText"/>
            <w:tabs>
              <w:tab w:val="right" w:leader="dot" w:pos="9770"/>
            </w:tabs>
            <w:spacing w:before="66" w:line="226" w:lineRule="auto"/>
            <w:ind w:left="4573"/>
            <w:rPr>
              <w:rFonts w:ascii="Arial" w:eastAsia="Arial" w:hAnsi="Arial" w:cs="Arial"/>
            </w:rPr>
            <w:sectPr>
              <w:headerReference w:type="default" r:id="rId9"/>
              <w:footerReference w:type="default" r:id="rId10"/>
              <w:pgSz w:w="11907" w:h="16839"/>
              <w:pgMar w:top="1273" w:right="1188" w:bottom="1481" w:left="838" w:header="885" w:footer="1202" w:gutter="0"/>
              <w:pgNumType w:start="3"/>
              <w:cols w:space="708"/>
            </w:sectPr>
          </w:pPr>
          <w:r>
            <w:rPr>
              <w:b/>
              <w:bCs/>
              <w:spacing w:val="-28"/>
            </w:rPr>
            <w:t>台，</w:t>
          </w:r>
          <w:r>
            <w:rPr>
              <w:spacing w:val="-3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28"/>
            </w:rPr>
            <w:t>%</w:t>
          </w:r>
          <w:r>
            <w:rPr>
              <w:b/>
              <w:bCs/>
              <w:spacing w:val="-28"/>
            </w:rPr>
            <w:t>）</w:t>
          </w:r>
          <w:r>
            <w:rPr>
              <w:spacing w:val="-67"/>
            </w:rPr>
            <w:t xml:space="preserve"> </w:t>
          </w:r>
          <w:r>
            <w:tab/>
          </w:r>
          <w:hyperlink w:anchor="bookmark28" w:history="1">
            <w:r>
              <w:rPr>
                <w:rFonts w:ascii="Arial" w:eastAsia="Arial" w:hAnsi="Arial" w:cs="Arial"/>
                <w:b/>
                <w:bCs/>
                <w:spacing w:val="7"/>
              </w:rPr>
              <w:t>9</w:t>
            </w:r>
          </w:hyperlink>
        </w:p>
      </w:sdtContent>
    </w:sdt>
    <w:sdt>
      <w:sdtPr>
        <w:rPr>
          <w:rFonts w:ascii="Arial" w:eastAsia="Arial" w:hAnsi="Arial" w:cs="Arial"/>
          <w:sz w:val="21"/>
          <w:szCs w:val="21"/>
        </w:rPr>
        <w:id w:val="1756643338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1"/>
          <w:szCs w:val="21"/>
        </w:rPr>
      </w:sdtEndPr>
      <w:sdtContent>
        <w:p>
          <w:pPr>
            <w:pStyle w:val="BodyText"/>
            <w:tabs>
              <w:tab w:val="right" w:leader="dot" w:pos="9770"/>
            </w:tabs>
            <w:spacing w:before="55" w:line="226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4"/>
            </w:rPr>
            <w:t>图</w:t>
          </w:r>
          <w:r>
            <w:rPr>
              <w:spacing w:val="-20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>15</w:t>
          </w:r>
          <w:r>
            <w:rPr>
              <w:b/>
              <w:bCs/>
              <w:spacing w:val="-4"/>
            </w:rPr>
            <w:t>：金属切削机床产量以及同比变动（万台，</w:t>
          </w:r>
          <w:r>
            <w:rPr>
              <w:rFonts w:ascii="Arial" w:eastAsia="Arial" w:hAnsi="Arial" w:cs="Arial"/>
              <w:b/>
              <w:bCs/>
              <w:spacing w:val="-4"/>
            </w:rPr>
            <w:t>%</w:t>
          </w:r>
          <w:r>
            <w:rPr>
              <w:b/>
              <w:bCs/>
              <w:spacing w:val="-4"/>
            </w:rPr>
            <w:t>）</w:t>
          </w:r>
          <w:r>
            <w:rPr>
              <w:spacing w:val="-38"/>
            </w:rPr>
            <w:t xml:space="preserve"> </w:t>
          </w:r>
          <w:r>
            <w:tab/>
          </w:r>
          <w:hyperlink w:anchor="bookmark29" w:history="1">
            <w:r>
              <w:rPr>
                <w:rFonts w:ascii="Arial" w:eastAsia="Arial" w:hAnsi="Arial" w:cs="Arial"/>
                <w:b/>
                <w:bCs/>
                <w:spacing w:val="7"/>
              </w:rPr>
              <w:t>9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55" w:line="226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8"/>
            </w:rPr>
            <w:t>图</w:t>
          </w:r>
          <w:r>
            <w:rPr>
              <w:spacing w:val="-33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8"/>
            </w:rPr>
            <w:t>16</w:t>
          </w:r>
          <w:r>
            <w:rPr>
              <w:b/>
              <w:bCs/>
              <w:spacing w:val="-8"/>
            </w:rPr>
            <w:t>：新能源汽车销量以及同比变动（辆，</w:t>
          </w:r>
          <w:r>
            <w:rPr>
              <w:spacing w:val="-8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8"/>
            </w:rPr>
            <w:t>%</w:t>
          </w:r>
          <w:r>
            <w:rPr>
              <w:b/>
              <w:bCs/>
              <w:spacing w:val="-8"/>
            </w:rPr>
            <w:t>）</w:t>
          </w:r>
          <w:r>
            <w:rPr>
              <w:spacing w:val="-79"/>
            </w:rPr>
            <w:t xml:space="preserve"> </w:t>
          </w:r>
          <w:r>
            <w:tab/>
          </w:r>
          <w:hyperlink w:anchor="bookmark30" w:history="1">
            <w:r>
              <w:rPr>
                <w:rFonts w:ascii="Arial" w:eastAsia="Arial" w:hAnsi="Arial" w:cs="Arial"/>
                <w:b/>
                <w:bCs/>
                <w:spacing w:val="7"/>
              </w:rPr>
              <w:t>9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55" w:line="226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4"/>
            </w:rPr>
            <w:t>图</w:t>
          </w:r>
          <w:r>
            <w:rPr>
              <w:spacing w:val="-20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>17</w:t>
          </w:r>
          <w:r>
            <w:rPr>
              <w:b/>
              <w:bCs/>
              <w:spacing w:val="-4"/>
            </w:rPr>
            <w:t>：动力电池装车量以及同比变动（兆瓦时，</w:t>
          </w:r>
          <w:r>
            <w:rPr>
              <w:rFonts w:ascii="Arial" w:eastAsia="Arial" w:hAnsi="Arial" w:cs="Arial"/>
              <w:b/>
              <w:bCs/>
              <w:spacing w:val="-4"/>
            </w:rPr>
            <w:t>%</w:t>
          </w:r>
          <w:r>
            <w:rPr>
              <w:b/>
              <w:bCs/>
              <w:spacing w:val="-4"/>
            </w:rPr>
            <w:t>）</w:t>
          </w:r>
          <w:r>
            <w:rPr>
              <w:spacing w:val="-38"/>
            </w:rPr>
            <w:t xml:space="preserve"> </w:t>
          </w:r>
          <w:r>
            <w:tab/>
          </w:r>
          <w:hyperlink w:anchor="bookmark31" w:history="1">
            <w:r>
              <w:rPr>
                <w:rFonts w:ascii="Arial" w:eastAsia="Arial" w:hAnsi="Arial" w:cs="Arial"/>
                <w:b/>
                <w:bCs/>
                <w:spacing w:val="7"/>
              </w:rPr>
              <w:t>9</w:t>
            </w:r>
          </w:hyperlink>
        </w:p>
        <w:p>
          <w:pPr>
            <w:pStyle w:val="BodyText"/>
            <w:spacing w:before="55" w:line="226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6"/>
            </w:rPr>
            <w:t>图</w:t>
          </w:r>
          <w:r>
            <w:rPr>
              <w:spacing w:val="-34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6"/>
            </w:rPr>
            <w:t>18</w:t>
          </w:r>
          <w:r>
            <w:rPr>
              <w:b/>
              <w:bCs/>
              <w:spacing w:val="-6"/>
            </w:rPr>
            <w:t>：全球半导体销售额以及同比变动</w:t>
          </w:r>
          <w:r>
            <w:rPr>
              <w:spacing w:val="-22"/>
            </w:rPr>
            <w:t xml:space="preserve"> </w:t>
          </w:r>
          <w:r>
            <w:rPr>
              <w:b/>
              <w:bCs/>
              <w:spacing w:val="-6"/>
            </w:rPr>
            <w:t>（十亿美元，</w:t>
          </w:r>
          <w:r>
            <w:rPr>
              <w:rFonts w:ascii="Arial" w:eastAsia="Arial" w:hAnsi="Arial" w:cs="Arial"/>
              <w:b/>
              <w:bCs/>
              <w:spacing w:val="-6"/>
            </w:rPr>
            <w:t>%</w:t>
          </w:r>
          <w:r>
            <w:rPr>
              <w:b/>
              <w:bCs/>
              <w:spacing w:val="-6"/>
            </w:rPr>
            <w:t>）</w:t>
          </w:r>
          <w:r>
            <w:rPr>
              <w:spacing w:val="-58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6"/>
            </w:rPr>
            <w:t>.10</w:t>
          </w:r>
        </w:p>
        <w:p>
          <w:pPr>
            <w:pStyle w:val="BodyText"/>
            <w:spacing w:before="56" w:line="226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6"/>
            </w:rPr>
            <w:t>图</w:t>
          </w:r>
          <w:r>
            <w:rPr>
              <w:spacing w:val="-34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6"/>
            </w:rPr>
            <w:t>19</w:t>
          </w:r>
          <w:r>
            <w:rPr>
              <w:b/>
              <w:bCs/>
              <w:spacing w:val="-6"/>
            </w:rPr>
            <w:t>：中国半导体销售额以及同比变动</w:t>
          </w:r>
          <w:r>
            <w:rPr>
              <w:spacing w:val="-22"/>
            </w:rPr>
            <w:t xml:space="preserve"> </w:t>
          </w:r>
          <w:r>
            <w:rPr>
              <w:b/>
              <w:bCs/>
              <w:spacing w:val="-6"/>
            </w:rPr>
            <w:t>（十亿美元，</w:t>
          </w:r>
          <w:r>
            <w:rPr>
              <w:rFonts w:ascii="Arial" w:eastAsia="Arial" w:hAnsi="Arial" w:cs="Arial"/>
              <w:b/>
              <w:bCs/>
              <w:spacing w:val="-6"/>
            </w:rPr>
            <w:t>%</w:t>
          </w:r>
          <w:r>
            <w:rPr>
              <w:b/>
              <w:bCs/>
              <w:spacing w:val="-6"/>
            </w:rPr>
            <w:t>）</w:t>
          </w:r>
          <w:r>
            <w:rPr>
              <w:spacing w:val="-58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6"/>
            </w:rPr>
            <w:t>.10</w:t>
          </w:r>
        </w:p>
        <w:p>
          <w:pPr>
            <w:pStyle w:val="BodyText"/>
            <w:tabs>
              <w:tab w:val="right" w:leader="dot" w:pos="9772"/>
            </w:tabs>
            <w:spacing w:before="55" w:line="213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4"/>
            </w:rPr>
            <w:t>图</w:t>
          </w:r>
          <w:r>
            <w:rPr>
              <w:spacing w:val="-42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>20</w:t>
          </w:r>
          <w:r>
            <w:rPr>
              <w:b/>
              <w:bCs/>
              <w:spacing w:val="-4"/>
            </w:rPr>
            <w:t>：致密料均价（元</w:t>
          </w:r>
          <w:r>
            <w:rPr>
              <w:rFonts w:ascii="Arial" w:eastAsia="Arial" w:hAnsi="Arial" w:cs="Arial"/>
              <w:b/>
              <w:bCs/>
              <w:spacing w:val="-4"/>
            </w:rPr>
            <w:t>/kg</w:t>
          </w:r>
          <w:r>
            <w:rPr>
              <w:b/>
              <w:bCs/>
              <w:spacing w:val="-4"/>
            </w:rPr>
            <w:t>）</w:t>
          </w:r>
          <w:r>
            <w:rPr>
              <w:spacing w:val="-82"/>
            </w:rPr>
            <w:t xml:space="preserve"> </w:t>
          </w:r>
          <w:r>
            <w:tab/>
          </w:r>
          <w:hyperlink w:anchor="bookmark32" w:history="1">
            <w:r>
              <w:rPr>
                <w:rFonts w:ascii="Arial" w:eastAsia="Arial" w:hAnsi="Arial" w:cs="Arial"/>
                <w:b/>
                <w:bCs/>
                <w:spacing w:val="4"/>
              </w:rPr>
              <w:t>10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9" w:line="218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7"/>
            </w:rPr>
            <w:t>图</w:t>
          </w:r>
          <w:r>
            <w:rPr>
              <w:spacing w:val="-45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7"/>
            </w:rPr>
            <w:t>21</w:t>
          </w:r>
          <w:r>
            <w:rPr>
              <w:b/>
              <w:bCs/>
              <w:spacing w:val="-7"/>
            </w:rPr>
            <w:t>：单晶</w:t>
          </w:r>
          <w:r>
            <w:rPr>
              <w:spacing w:val="-33"/>
            </w:rPr>
            <w:t xml:space="preserve"> </w:t>
          </w:r>
          <w:r>
            <w:rPr>
              <w:b/>
              <w:bCs/>
              <w:spacing w:val="-7"/>
            </w:rPr>
            <w:t>182/210</w:t>
          </w:r>
          <w:r>
            <w:rPr>
              <w:spacing w:val="-46"/>
            </w:rPr>
            <w:t xml:space="preserve"> </w:t>
          </w:r>
          <w:r>
            <w:rPr>
              <w:b/>
              <w:bCs/>
              <w:spacing w:val="-7"/>
            </w:rPr>
            <w:t>尺寸硅片价格（元/片）</w:t>
          </w:r>
          <w:r>
            <w:rPr>
              <w:spacing w:val="-7"/>
            </w:rPr>
            <w:t xml:space="preserve"> </w:t>
          </w:r>
          <w:r>
            <w:tab/>
          </w:r>
          <w:hyperlink w:anchor="bookmark33" w:history="1">
            <w:r>
              <w:rPr>
                <w:rFonts w:ascii="Arial" w:eastAsia="Arial" w:hAnsi="Arial" w:cs="Arial"/>
                <w:b/>
                <w:bCs/>
                <w:spacing w:val="4"/>
              </w:rPr>
              <w:t>10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4" w:line="218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5"/>
            </w:rPr>
            <w:t>图</w:t>
          </w:r>
          <w:r>
            <w:rPr>
              <w:spacing w:val="-45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</w:rPr>
            <w:t>22</w:t>
          </w:r>
          <w:r>
            <w:rPr>
              <w:b/>
              <w:bCs/>
              <w:spacing w:val="-5"/>
            </w:rPr>
            <w:t>：单晶</w:t>
          </w:r>
          <w:r>
            <w:rPr>
              <w:spacing w:val="-5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</w:rPr>
            <w:t>PERC182/210</w:t>
          </w:r>
          <w:r>
            <w:rPr>
              <w:rFonts w:ascii="Arial" w:eastAsia="Arial" w:hAnsi="Arial" w:cs="Arial"/>
              <w:b/>
              <w:bCs/>
              <w:spacing w:val="19"/>
            </w:rPr>
            <w:t xml:space="preserve"> </w:t>
          </w:r>
          <w:r>
            <w:rPr>
              <w:b/>
              <w:bCs/>
              <w:spacing w:val="-5"/>
            </w:rPr>
            <w:t>电池片价格（元</w:t>
          </w:r>
          <w:r>
            <w:rPr>
              <w:rFonts w:ascii="Arial" w:eastAsia="Arial" w:hAnsi="Arial" w:cs="Arial"/>
              <w:b/>
              <w:bCs/>
              <w:spacing w:val="-5"/>
            </w:rPr>
            <w:t>/W</w:t>
          </w:r>
          <w:r>
            <w:rPr>
              <w:b/>
              <w:bCs/>
              <w:spacing w:val="-5"/>
            </w:rPr>
            <w:t>）</w:t>
          </w:r>
          <w:r>
            <w:rPr>
              <w:spacing w:val="-58"/>
            </w:rPr>
            <w:t xml:space="preserve"> </w:t>
          </w:r>
          <w:r>
            <w:tab/>
          </w:r>
          <w:r>
            <w:rPr>
              <w:spacing w:val="-73"/>
            </w:rPr>
            <w:t xml:space="preserve"> </w:t>
          </w:r>
          <w:hyperlink w:anchor="bookmark34" w:history="1">
            <w:r>
              <w:rPr>
                <w:rFonts w:ascii="Arial" w:eastAsia="Arial" w:hAnsi="Arial" w:cs="Arial"/>
                <w:b/>
                <w:bCs/>
                <w:spacing w:val="-7"/>
              </w:rPr>
              <w:t>11</w:t>
            </w:r>
          </w:hyperlink>
        </w:p>
        <w:p>
          <w:pPr>
            <w:pStyle w:val="BodyText"/>
            <w:tabs>
              <w:tab w:val="right" w:leader="dot" w:pos="9770"/>
            </w:tabs>
            <w:spacing w:before="65" w:line="218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4"/>
            </w:rPr>
            <w:t>图</w:t>
          </w:r>
          <w:r>
            <w:rPr>
              <w:spacing w:val="-47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>23</w:t>
          </w:r>
          <w:r>
            <w:rPr>
              <w:b/>
              <w:bCs/>
              <w:spacing w:val="-4"/>
            </w:rPr>
            <w:t>：单晶</w:t>
          </w:r>
          <w:r>
            <w:rPr>
              <w:spacing w:val="-4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4"/>
            </w:rPr>
            <w:t xml:space="preserve">PERC182/210 </w:t>
          </w:r>
          <w:r>
            <w:rPr>
              <w:b/>
              <w:bCs/>
              <w:spacing w:val="-4"/>
            </w:rPr>
            <w:t>尺寸组件价格（元</w:t>
          </w:r>
          <w:r>
            <w:rPr>
              <w:rFonts w:ascii="Arial" w:eastAsia="Arial" w:hAnsi="Arial" w:cs="Arial"/>
              <w:b/>
              <w:bCs/>
              <w:spacing w:val="-4"/>
            </w:rPr>
            <w:t>/W</w:t>
          </w:r>
          <w:r>
            <w:rPr>
              <w:b/>
              <w:bCs/>
              <w:spacing w:val="-4"/>
            </w:rPr>
            <w:t>）</w:t>
          </w:r>
          <w:r>
            <w:rPr>
              <w:spacing w:val="-38"/>
            </w:rPr>
            <w:t xml:space="preserve"> </w:t>
          </w:r>
          <w:r>
            <w:tab/>
          </w:r>
          <w:r>
            <w:rPr>
              <w:spacing w:val="-73"/>
            </w:rPr>
            <w:t xml:space="preserve"> </w:t>
          </w:r>
          <w:hyperlink w:anchor="bookmark35" w:history="1">
            <w:r>
              <w:rPr>
                <w:rFonts w:ascii="Arial" w:eastAsia="Arial" w:hAnsi="Arial" w:cs="Arial"/>
                <w:b/>
                <w:bCs/>
                <w:spacing w:val="-7"/>
              </w:rPr>
              <w:t>11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3" w:line="234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7"/>
            </w:rPr>
            <w:t>图</w:t>
          </w:r>
          <w:r>
            <w:rPr>
              <w:spacing w:val="-41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7"/>
            </w:rPr>
            <w:t>24</w:t>
          </w:r>
          <w:r>
            <w:rPr>
              <w:b/>
              <w:bCs/>
              <w:spacing w:val="-7"/>
            </w:rPr>
            <w:t>：</w:t>
          </w:r>
          <w:r>
            <w:rPr>
              <w:rFonts w:ascii="Arial" w:eastAsia="Arial" w:hAnsi="Arial" w:cs="Arial"/>
              <w:b/>
              <w:bCs/>
              <w:spacing w:val="-7"/>
            </w:rPr>
            <w:t xml:space="preserve">LME </w:t>
          </w:r>
          <w:r>
            <w:rPr>
              <w:b/>
              <w:bCs/>
              <w:spacing w:val="-7"/>
            </w:rPr>
            <w:t>铜、铝价格变动（美元</w:t>
          </w:r>
          <w:r>
            <w:rPr>
              <w:rFonts w:ascii="Arial" w:eastAsia="Arial" w:hAnsi="Arial" w:cs="Arial"/>
              <w:b/>
              <w:bCs/>
              <w:spacing w:val="-7"/>
            </w:rPr>
            <w:t>/</w:t>
          </w:r>
          <w:r>
            <w:rPr>
              <w:b/>
              <w:bCs/>
              <w:spacing w:val="-7"/>
            </w:rPr>
            <w:t>吨）</w:t>
          </w:r>
          <w:r>
            <w:rPr>
              <w:spacing w:val="-7"/>
            </w:rPr>
            <w:t xml:space="preserve"> </w:t>
          </w:r>
          <w:r>
            <w:tab/>
          </w:r>
          <w:hyperlink w:anchor="bookmark36" w:history="1">
            <w:r>
              <w:rPr>
                <w:rFonts w:ascii="Arial" w:eastAsia="Arial" w:hAnsi="Arial" w:cs="Arial"/>
                <w:b/>
                <w:bCs/>
                <w:spacing w:val="4"/>
              </w:rPr>
              <w:t>12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46" w:line="218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5"/>
            </w:rPr>
            <w:t>图</w:t>
          </w:r>
          <w:r>
            <w:rPr>
              <w:spacing w:val="-39"/>
            </w:rPr>
            <w:t xml:space="preserve"> </w:t>
          </w:r>
          <w:r>
            <w:rPr>
              <w:b/>
              <w:bCs/>
              <w:spacing w:val="-5"/>
            </w:rPr>
            <w:t>25：中国塑料城价格指数</w:t>
          </w:r>
          <w:r>
            <w:rPr>
              <w:spacing w:val="-85"/>
            </w:rPr>
            <w:t xml:space="preserve"> </w:t>
          </w:r>
          <w:r>
            <w:tab/>
          </w:r>
          <w:hyperlink w:anchor="bookmark37" w:history="1">
            <w:r>
              <w:rPr>
                <w:rFonts w:ascii="Arial" w:eastAsia="Arial" w:hAnsi="Arial" w:cs="Arial"/>
                <w:b/>
                <w:bCs/>
                <w:spacing w:val="4"/>
              </w:rPr>
              <w:t>12</w:t>
            </w:r>
          </w:hyperlink>
        </w:p>
      </w:sdtContent>
    </w:sdt>
    <w:p>
      <w:pPr>
        <w:spacing w:line="218" w:lineRule="auto"/>
        <w:rPr>
          <w:rFonts w:ascii="Arial" w:eastAsia="Arial" w:hAnsi="Arial" w:cs="Arial"/>
        </w:rPr>
        <w:sectPr>
          <w:headerReference w:type="default" r:id="rId11"/>
          <w:footerReference w:type="default" r:id="rId12"/>
          <w:type w:val="nextPage"/>
          <w:pgSz w:w="11907" w:h="16839"/>
          <w:pgMar w:top="1273" w:right="1188" w:bottom="1481" w:left="838" w:header="885" w:footer="1202" w:gutter="0"/>
          <w:pgNumType w:start="4"/>
          <w:cols w:space="708"/>
          <w:titlePg w:val="0"/>
        </w:sectPr>
      </w:pPr>
    </w:p>
    <w:sdt>
      <w:sdtPr>
        <w:rPr>
          <w:rFonts w:ascii="KaiTi" w:eastAsia="KaiTi" w:hAnsi="KaiTi" w:cs="KaiTi"/>
          <w:sz w:val="21"/>
          <w:szCs w:val="21"/>
        </w:rPr>
        <w:id w:val="1213107809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1"/>
          <w:szCs w:val="21"/>
        </w:rPr>
      </w:sdtEndPr>
      <w:sdtContent>
        <w:p>
          <w:pPr>
            <w:pStyle w:val="BodyText"/>
            <w:tabs>
              <w:tab w:val="right" w:leader="dot" w:pos="9772"/>
            </w:tabs>
            <w:spacing w:before="197" w:line="221" w:lineRule="auto"/>
            <w:ind w:left="4152"/>
            <w:rPr>
              <w:rFonts w:ascii="Arial" w:eastAsia="Arial" w:hAnsi="Arial" w:cs="Arial"/>
            </w:rPr>
          </w:pPr>
          <w:r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page">
                  <wp:posOffset>532500</wp:posOffset>
                </wp:positionH>
                <wp:positionV relativeFrom="page">
                  <wp:posOffset>586571</wp:posOffset>
                </wp:positionV>
                <wp:extent cx="870479" cy="254846"/>
                <wp:effectExtent l="0" t="0" r="0" b="0"/>
                <wp:wrapNone/>
                <wp:docPr id="12" name="IM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IM 12"/>
                        <pic:cNvPicPr/>
                      </pic:nvPicPr>
                      <pic:blipFill>
                        <a:blip xmlns:r="http://schemas.openxmlformats.org/officeDocument/2006/relationships"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0479" cy="254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b/>
              <w:bCs/>
              <w:spacing w:val="-5"/>
            </w:rPr>
            <w:t>图</w:t>
          </w:r>
          <w:r>
            <w:rPr>
              <w:spacing w:val="-42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5"/>
            </w:rPr>
            <w:t>26</w:t>
          </w:r>
          <w:r>
            <w:rPr>
              <w:b/>
              <w:bCs/>
              <w:spacing w:val="-5"/>
            </w:rPr>
            <w:t>：钢材价格指数数</w:t>
          </w:r>
          <w:r>
            <w:rPr>
              <w:spacing w:val="-90"/>
            </w:rPr>
            <w:t xml:space="preserve"> </w:t>
          </w:r>
          <w:r>
            <w:tab/>
          </w:r>
          <w:hyperlink w:anchor="bookmark38" w:history="1">
            <w:r>
              <w:rPr>
                <w:rFonts w:ascii="Arial" w:eastAsia="Arial" w:hAnsi="Arial" w:cs="Arial"/>
                <w:b/>
                <w:bCs/>
                <w:spacing w:val="4"/>
              </w:rPr>
              <w:t>12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0" w:line="218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5"/>
            </w:rPr>
            <w:t>图</w:t>
          </w:r>
          <w:r>
            <w:rPr>
              <w:spacing w:val="-35"/>
            </w:rPr>
            <w:t xml:space="preserve"> </w:t>
          </w:r>
          <w:r>
            <w:rPr>
              <w:b/>
              <w:bCs/>
              <w:spacing w:val="-5"/>
            </w:rPr>
            <w:t>27：美元对人民币汇率变动</w:t>
          </w:r>
          <w:r>
            <w:rPr>
              <w:spacing w:val="-66"/>
            </w:rPr>
            <w:t xml:space="preserve"> </w:t>
          </w:r>
          <w:r>
            <w:tab/>
          </w:r>
          <w:hyperlink w:anchor="bookmark39" w:history="1">
            <w:r>
              <w:rPr>
                <w:rFonts w:ascii="Arial" w:eastAsia="Arial" w:hAnsi="Arial" w:cs="Arial"/>
                <w:b/>
                <w:bCs/>
                <w:spacing w:val="4"/>
              </w:rPr>
              <w:t>12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4" w:line="218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6"/>
            </w:rPr>
            <w:t>图</w:t>
          </w:r>
          <w:r>
            <w:rPr>
              <w:spacing w:val="-43"/>
            </w:rPr>
            <w:t xml:space="preserve"> </w:t>
          </w:r>
          <w:r>
            <w:rPr>
              <w:b/>
              <w:bCs/>
              <w:spacing w:val="-6"/>
            </w:rPr>
            <w:t>28：上海</w:t>
          </w:r>
          <w:r>
            <w:rPr>
              <w:spacing w:val="-36"/>
            </w:rPr>
            <w:t xml:space="preserve"> </w:t>
          </w:r>
          <w:r>
            <w:rPr>
              <w:b/>
              <w:bCs/>
              <w:spacing w:val="-6"/>
            </w:rPr>
            <w:t>HRB40020mm</w:t>
          </w:r>
          <w:r>
            <w:rPr>
              <w:spacing w:val="-42"/>
            </w:rPr>
            <w:t xml:space="preserve"> </w:t>
          </w:r>
          <w:r>
            <w:rPr>
              <w:b/>
              <w:bCs/>
              <w:spacing w:val="-6"/>
            </w:rPr>
            <w:t>螺纹钢价格变动（元/吨）</w:t>
          </w:r>
          <w:r>
            <w:rPr>
              <w:spacing w:val="-6"/>
            </w:rPr>
            <w:t xml:space="preserve"> </w:t>
          </w:r>
          <w:r>
            <w:tab/>
          </w:r>
          <w:hyperlink w:anchor="bookmark40" w:history="1">
            <w:r>
              <w:rPr>
                <w:rFonts w:ascii="Arial" w:eastAsia="Arial" w:hAnsi="Arial" w:cs="Arial"/>
                <w:b/>
                <w:bCs/>
                <w:spacing w:val="4"/>
              </w:rPr>
              <w:t>12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3" w:line="218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8"/>
            </w:rPr>
            <w:t>图</w:t>
          </w:r>
          <w:r>
            <w:rPr>
              <w:spacing w:val="-40"/>
            </w:rPr>
            <w:t xml:space="preserve"> </w:t>
          </w:r>
          <w:r>
            <w:rPr>
              <w:b/>
              <w:bCs/>
              <w:spacing w:val="-8"/>
            </w:rPr>
            <w:t>29：动力煤期货结算价（元/吨）</w:t>
          </w:r>
          <w:r>
            <w:rPr>
              <w:spacing w:val="-8"/>
            </w:rPr>
            <w:t xml:space="preserve"> </w:t>
          </w:r>
          <w:r>
            <w:tab/>
          </w:r>
          <w:hyperlink w:anchor="bookmark41" w:history="1">
            <w:r>
              <w:rPr>
                <w:rFonts w:ascii="Arial" w:eastAsia="Arial" w:hAnsi="Arial" w:cs="Arial"/>
                <w:b/>
                <w:bCs/>
                <w:spacing w:val="4"/>
              </w:rPr>
              <w:t>12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4" w:line="218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7"/>
            </w:rPr>
            <w:t>图</w:t>
          </w:r>
          <w:r>
            <w:rPr>
              <w:spacing w:val="-40"/>
            </w:rPr>
            <w:t xml:space="preserve"> </w:t>
          </w:r>
          <w:r>
            <w:rPr>
              <w:b/>
              <w:bCs/>
              <w:spacing w:val="-7"/>
            </w:rPr>
            <w:t>30：布伦特原油期货结算价（美元/桶）</w:t>
          </w:r>
          <w:r>
            <w:rPr>
              <w:spacing w:val="-7"/>
            </w:rPr>
            <w:t xml:space="preserve"> </w:t>
          </w:r>
          <w:r>
            <w:tab/>
          </w:r>
          <w:hyperlink w:anchor="bookmark42" w:history="1">
            <w:r>
              <w:rPr>
                <w:rFonts w:ascii="Arial" w:eastAsia="Arial" w:hAnsi="Arial" w:cs="Arial"/>
                <w:b/>
                <w:bCs/>
                <w:spacing w:val="4"/>
              </w:rPr>
              <w:t>12</w:t>
            </w:r>
          </w:hyperlink>
        </w:p>
        <w:p>
          <w:pPr>
            <w:pStyle w:val="BodyText"/>
            <w:tabs>
              <w:tab w:val="right" w:leader="dot" w:pos="9772"/>
            </w:tabs>
            <w:spacing w:before="63" w:line="221" w:lineRule="auto"/>
            <w:ind w:left="4152"/>
            <w:rPr>
              <w:rFonts w:ascii="Arial" w:eastAsia="Arial" w:hAnsi="Arial" w:cs="Arial"/>
            </w:rPr>
          </w:pPr>
          <w:r>
            <w:rPr>
              <w:b/>
              <w:bCs/>
              <w:spacing w:val="-8"/>
            </w:rPr>
            <w:t>图</w:t>
          </w:r>
          <w:r>
            <w:rPr>
              <w:spacing w:val="-41"/>
            </w:rPr>
            <w:t xml:space="preserve"> </w:t>
          </w:r>
          <w:r>
            <w:rPr>
              <w:b/>
              <w:bCs/>
              <w:spacing w:val="-8"/>
            </w:rPr>
            <w:t>31：全国液化天然气</w:t>
          </w:r>
          <w:r>
            <w:rPr>
              <w:spacing w:val="-29"/>
            </w:rPr>
            <w:t xml:space="preserve"> </w:t>
          </w:r>
          <w:r>
            <w:rPr>
              <w:b/>
              <w:bCs/>
              <w:spacing w:val="-8"/>
            </w:rPr>
            <w:t>LNG</w:t>
          </w:r>
          <w:r>
            <w:rPr>
              <w:spacing w:val="-48"/>
            </w:rPr>
            <w:t xml:space="preserve"> </w:t>
          </w:r>
          <w:r>
            <w:rPr>
              <w:b/>
              <w:bCs/>
              <w:spacing w:val="-8"/>
            </w:rPr>
            <w:t>价格（元/吨）</w:t>
          </w:r>
          <w:r>
            <w:rPr>
              <w:spacing w:val="-8"/>
            </w:rPr>
            <w:t xml:space="preserve"> </w:t>
          </w:r>
          <w:r>
            <w:tab/>
          </w:r>
          <w:hyperlink w:anchor="bookmark43" w:history="1">
            <w:r>
              <w:rPr>
                <w:rFonts w:ascii="Arial" w:eastAsia="Arial" w:hAnsi="Arial" w:cs="Arial"/>
                <w:b/>
                <w:bCs/>
                <w:spacing w:val="4"/>
              </w:rPr>
              <w:t>12</w:t>
            </w:r>
          </w:hyperlink>
        </w:p>
      </w:sdtContent>
    </w:sdt>
    <w:p>
      <w:pPr>
        <w:spacing w:line="357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24"/>
          <w:szCs w:val="24"/>
        </w:rPr>
        <w:id w:val="463603154"/>
        <w:docPartObj>
          <w:docPartGallery w:val="Table of Contents"/>
          <w:docPartUnique/>
        </w:docPartObj>
      </w:sdtPr>
      <w:sdtEndPr>
        <w:rPr>
          <w:rFonts w:ascii="Arial" w:eastAsia="Arial" w:hAnsi="Arial" w:cs="Arial"/>
          <w:sz w:val="21"/>
          <w:szCs w:val="21"/>
        </w:rPr>
      </w:sdtEndPr>
      <w:sdtContent>
        <w:p>
          <w:pPr>
            <w:pStyle w:val="BodyText"/>
            <w:spacing w:before="78" w:line="223" w:lineRule="auto"/>
            <w:ind w:left="3702"/>
            <w:rPr>
              <w:sz w:val="24"/>
              <w:szCs w:val="24"/>
            </w:rPr>
          </w:pPr>
          <w:r>
            <w:rPr>
              <w:b/>
              <w:bCs/>
              <w:spacing w:val="-3"/>
              <w:sz w:val="24"/>
              <w:szCs w:val="24"/>
            </w:rPr>
            <w:t>表</w:t>
          </w:r>
        </w:p>
        <w:p>
          <w:pPr>
            <w:pStyle w:val="BodyText"/>
            <w:tabs>
              <w:tab w:val="right" w:leader="dot" w:pos="9770"/>
            </w:tabs>
            <w:spacing w:before="114" w:line="218" w:lineRule="auto"/>
            <w:ind w:left="4121"/>
            <w:rPr>
              <w:rFonts w:ascii="Arial" w:eastAsia="Arial" w:hAnsi="Arial" w:cs="Arial"/>
            </w:rPr>
          </w:pPr>
          <w:r>
            <w:rPr>
              <w:b/>
              <w:bCs/>
              <w:spacing w:val="-3"/>
            </w:rPr>
            <w:t>表</w:t>
          </w:r>
          <w:r>
            <w:rPr>
              <w:spacing w:val="-30"/>
            </w:rPr>
            <w:t xml:space="preserve"> </w:t>
          </w:r>
          <w:r>
            <w:rPr>
              <w:rFonts w:ascii="Arial" w:eastAsia="Arial" w:hAnsi="Arial" w:cs="Arial"/>
              <w:b/>
              <w:bCs/>
              <w:spacing w:val="-3"/>
            </w:rPr>
            <w:t>1</w:t>
          </w:r>
          <w:r>
            <w:rPr>
              <w:b/>
              <w:bCs/>
              <w:spacing w:val="-3"/>
            </w:rPr>
            <w:t>：中信机械个股涨跌幅前十名</w:t>
          </w:r>
          <w:r>
            <w:rPr>
              <w:spacing w:val="-46"/>
            </w:rPr>
            <w:t xml:space="preserve"> </w:t>
          </w:r>
          <w:r>
            <w:tab/>
          </w:r>
          <w:hyperlink w:anchor="bookmark44" w:history="1">
            <w:r>
              <w:rPr>
                <w:rFonts w:ascii="Arial" w:eastAsia="Arial" w:hAnsi="Arial" w:cs="Arial"/>
                <w:b/>
                <w:bCs/>
                <w:spacing w:val="7"/>
              </w:rPr>
              <w:t>6</w:t>
            </w:r>
          </w:hyperlink>
        </w:p>
      </w:sdtContent>
    </w:sdt>
    <w:p>
      <w:pPr>
        <w:spacing w:line="218" w:lineRule="auto"/>
        <w:rPr>
          <w:rFonts w:ascii="Arial" w:eastAsia="Arial" w:hAnsi="Arial" w:cs="Arial"/>
        </w:rPr>
        <w:sectPr>
          <w:headerReference w:type="default" r:id="rId13"/>
          <w:footerReference w:type="default" r:id="rId14"/>
          <w:pgSz w:w="11907" w:h="16839"/>
          <w:pgMar w:top="1273" w:right="1188" w:bottom="1481" w:left="838" w:header="885" w:footer="1202" w:gutter="0"/>
          <w:pgNumType w:start="5"/>
          <w:cols w:space="708"/>
        </w:sectPr>
      </w:pPr>
    </w:p>
    <w:p>
      <w:pPr>
        <w:spacing w:line="434" w:lineRule="auto"/>
        <w:rPr>
          <w:rFonts w:ascii="Arial"/>
          <w:sz w:val="21"/>
        </w:rPr>
      </w:pP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1041405</wp:posOffset>
            </wp:positionH>
            <wp:positionV relativeFrom="page">
              <wp:posOffset>8680453</wp:posOffset>
            </wp:positionV>
            <wp:extent cx="2825782" cy="635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2578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2844765</wp:posOffset>
            </wp:positionH>
            <wp:positionV relativeFrom="page">
              <wp:posOffset>9747226</wp:posOffset>
            </wp:positionV>
            <wp:extent cx="3930715" cy="63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3071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469879</wp:posOffset>
            </wp:positionH>
            <wp:positionV relativeFrom="page">
              <wp:posOffset>539802</wp:posOffset>
            </wp:positionV>
            <wp:extent cx="958893" cy="323796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93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9" w:line="219" w:lineRule="auto"/>
        <w:ind w:left="89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b/>
          <w:bCs/>
          <w:spacing w:val="18"/>
          <w:sz w:val="21"/>
          <w:szCs w:val="21"/>
        </w:rPr>
        <w:t>行业周报</w:t>
      </w:r>
    </w:p>
    <w:p>
      <w:pPr>
        <w:spacing w:before="95" w:line="20" w:lineRule="exact"/>
        <w:ind w:firstLine="1680"/>
      </w:pPr>
      <w:r>
        <w:drawing>
          <wp:inline distT="0" distB="0" distL="0" distR="0">
            <wp:extent cx="5283180" cy="1272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8318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11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pStyle w:val="BodyText"/>
        <w:spacing w:before="88" w:line="227" w:lineRule="auto"/>
        <w:ind w:left="3783"/>
        <w:rPr>
          <w:sz w:val="27"/>
          <w:szCs w:val="27"/>
        </w:rPr>
      </w:pPr>
      <w:bookmarkStart w:id="0" w:name="bookmark15"/>
      <w:bookmarkEnd w:id="0"/>
      <w:bookmarkStart w:id="1" w:name="bookmark16"/>
      <w:bookmarkEnd w:id="1"/>
      <w:bookmarkStart w:id="2" w:name="bookmark17"/>
      <w:bookmarkEnd w:id="2"/>
      <w:bookmarkStart w:id="3" w:name="bookmark1"/>
      <w:bookmarkEnd w:id="3"/>
      <w:bookmarkStart w:id="4" w:name="bookmark2"/>
      <w:bookmarkEnd w:id="4"/>
      <w:r>
        <w:rPr>
          <w:b/>
          <w:bCs/>
          <w:spacing w:val="-6"/>
          <w:sz w:val="27"/>
          <w:szCs w:val="27"/>
        </w:rPr>
        <w:t>1</w:t>
      </w:r>
      <w:r>
        <w:rPr>
          <w:spacing w:val="86"/>
          <w:sz w:val="27"/>
          <w:szCs w:val="27"/>
        </w:rPr>
        <w:t xml:space="preserve"> </w:t>
      </w:r>
      <w:r>
        <w:rPr>
          <w:b/>
          <w:bCs/>
          <w:spacing w:val="-6"/>
          <w:sz w:val="27"/>
          <w:szCs w:val="27"/>
        </w:rPr>
        <w:t>行情回顾</w:t>
      </w:r>
    </w:p>
    <w:p>
      <w:pPr>
        <w:spacing w:line="332" w:lineRule="auto"/>
        <w:rPr>
          <w:rFonts w:ascii="Arial"/>
          <w:sz w:val="21"/>
        </w:rPr>
      </w:pPr>
    </w:p>
    <w:p>
      <w:pPr>
        <w:spacing w:line="332" w:lineRule="auto"/>
        <w:rPr>
          <w:rFonts w:ascii="Arial"/>
          <w:sz w:val="21"/>
        </w:rPr>
      </w:pPr>
    </w:p>
    <w:p>
      <w:pPr>
        <w:pStyle w:val="BodyText"/>
        <w:spacing w:before="68" w:line="227" w:lineRule="auto"/>
        <w:ind w:left="3782"/>
        <w:outlineLvl w:val="0"/>
      </w:pPr>
      <w:r>
        <w:rPr>
          <w:b/>
          <w:bCs/>
          <w:spacing w:val="10"/>
        </w:rPr>
        <w:t>1.1</w:t>
      </w:r>
      <w:r>
        <w:rPr>
          <w:spacing w:val="59"/>
        </w:rPr>
        <w:t xml:space="preserve"> </w:t>
      </w:r>
      <w:r>
        <w:rPr>
          <w:b/>
          <w:bCs/>
          <w:spacing w:val="10"/>
        </w:rPr>
        <w:t>板块行情</w:t>
      </w:r>
    </w:p>
    <w:p>
      <w:pPr>
        <w:pStyle w:val="BodyText"/>
        <w:spacing w:before="249" w:line="337" w:lineRule="auto"/>
        <w:ind w:left="3779" w:right="19" w:firstLine="450"/>
      </w:pPr>
      <w:r>
        <w:rPr>
          <w:spacing w:val="11"/>
        </w:rPr>
        <w:t>过去一周(2024.2.26-2024.3.1)</w:t>
      </w:r>
      <w:r>
        <w:rPr>
          <w:spacing w:val="10"/>
        </w:rPr>
        <w:t>,中信机械行业上涨5.16%,</w:t>
      </w:r>
      <w:r>
        <w:t xml:space="preserve"> </w:t>
      </w:r>
      <w:r>
        <w:rPr>
          <w:spacing w:val="11"/>
        </w:rPr>
        <w:t>表现处于中上游，在所有一级行业中涨跌幅排名第6。本周沪深</w:t>
      </w:r>
      <w:r>
        <w:t xml:space="preserve">  </w:t>
      </w:r>
      <w:r>
        <w:rPr>
          <w:spacing w:val="18"/>
        </w:rPr>
        <w:t>300</w:t>
      </w:r>
      <w:r>
        <w:rPr>
          <w:spacing w:val="18"/>
        </w:rPr>
        <w:t xml:space="preserve"> </w:t>
      </w:r>
      <w:r>
        <w:rPr>
          <w:spacing w:val="18"/>
        </w:rPr>
        <w:t>指数上涨1.38%,中小板指数上涨4.37%,创业板指数上涨</w:t>
      </w:r>
    </w:p>
    <w:p>
      <w:pPr>
        <w:spacing w:before="1" w:line="182" w:lineRule="auto"/>
        <w:ind w:left="377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6"/>
          <w:sz w:val="21"/>
          <w:szCs w:val="21"/>
        </w:rPr>
        <w:t>3.74%。</w:t>
      </w:r>
    </w:p>
    <w:p>
      <w:pPr>
        <w:spacing w:line="342" w:lineRule="auto"/>
        <w:rPr>
          <w:rFonts w:ascii="Arial"/>
          <w:sz w:val="21"/>
        </w:rPr>
      </w:pPr>
    </w:p>
    <w:p>
      <w:pPr>
        <w:pStyle w:val="BodyText"/>
        <w:spacing w:before="69" w:line="187" w:lineRule="auto"/>
        <w:ind w:left="2642"/>
      </w:pPr>
      <w:r>
        <w:rPr>
          <w:b/>
          <w:bCs/>
          <w:spacing w:val="-11"/>
        </w:rPr>
        <w:t>图1:中信一级行业周涨跌幅比较(%)</w:t>
      </w:r>
    </w:p>
    <w:p>
      <w:pPr>
        <w:spacing w:line="2760" w:lineRule="exact"/>
        <w:ind w:firstLine="2460"/>
      </w:pPr>
      <w:r>
        <w:rPr>
          <w:position w:val="-55"/>
        </w:rPr>
        <w:drawing>
          <wp:inline distT="0" distB="0" distL="0" distR="0">
            <wp:extent cx="4800594" cy="175268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00594" cy="175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12" w:lineRule="auto"/>
        <w:ind w:left="2636"/>
        <w:rPr>
          <w:sz w:val="22"/>
          <w:szCs w:val="22"/>
        </w:rPr>
      </w:pPr>
      <w:r>
        <w:rPr>
          <w:b/>
          <w:bCs/>
          <w:i/>
          <w:iCs/>
          <w:spacing w:val="-21"/>
          <w:w w:val="96"/>
          <w:sz w:val="22"/>
          <w:szCs w:val="22"/>
        </w:rPr>
        <w:t>责料来源：</w:t>
      </w:r>
      <w:r>
        <w:rPr>
          <w:rFonts w:ascii="SimSun" w:eastAsia="SimSun" w:hAnsi="SimSun" w:cs="SimSun"/>
          <w:b/>
          <w:bCs/>
          <w:i/>
          <w:iCs/>
          <w:spacing w:val="-21"/>
          <w:w w:val="96"/>
          <w:sz w:val="22"/>
          <w:szCs w:val="22"/>
        </w:rPr>
        <w:t>iFinD,</w:t>
      </w:r>
      <w:r>
        <w:rPr>
          <w:b/>
          <w:bCs/>
          <w:i/>
          <w:iCs/>
          <w:spacing w:val="-21"/>
          <w:w w:val="96"/>
          <w:sz w:val="22"/>
          <w:szCs w:val="22"/>
        </w:rPr>
        <w:t>上海证券研究所</w:t>
      </w:r>
    </w:p>
    <w:p>
      <w:pPr>
        <w:spacing w:line="355" w:lineRule="auto"/>
        <w:rPr>
          <w:rFonts w:ascii="Arial"/>
          <w:sz w:val="21"/>
        </w:rPr>
      </w:pPr>
    </w:p>
    <w:p>
      <w:pPr>
        <w:pStyle w:val="BodyText"/>
        <w:spacing w:before="69" w:line="292" w:lineRule="auto"/>
        <w:ind w:left="3779" w:right="49" w:firstLine="463"/>
        <w:jc w:val="both"/>
      </w:pPr>
      <w:r>
        <w:rPr>
          <w:rFonts w:ascii="SimSun" w:eastAsia="SimSun" w:hAnsi="SimSun" w:cs="SimSun"/>
          <w:b/>
          <w:bCs/>
          <w:spacing w:val="17"/>
        </w:rPr>
        <w:t>细分板块涨跌幅：</w:t>
      </w:r>
      <w:r>
        <w:rPr>
          <w:rFonts w:ascii="SimSun" w:eastAsia="SimSun" w:hAnsi="SimSun" w:cs="SimSun"/>
          <w:spacing w:val="72"/>
        </w:rPr>
        <w:t xml:space="preserve"> </w:t>
      </w:r>
      <w:r>
        <w:rPr>
          <w:rFonts w:ascii="SimSun" w:eastAsia="SimSun" w:hAnsi="SimSun" w:cs="SimSun"/>
          <w:spacing w:val="17"/>
        </w:rPr>
        <w:t>细分板块涨跌幅：上周(2024.2.26-</w:t>
      </w:r>
      <w:r>
        <w:rPr>
          <w:rFonts w:ascii="SimSun" w:eastAsia="SimSun" w:hAnsi="SimSun" w:cs="SimSun"/>
        </w:rPr>
        <w:t xml:space="preserve">  </w:t>
      </w:r>
      <w:r>
        <w:rPr>
          <w:spacing w:val="9"/>
        </w:rPr>
        <w:t>2024.3.1),运输设备涨幅居前。具体</w:t>
      </w:r>
      <w:r>
        <w:rPr>
          <w:spacing w:val="8"/>
        </w:rPr>
        <w:t>来看，工程机械上涨1.83%,</w:t>
      </w:r>
      <w:r>
        <w:t xml:space="preserve"> </w:t>
      </w:r>
      <w:r>
        <w:rPr>
          <w:spacing w:val="14"/>
        </w:rPr>
        <w:t>通用设备上涨5.53%,专用设备上涨6.14%,仪器仪表上涨3.04%,</w:t>
      </w:r>
      <w:r>
        <w:rPr>
          <w:spacing w:val="15"/>
        </w:rPr>
        <w:t xml:space="preserve"> </w:t>
      </w:r>
      <w:r>
        <w:rPr>
          <w:spacing w:val="12"/>
        </w:rPr>
        <w:t>金属制品上涨1.37%,运输设备上涨6.84%。</w:t>
      </w:r>
    </w:p>
    <w:p>
      <w:pPr>
        <w:spacing w:before="64"/>
      </w:pPr>
    </w:p>
    <w:p>
      <w:pPr>
        <w:sectPr>
          <w:headerReference w:type="default" r:id="rId20"/>
          <w:footerReference w:type="default" r:id="rId21"/>
          <w:pgSz w:w="11910" w:h="16840"/>
          <w:pgMar w:top="400" w:right="1150" w:bottom="400" w:left="739" w:header="0" w:footer="0" w:gutter="0"/>
          <w:pgNumType w:start="6"/>
          <w:cols w:num="1" w:space="708" w:equalWidth="0">
            <w:col w:w="10021" w:space="0"/>
          </w:cols>
        </w:sectPr>
      </w:pPr>
    </w:p>
    <w:p>
      <w:pPr>
        <w:pStyle w:val="BodyText"/>
        <w:spacing w:before="55" w:line="227" w:lineRule="auto"/>
        <w:ind w:left="1052"/>
      </w:pPr>
      <w:r>
        <w:rPr>
          <w:b/>
          <w:bCs/>
          <w:spacing w:val="-1"/>
          <w:u w:val="single" w:color="auto"/>
        </w:rPr>
        <w:t>图2:大盘和机械子板块指数周涨跌幅对比</w:t>
      </w:r>
      <w:r>
        <w:rPr>
          <w:spacing w:val="3"/>
          <w:u w:val="single" w:color="auto"/>
        </w:rPr>
        <w:t xml:space="preserve">     </w:t>
      </w:r>
    </w:p>
    <w:p>
      <w:pPr>
        <w:spacing w:line="255" w:lineRule="auto"/>
        <w:rPr>
          <w:rFonts w:ascii="Arial"/>
          <w:sz w:val="21"/>
        </w:rPr>
      </w:pPr>
    </w:p>
    <w:p>
      <w:pPr>
        <w:spacing w:before="1" w:line="2270" w:lineRule="exact"/>
        <w:ind w:firstLine="1049"/>
      </w:pPr>
      <w:r>
        <w:rPr>
          <w:position w:val="-45"/>
        </w:rPr>
        <w:drawing>
          <wp:inline distT="0" distB="0" distL="0" distR="0">
            <wp:extent cx="2609863" cy="144147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09863" cy="144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32" w:line="184" w:lineRule="auto"/>
        <w:ind w:left="1046"/>
        <w:rPr>
          <w:sz w:val="22"/>
          <w:szCs w:val="22"/>
        </w:rPr>
      </w:pPr>
      <w:r>
        <w:rPr>
          <w:b/>
          <w:bCs/>
          <w:i/>
          <w:iCs/>
          <w:spacing w:val="-21"/>
          <w:w w:val="96"/>
          <w:sz w:val="22"/>
          <w:szCs w:val="22"/>
        </w:rPr>
        <w:t>资料来源：</w:t>
      </w:r>
      <w:r>
        <w:rPr>
          <w:rFonts w:ascii="SimSun" w:eastAsia="SimSun" w:hAnsi="SimSun" w:cs="SimSun"/>
          <w:b/>
          <w:bCs/>
          <w:i/>
          <w:iCs/>
          <w:spacing w:val="-21"/>
          <w:w w:val="96"/>
          <w:sz w:val="22"/>
          <w:szCs w:val="22"/>
        </w:rPr>
        <w:t>iFinD,</w:t>
      </w:r>
      <w:r>
        <w:rPr>
          <w:b/>
          <w:bCs/>
          <w:i/>
          <w:iCs/>
          <w:spacing w:val="-21"/>
          <w:w w:val="96"/>
          <w:sz w:val="22"/>
          <w:szCs w:val="22"/>
        </w:rPr>
        <w:t>上海证券研究所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3" w:line="225" w:lineRule="auto"/>
        <w:ind w:left="142"/>
      </w:pPr>
      <w:r>
        <w:rPr>
          <w:b/>
          <w:bCs/>
          <w:spacing w:val="-17"/>
        </w:rPr>
        <w:t>图3:沪深300和机械子板块指数近两年走势对比</w:t>
      </w:r>
    </w:p>
    <w:tbl>
      <w:tblPr>
        <w:tblStyle w:val="TableNormal0"/>
        <w:tblW w:w="3614" w:type="dxa"/>
        <w:tblInd w:w="37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12"/>
        <w:gridCol w:w="971"/>
        <w:gridCol w:w="1045"/>
        <w:gridCol w:w="786"/>
      </w:tblGrid>
      <w:tr>
        <w:tblPrEx>
          <w:tblW w:w="3614" w:type="dxa"/>
          <w:tblInd w:w="37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03"/>
        </w:trPr>
        <w:tc>
          <w:tcPr>
            <w:tcW w:w="812" w:type="dxa"/>
            <w:vAlign w:val="top"/>
          </w:tcPr>
          <w:p>
            <w:pPr>
              <w:spacing w:before="10" w:line="217" w:lineRule="auto"/>
              <w:ind w:left="180" w:right="87" w:hanging="180"/>
              <w:rPr>
                <w:rFonts w:ascii="KaiTi" w:eastAsia="KaiTi" w:hAnsi="KaiTi" w:cs="KaiTi"/>
                <w:sz w:val="12"/>
                <w:szCs w:val="12"/>
              </w:rPr>
            </w:pPr>
            <w:r>
              <w:rPr>
                <w:rFonts w:ascii="KaiTi" w:eastAsia="KaiTi" w:hAnsi="KaiTi" w:cs="KaiTi"/>
                <w:sz w:val="12"/>
                <w:szCs w:val="12"/>
              </w:rPr>
              <w:t>——沪深300</w:t>
            </w:r>
            <w:r>
              <w:rPr>
                <w:rFonts w:ascii="KaiTi" w:eastAsia="KaiTi" w:hAnsi="KaiTi" w:cs="KaiTi"/>
                <w:sz w:val="12"/>
                <w:szCs w:val="12"/>
              </w:rPr>
              <w:t xml:space="preserve">  </w:t>
            </w:r>
            <w:r>
              <w:rPr>
                <w:rFonts w:ascii="KaiTi" w:eastAsia="KaiTi" w:hAnsi="KaiTi" w:cs="KaiTi"/>
                <w:spacing w:val="-12"/>
                <w:sz w:val="12"/>
                <w:szCs w:val="12"/>
              </w:rPr>
              <w:t>一专用机械</w:t>
            </w:r>
          </w:p>
        </w:tc>
        <w:tc>
          <w:tcPr>
            <w:tcW w:w="971" w:type="dxa"/>
            <w:vAlign w:val="top"/>
          </w:tcPr>
          <w:p>
            <w:pPr>
              <w:spacing w:before="11" w:line="231" w:lineRule="auto"/>
              <w:ind w:left="148"/>
              <w:rPr>
                <w:rFonts w:ascii="KaiTi" w:eastAsia="KaiTi" w:hAnsi="KaiTi" w:cs="KaiTi"/>
                <w:sz w:val="12"/>
                <w:szCs w:val="12"/>
              </w:rPr>
            </w:pPr>
            <w:r>
              <w:rPr>
                <w:rFonts w:ascii="KaiTi" w:eastAsia="KaiTi" w:hAnsi="KaiTi" w:cs="KaiTi"/>
                <w:color w:val="FF0000"/>
                <w:w w:val="92"/>
                <w:sz w:val="12"/>
                <w:szCs w:val="12"/>
              </w:rPr>
              <w:t>——</w:t>
            </w:r>
            <w:r>
              <w:rPr>
                <w:rFonts w:ascii="KaiTi" w:eastAsia="KaiTi" w:hAnsi="KaiTi" w:cs="KaiTi"/>
                <w:w w:val="92"/>
                <w:sz w:val="12"/>
                <w:szCs w:val="12"/>
              </w:rPr>
              <w:t>机</w:t>
            </w:r>
            <w:r>
              <w:rPr>
                <w:rFonts w:ascii="KaiTi" w:eastAsia="KaiTi" w:hAnsi="KaiTi" w:cs="KaiTi"/>
                <w:spacing w:val="-18"/>
                <w:sz w:val="12"/>
                <w:szCs w:val="12"/>
              </w:rPr>
              <w:t xml:space="preserve"> </w:t>
            </w:r>
            <w:r>
              <w:rPr>
                <w:rFonts w:ascii="KaiTi" w:eastAsia="KaiTi" w:hAnsi="KaiTi" w:cs="KaiTi"/>
                <w:w w:val="92"/>
                <w:sz w:val="12"/>
                <w:szCs w:val="12"/>
              </w:rPr>
              <w:t>械</w:t>
            </w:r>
          </w:p>
          <w:p>
            <w:pPr>
              <w:spacing w:before="15" w:line="177" w:lineRule="auto"/>
              <w:ind w:left="88"/>
              <w:rPr>
                <w:rFonts w:ascii="KaiTi" w:eastAsia="KaiTi" w:hAnsi="KaiTi" w:cs="KaiTi"/>
                <w:sz w:val="12"/>
                <w:szCs w:val="12"/>
              </w:rPr>
            </w:pPr>
            <w:r>
              <w:rPr>
                <w:rFonts w:ascii="KaiTi" w:eastAsia="KaiTi" w:hAnsi="KaiTi" w:cs="KaiTi"/>
                <w:spacing w:val="10"/>
                <w:sz w:val="12"/>
                <w:szCs w:val="12"/>
              </w:rPr>
              <w:t>—</w:t>
            </w:r>
            <w:r>
              <w:rPr>
                <w:rFonts w:ascii="KaiTi" w:eastAsia="KaiTi" w:hAnsi="KaiTi" w:cs="KaiTi"/>
                <w:spacing w:val="-44"/>
                <w:sz w:val="12"/>
                <w:szCs w:val="12"/>
              </w:rPr>
              <w:t xml:space="preserve"> </w:t>
            </w:r>
            <w:r>
              <w:rPr>
                <w:rFonts w:ascii="KaiTi" w:eastAsia="KaiTi" w:hAnsi="KaiTi" w:cs="KaiTi"/>
                <w:spacing w:val="10"/>
                <w:sz w:val="12"/>
                <w:szCs w:val="12"/>
              </w:rPr>
              <w:t>—仪器仪表</w:t>
            </w:r>
          </w:p>
        </w:tc>
        <w:tc>
          <w:tcPr>
            <w:tcW w:w="1045" w:type="dxa"/>
            <w:vAlign w:val="top"/>
          </w:tcPr>
          <w:p>
            <w:pPr>
              <w:spacing w:before="10" w:line="217" w:lineRule="auto"/>
              <w:ind w:left="87" w:right="159" w:firstLine="149"/>
              <w:rPr>
                <w:rFonts w:ascii="KaiTi" w:eastAsia="KaiTi" w:hAnsi="KaiTi" w:cs="KaiTi"/>
                <w:sz w:val="12"/>
                <w:szCs w:val="12"/>
              </w:rPr>
            </w:pPr>
            <w:r>
              <w:rPr>
                <w:rFonts w:ascii="KaiTi" w:eastAsia="KaiTi" w:hAnsi="KaiTi" w:cs="KaiTi"/>
                <w:spacing w:val="9"/>
                <w:sz w:val="12"/>
                <w:szCs w:val="12"/>
              </w:rPr>
              <w:t>—工程机械</w:t>
            </w:r>
            <w:r>
              <w:rPr>
                <w:rFonts w:ascii="KaiTi" w:eastAsia="KaiTi" w:hAnsi="KaiTi" w:cs="KaiTi"/>
                <w:sz w:val="12"/>
                <w:szCs w:val="12"/>
              </w:rPr>
              <w:t xml:space="preserve"> </w:t>
            </w:r>
            <w:r>
              <w:rPr>
                <w:rFonts w:ascii="KaiTi" w:eastAsia="KaiTi" w:hAnsi="KaiTi" w:cs="KaiTi"/>
                <w:spacing w:val="7"/>
                <w:sz w:val="12"/>
                <w:szCs w:val="12"/>
              </w:rPr>
              <w:t>—</w:t>
            </w:r>
            <w:r>
              <w:rPr>
                <w:rFonts w:ascii="KaiTi" w:eastAsia="KaiTi" w:hAnsi="KaiTi" w:cs="KaiTi"/>
                <w:spacing w:val="-41"/>
                <w:sz w:val="12"/>
                <w:szCs w:val="12"/>
              </w:rPr>
              <w:t xml:space="preserve"> </w:t>
            </w:r>
            <w:r>
              <w:rPr>
                <w:rFonts w:ascii="KaiTi" w:eastAsia="KaiTi" w:hAnsi="KaiTi" w:cs="KaiTi"/>
                <w:spacing w:val="7"/>
                <w:sz w:val="12"/>
                <w:szCs w:val="12"/>
              </w:rPr>
              <w:t>—</w:t>
            </w:r>
            <w:r>
              <w:rPr>
                <w:rFonts w:ascii="KaiTi" w:eastAsia="KaiTi" w:hAnsi="KaiTi" w:cs="KaiTi"/>
                <w:spacing w:val="-44"/>
                <w:sz w:val="12"/>
                <w:szCs w:val="12"/>
              </w:rPr>
              <w:t xml:space="preserve"> </w:t>
            </w:r>
            <w:r>
              <w:rPr>
                <w:rFonts w:ascii="KaiTi" w:eastAsia="KaiTi" w:hAnsi="KaiTi" w:cs="KaiTi"/>
                <w:spacing w:val="7"/>
                <w:sz w:val="12"/>
                <w:szCs w:val="12"/>
              </w:rPr>
              <w:t>金属制品</w:t>
            </w:r>
          </w:p>
        </w:tc>
        <w:tc>
          <w:tcPr>
            <w:tcW w:w="786" w:type="dxa"/>
            <w:vAlign w:val="top"/>
          </w:tcPr>
          <w:p>
            <w:pPr>
              <w:spacing w:line="219" w:lineRule="auto"/>
              <w:ind w:left="162" w:firstLine="59"/>
              <w:rPr>
                <w:rFonts w:ascii="FangSong" w:eastAsia="FangSong" w:hAnsi="FangSong" w:cs="FangSong"/>
                <w:sz w:val="12"/>
                <w:szCs w:val="12"/>
              </w:rPr>
            </w:pPr>
            <w:r>
              <w:rPr>
                <w:rFonts w:ascii="KaiTi" w:eastAsia="KaiTi" w:hAnsi="KaiTi" w:cs="KaiTi"/>
                <w:spacing w:val="-9"/>
                <w:sz w:val="12"/>
                <w:szCs w:val="12"/>
              </w:rPr>
              <w:t>一通</w:t>
            </w:r>
            <w:r>
              <w:rPr>
                <w:rFonts w:ascii="KaiTi" w:eastAsia="KaiTi" w:hAnsi="KaiTi" w:cs="KaiTi"/>
                <w:spacing w:val="-8"/>
                <w:sz w:val="12"/>
                <w:szCs w:val="12"/>
              </w:rPr>
              <w:t>用机</w:t>
            </w:r>
            <w:r>
              <w:rPr>
                <w:rFonts w:ascii="KaiTi" w:eastAsia="KaiTi" w:hAnsi="KaiTi" w:cs="KaiTi"/>
                <w:spacing w:val="-6"/>
                <w:sz w:val="12"/>
                <w:szCs w:val="12"/>
              </w:rPr>
              <w:t>械</w:t>
            </w:r>
            <w:r>
              <w:rPr>
                <w:rFonts w:ascii="KaiTi" w:eastAsia="KaiTi" w:hAnsi="KaiTi" w:cs="KaiTi"/>
                <w:spacing w:val="3"/>
                <w:sz w:val="12"/>
                <w:szCs w:val="12"/>
              </w:rPr>
              <w:t xml:space="preserve"> </w:t>
            </w:r>
            <w:r>
              <w:rPr>
                <w:rFonts w:ascii="FangSong" w:eastAsia="FangSong" w:hAnsi="FangSong" w:cs="FangSong"/>
                <w:color w:val="E26A1A"/>
                <w:sz w:val="12"/>
                <w:szCs w:val="12"/>
              </w:rPr>
              <w:t>一</w:t>
            </w:r>
            <w:r>
              <w:rPr>
                <w:rFonts w:ascii="FangSong" w:eastAsia="FangSong" w:hAnsi="FangSong" w:cs="FangSong"/>
                <w:sz w:val="12"/>
                <w:szCs w:val="12"/>
              </w:rPr>
              <w:t>运输设备</w:t>
            </w:r>
          </w:p>
        </w:tc>
      </w:tr>
    </w:tbl>
    <w:p>
      <w:pPr>
        <w:sectPr>
          <w:headerReference w:type="default" r:id="rId23"/>
          <w:footerReference w:type="default" r:id="rId24"/>
          <w:type w:val="continuous"/>
          <w:pgSz w:w="11910" w:h="16840"/>
          <w:pgMar w:top="400" w:right="1150" w:bottom="400" w:left="739" w:header="0" w:footer="0" w:gutter="0"/>
          <w:pgNumType w:start="7"/>
          <w:cols w:num="2" w:space="708" w:equalWidth="0">
            <w:col w:w="5421" w:space="100"/>
            <w:col w:w="4500" w:space="0"/>
          </w:cols>
        </w:sectPr>
      </w:pPr>
    </w:p>
    <w:p>
      <w:pPr>
        <w:spacing w:before="71" w:line="2230" w:lineRule="exact"/>
        <w:ind w:firstLine="100"/>
      </w:pPr>
      <w:r>
        <w:rPr>
          <w:position w:val="-44"/>
        </w:rPr>
        <w:drawing>
          <wp:inline distT="0" distB="0" distL="0" distR="0">
            <wp:extent cx="2482807" cy="1416019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82807" cy="1416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6" w:line="189" w:lineRule="auto"/>
        <w:ind w:left="146"/>
        <w:rPr>
          <w:sz w:val="22"/>
          <w:szCs w:val="22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44377</wp:posOffset>
            </wp:positionV>
            <wp:extent cx="2819354" cy="6416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19354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spacing w:val="-14"/>
          <w:w w:val="93"/>
          <w:sz w:val="22"/>
          <w:szCs w:val="22"/>
        </w:rPr>
        <w:t>资料来源：</w:t>
      </w:r>
      <w:r>
        <w:rPr>
          <w:rFonts w:ascii="Times New Roman" w:eastAsia="Times New Roman" w:hAnsi="Times New Roman" w:cs="Times New Roman"/>
          <w:b/>
          <w:bCs/>
          <w:i/>
          <w:iCs/>
          <w:spacing w:val="-14"/>
          <w:w w:val="93"/>
        </w:rPr>
        <w:t xml:space="preserve">iFinD,  </w:t>
      </w:r>
      <w:r>
        <w:rPr>
          <w:b/>
          <w:bCs/>
          <w:i/>
          <w:iCs/>
          <w:spacing w:val="-14"/>
          <w:w w:val="93"/>
          <w:sz w:val="22"/>
          <w:szCs w:val="22"/>
        </w:rPr>
        <w:t>上海证券研究所</w:t>
      </w:r>
    </w:p>
    <w:p>
      <w:pPr>
        <w:spacing w:line="189" w:lineRule="auto"/>
        <w:rPr>
          <w:sz w:val="22"/>
          <w:szCs w:val="22"/>
        </w:rPr>
        <w:sectPr>
          <w:headerReference w:type="default" r:id="rId27"/>
          <w:footerReference w:type="default" r:id="rId28"/>
          <w:type w:val="nextPage"/>
          <w:pgSz w:w="11910" w:h="16840"/>
          <w:pgMar w:top="400" w:right="1150" w:bottom="400" w:left="739" w:header="0" w:footer="0" w:gutter="0"/>
          <w:pgNumType w:start="8"/>
          <w:cols w:num="2" w:space="708" w:equalWidth="0">
            <w:col w:w="5421" w:space="100"/>
            <w:col w:w="4500" w:space="0"/>
          </w:cols>
          <w:titlePg w:val="0"/>
        </w:sect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79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69" w:line="184" w:lineRule="auto"/>
        <w:ind w:left="378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b/>
          <w:bCs/>
          <w:spacing w:val="-3"/>
          <w:sz w:val="21"/>
          <w:szCs w:val="21"/>
        </w:rPr>
        <w:t>请务必阅读尾页重要声明5</w:t>
      </w:r>
    </w:p>
    <w:p>
      <w:pPr>
        <w:spacing w:line="184" w:lineRule="auto"/>
        <w:rPr>
          <w:rFonts w:ascii="SimSun" w:eastAsia="SimSun" w:hAnsi="SimSun" w:cs="SimSun"/>
          <w:sz w:val="21"/>
          <w:szCs w:val="21"/>
        </w:rPr>
        <w:sectPr>
          <w:headerReference w:type="default" r:id="rId29"/>
          <w:footerReference w:type="default" r:id="rId30"/>
          <w:type w:val="continuous"/>
          <w:pgSz w:w="11910" w:h="16840"/>
          <w:pgMar w:top="400" w:right="1150" w:bottom="400" w:left="739" w:header="0" w:footer="0" w:gutter="0"/>
          <w:pgNumType w:start="9"/>
          <w:cols w:num="1" w:space="708" w:equalWidth="0">
            <w:col w:w="10021" w:space="0"/>
          </w:cols>
        </w:sectPr>
      </w:pPr>
    </w:p>
    <w:p>
      <w:pPr>
        <w:spacing w:line="307" w:lineRule="auto"/>
        <w:rPr>
          <w:rFonts w:ascii="Arial"/>
          <w:sz w:val="21"/>
        </w:rPr>
      </w:pPr>
      <w:r>
        <w:drawing>
          <wp:anchor distT="0" distB="0" distL="0" distR="0" simplePos="0" relativeHeight="251673600" behindDoc="0" locked="0" layoutInCell="0" allowOverlap="1">
            <wp:simplePos x="0" y="0"/>
            <wp:positionH relativeFrom="page">
              <wp:posOffset>532500</wp:posOffset>
            </wp:positionH>
            <wp:positionV relativeFrom="page">
              <wp:posOffset>586571</wp:posOffset>
            </wp:positionV>
            <wp:extent cx="870479" cy="254846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0479" cy="254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08" w:lineRule="auto"/>
        <w:rPr>
          <w:rFonts w:ascii="Arial"/>
          <w:sz w:val="21"/>
        </w:rPr>
      </w:pPr>
    </w:p>
    <w:p>
      <w:pPr>
        <w:pStyle w:val="BodyText"/>
        <w:spacing w:before="78" w:line="217" w:lineRule="auto"/>
        <w:ind w:left="3717"/>
        <w:outlineLvl w:val="0"/>
        <w:rPr>
          <w:sz w:val="24"/>
          <w:szCs w:val="24"/>
        </w:rPr>
      </w:pPr>
      <w:r>
        <w:rPr>
          <w:rFonts w:ascii="Arial" w:eastAsia="Arial" w:hAnsi="Arial" w:cs="Arial"/>
          <w:b/>
          <w:bCs/>
          <w:spacing w:val="-3"/>
          <w:sz w:val="24"/>
          <w:szCs w:val="24"/>
        </w:rPr>
        <w:t xml:space="preserve">1.2  </w:t>
      </w:r>
      <w:r>
        <w:rPr>
          <w:b/>
          <w:bCs/>
          <w:spacing w:val="-3"/>
          <w:sz w:val="24"/>
          <w:szCs w:val="24"/>
        </w:rPr>
        <w:t>个股行情</w:t>
      </w:r>
    </w:p>
    <w:p>
      <w:pPr>
        <w:pStyle w:val="BodyText"/>
        <w:spacing w:before="257" w:line="266" w:lineRule="auto"/>
        <w:ind w:left="3702" w:right="466" w:firstLine="427"/>
      </w:pPr>
      <w:r>
        <w:rPr>
          <w:spacing w:val="3"/>
        </w:rPr>
        <w:t>过去一周（2024.2.26-2024.3.1</w:t>
      </w:r>
      <w:r>
        <w:rPr>
          <w:spacing w:val="-10"/>
        </w:rPr>
        <w:t>）</w:t>
      </w:r>
      <w:r>
        <w:rPr>
          <w:spacing w:val="-60"/>
        </w:rPr>
        <w:t xml:space="preserve"> </w:t>
      </w:r>
      <w:r>
        <w:rPr>
          <w:spacing w:val="-10"/>
        </w:rPr>
        <w:t>，</w:t>
      </w:r>
      <w:r>
        <w:rPr>
          <w:spacing w:val="-59"/>
        </w:rPr>
        <w:t xml:space="preserve"> </w:t>
      </w:r>
      <w:r>
        <w:rPr>
          <w:spacing w:val="3"/>
        </w:rPr>
        <w:t>中信机械个股中，涨幅</w:t>
      </w:r>
      <w:r>
        <w:t xml:space="preserve"> </w:t>
      </w:r>
      <w:r>
        <w:rPr>
          <w:spacing w:val="-1"/>
        </w:rPr>
        <w:t>排名前</w:t>
      </w:r>
      <w:r>
        <w:rPr>
          <w:spacing w:val="-1"/>
        </w:rPr>
        <w:t xml:space="preserve"> </w:t>
      </w:r>
      <w:r>
        <w:rPr>
          <w:spacing w:val="-1"/>
        </w:rPr>
        <w:t>10</w:t>
      </w:r>
      <w:r>
        <w:rPr>
          <w:spacing w:val="-1"/>
        </w:rPr>
        <w:t xml:space="preserve"> </w:t>
      </w:r>
      <w:r>
        <w:rPr>
          <w:spacing w:val="-1"/>
        </w:rPr>
        <w:t>的个股分别是：东方精工+61.29%、华研精机+47.42</w:t>
      </w:r>
      <w:r>
        <w:rPr>
          <w:spacing w:val="-2"/>
        </w:rPr>
        <w:t>%、</w:t>
      </w:r>
    </w:p>
    <w:p>
      <w:pPr>
        <w:pStyle w:val="BodyText"/>
        <w:spacing w:before="112" w:line="292" w:lineRule="auto"/>
        <w:ind w:left="3702" w:right="264" w:firstLine="7"/>
      </w:pPr>
      <w:r>
        <w:rPr>
          <w:spacing w:val="2"/>
        </w:rPr>
        <w:t>达意隆+44.42%、罗博特科+43.75%、天永智能+37.75%、密</w:t>
      </w:r>
      <w:r>
        <w:rPr>
          <w:spacing w:val="1"/>
        </w:rPr>
        <w:t>封科技</w:t>
      </w:r>
      <w:r>
        <w:rPr>
          <w:spacing w:val="1"/>
        </w:rPr>
        <w:t xml:space="preserve">  </w:t>
      </w:r>
      <w:r>
        <w:rPr>
          <w:spacing w:val="4"/>
        </w:rPr>
        <w:t>+36.57%、博杰股份+32.03%、怡合达+31.26%、厚普股份+30.9</w:t>
      </w:r>
      <w:r>
        <w:rPr>
          <w:spacing w:val="3"/>
        </w:rPr>
        <w:t>4%、</w:t>
      </w:r>
      <w:r>
        <w:t xml:space="preserve"> </w:t>
      </w:r>
      <w:r>
        <w:rPr>
          <w:spacing w:val="9"/>
        </w:rPr>
        <w:t>蓝英装备+30.53%；跌幅排名前</w:t>
      </w:r>
      <w:r>
        <w:rPr>
          <w:spacing w:val="9"/>
        </w:rPr>
        <w:t xml:space="preserve"> </w:t>
      </w:r>
      <w:r>
        <w:rPr>
          <w:spacing w:val="9"/>
        </w:rPr>
        <w:t>10</w:t>
      </w:r>
      <w:r>
        <w:rPr>
          <w:spacing w:val="50"/>
        </w:rPr>
        <w:t xml:space="preserve"> </w:t>
      </w:r>
      <w:r>
        <w:rPr>
          <w:spacing w:val="9"/>
        </w:rPr>
        <w:t>的个股分别是：</w:t>
      </w:r>
      <w:r>
        <w:rPr>
          <w:spacing w:val="-62"/>
        </w:rPr>
        <w:t xml:space="preserve"> </w:t>
      </w:r>
      <w:r>
        <w:rPr>
          <w:spacing w:val="9"/>
        </w:rPr>
        <w:t>蓝科高新-</w:t>
      </w:r>
      <w:r>
        <w:rPr>
          <w:spacing w:val="9"/>
        </w:rPr>
        <w:t xml:space="preserve">  </w:t>
      </w:r>
      <w:r>
        <w:rPr>
          <w:spacing w:val="2"/>
        </w:rPr>
        <w:t>16.88%、</w:t>
      </w:r>
      <w:r>
        <w:t>ST</w:t>
      </w:r>
      <w:r>
        <w:rPr>
          <w:spacing w:val="2"/>
        </w:rPr>
        <w:t xml:space="preserve"> </w:t>
      </w:r>
      <w:r>
        <w:rPr>
          <w:spacing w:val="2"/>
        </w:rPr>
        <w:t>瑞德-11.73%、景业智能-10.56%、正业科技-7.23%、</w:t>
      </w:r>
    </w:p>
    <w:p>
      <w:pPr>
        <w:pStyle w:val="BodyText"/>
        <w:spacing w:before="112" w:line="269" w:lineRule="auto"/>
        <w:ind w:left="3701" w:right="443" w:firstLine="29"/>
      </w:pPr>
      <w:r>
        <w:rPr>
          <w:spacing w:val="4"/>
        </w:rPr>
        <w:t>中重科技-7.07%、</w:t>
      </w:r>
      <w:r>
        <w:t>ST</w:t>
      </w:r>
      <w:r>
        <w:rPr>
          <w:spacing w:val="39"/>
        </w:rPr>
        <w:t xml:space="preserve"> </w:t>
      </w:r>
      <w:r>
        <w:rPr>
          <w:spacing w:val="4"/>
        </w:rPr>
        <w:t>中捷-6.98%、创新新材</w:t>
      </w:r>
      <w:r>
        <w:rPr>
          <w:spacing w:val="3"/>
        </w:rPr>
        <w:t>-6.14%、坤恒顺维-</w:t>
      </w:r>
      <w:r>
        <w:t xml:space="preserve"> </w:t>
      </w:r>
      <w:r>
        <w:t>5.82%、爱司凯-5.68%、安车检测-5.2</w:t>
      </w:r>
      <w:r>
        <w:rPr>
          <w:spacing w:val="-1"/>
        </w:rPr>
        <w:t>8%。</w:t>
      </w:r>
    </w:p>
    <w:p>
      <w:pPr>
        <w:spacing w:line="306" w:lineRule="auto"/>
        <w:rPr>
          <w:rFonts w:ascii="Arial"/>
          <w:sz w:val="21"/>
        </w:rPr>
      </w:pPr>
    </w:p>
    <w:p>
      <w:pPr>
        <w:pStyle w:val="BodyText"/>
        <w:spacing w:before="58" w:line="217" w:lineRule="auto"/>
        <w:ind w:left="796"/>
        <w:rPr>
          <w:sz w:val="18"/>
          <w:szCs w:val="18"/>
        </w:rPr>
      </w:pPr>
      <w:r>
        <w:rPr>
          <w:b/>
          <w:bCs/>
          <w:spacing w:val="-3"/>
          <w:sz w:val="18"/>
          <w:szCs w:val="18"/>
        </w:rPr>
        <w:t>表</w:t>
      </w:r>
      <w:r>
        <w:rPr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18"/>
          <w:szCs w:val="18"/>
        </w:rPr>
        <w:t>1</w:t>
      </w:r>
      <w:r>
        <w:rPr>
          <w:b/>
          <w:bCs/>
          <w:spacing w:val="-3"/>
          <w:sz w:val="18"/>
          <w:szCs w:val="18"/>
        </w:rPr>
        <w:t>：中信机械个股涨跌幅前十名</w:t>
      </w:r>
    </w:p>
    <w:p>
      <w:pPr>
        <w:spacing w:line="15" w:lineRule="exact"/>
      </w:pPr>
    </w:p>
    <w:tbl>
      <w:tblPr>
        <w:tblStyle w:val="TableNormal1"/>
        <w:tblW w:w="9541" w:type="dxa"/>
        <w:tblInd w:w="68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10"/>
        <w:gridCol w:w="1181"/>
        <w:gridCol w:w="1441"/>
        <w:gridCol w:w="1440"/>
        <w:gridCol w:w="720"/>
        <w:gridCol w:w="1169"/>
        <w:gridCol w:w="1440"/>
        <w:gridCol w:w="1440"/>
      </w:tblGrid>
      <w:tr>
        <w:tblPrEx>
          <w:tblW w:w="9541" w:type="dxa"/>
          <w:tblInd w:w="68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71"/>
        </w:trPr>
        <w:tc>
          <w:tcPr>
            <w:tcW w:w="710" w:type="dxa"/>
            <w:tcBorders>
              <w:top w:val="single" w:sz="2" w:space="0" w:color="FF0000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71" w:lineRule="exact"/>
            </w:pPr>
            <w:r>
              <w:rPr>
                <w:position w:val="-6"/>
              </w:rPr>
              <w:pict>
                <v:shape id="_x0000_i1029" type="#_x0000_t202" style="width:35.55pt;height:14.2pt;mso-position-horizontal-relative:char;mso-position-vertical-relative:line" filled="t" fillcolor="#bfbfbf" stroked="f">
                  <o:lock v:ext="edit" aspectratio="f"/>
                  <v:textbox inset="0,0,0,0">
                    <w:txbxContent>
                      <w:p>
                        <w:pPr>
                          <w:spacing w:before="34" w:line="216" w:lineRule="auto"/>
                          <w:ind w:left="145"/>
                          <w:rPr>
                            <w:rFonts w:ascii="KaiTi" w:eastAsia="KaiTi" w:hAnsi="KaiTi" w:cs="KaiT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KaiTi" w:eastAsia="KaiTi" w:hAnsi="KaiTi" w:cs="KaiTi"/>
                            <w:b/>
                            <w:bCs/>
                            <w:spacing w:val="-3"/>
                            <w:sz w:val="21"/>
                            <w:szCs w:val="21"/>
                          </w:rPr>
                          <w:t>排序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  <w:tc>
          <w:tcPr>
            <w:tcW w:w="1181" w:type="dxa"/>
            <w:tcBorders>
              <w:top w:val="single" w:sz="2" w:space="0" w:color="FF0000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71" w:lineRule="exact"/>
            </w:pPr>
            <w:r>
              <w:rPr>
                <w:position w:val="-6"/>
              </w:rPr>
              <w:pict>
                <v:shape id="_x0000_i1030" type="#_x0000_t202" style="width:59.05pt;height:14.2pt;mso-position-horizontal-relative:char;mso-position-vertical-relative:line" filled="t" fillcolor="#bfbfbf" stroked="f">
                  <o:lock v:ext="edit" aspectratio="f"/>
                  <v:textbox inset="0,0,0,0">
                    <w:txbxContent>
                      <w:p>
                        <w:pPr>
                          <w:spacing w:before="34" w:line="216" w:lineRule="auto"/>
                          <w:ind w:left="172"/>
                          <w:rPr>
                            <w:rFonts w:ascii="KaiTi" w:eastAsia="KaiTi" w:hAnsi="KaiTi" w:cs="KaiT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KaiTi" w:eastAsia="KaiTi" w:hAnsi="KaiTi" w:cs="KaiTi"/>
                            <w:b/>
                            <w:bCs/>
                            <w:spacing w:val="-3"/>
                            <w:sz w:val="21"/>
                            <w:szCs w:val="21"/>
                          </w:rPr>
                          <w:t>股票简称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  <w:tc>
          <w:tcPr>
            <w:tcW w:w="1441" w:type="dxa"/>
            <w:tcBorders>
              <w:top w:val="single" w:sz="2" w:space="0" w:color="FF0000"/>
            </w:tcBorders>
            <w:vAlign w:val="top"/>
          </w:tcPr>
          <w:p>
            <w:pPr>
              <w:spacing w:before="41" w:line="219" w:lineRule="auto"/>
              <w:ind w:left="86"/>
              <w:rPr>
                <w:rFonts w:ascii="KaiTi" w:eastAsia="KaiTi" w:hAnsi="KaiTi" w:cs="KaiTi"/>
                <w:sz w:val="21"/>
                <w:szCs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70528" behindDoc="1" locked="0" layoutInCell="1" allowOverlap="1">
                      <wp:simplePos x="0" y="0"/>
                      <wp:positionH relativeFrom="column">
                        <wp:posOffset>-1200784</wp:posOffset>
                      </wp:positionH>
                      <wp:positionV relativeFrom="paragraph">
                        <wp:posOffset>2608</wp:posOffset>
                      </wp:positionV>
                      <wp:extent cx="3030220" cy="181610"/>
                      <wp:effectExtent l="0" t="0" r="0" b="0"/>
                      <wp:wrapNone/>
                      <wp:docPr id="32" name="Rec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-1200784" y="2608"/>
                                <a:ext cx="3030220" cy="181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32" o:spid="_x0000_s1031" style="width:238.6pt;height:14.3pt;margin-top:0.21pt;margin-left:-94.55pt;mso-wrap-distance-bottom:0;mso-wrap-distance-left:0;mso-wrap-distance-right:0;mso-wrap-distance-top:0;position:absolute;v-text-anchor:top;z-index:-251646976" fillcolor="#bfbfbf" stroked="f"/>
                  </w:pict>
                </mc:Fallback>
              </mc:AlternateContent>
            </w:r>
            <w:r>
              <w:rPr>
                <w:rFonts w:ascii="KaiTi" w:eastAsia="KaiTi" w:hAnsi="KaiTi" w:cs="KaiTi"/>
                <w:b/>
                <w:bCs/>
                <w:spacing w:val="-4"/>
                <w:sz w:val="21"/>
                <w:szCs w:val="21"/>
              </w:rPr>
              <w:t>涨幅前十</w:t>
            </w:r>
          </w:p>
          <w:p>
            <w:pPr>
              <w:spacing w:line="270" w:lineRule="exact"/>
            </w:pPr>
            <w:r>
              <w:rPr>
                <w:position w:val="-6"/>
              </w:rPr>
              <w:pict>
                <v:shape id="_x0000_i1032" type="#_x0000_t202" style="width:72.05pt;height:14.2pt;mso-position-horizontal-relative:char;mso-position-vertical-relative:line" filled="t" fillcolor="#bfbfbf" stroked="f">
                  <o:lock v:ext="edit" aspectratio="f"/>
                  <v:textbox inset="0,0,0,0">
                    <w:txbxContent>
                      <w:p>
                        <w:pPr>
                          <w:spacing w:before="34" w:line="220" w:lineRule="auto"/>
                          <w:ind w:left="304"/>
                          <w:rPr>
                            <w:rFonts w:ascii="KaiTi" w:eastAsia="KaiTi" w:hAnsi="KaiTi" w:cs="KaiT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KaiTi" w:eastAsia="KaiTi" w:hAnsi="KaiTi" w:cs="KaiTi"/>
                            <w:b/>
                            <w:bCs/>
                            <w:spacing w:val="-3"/>
                            <w:sz w:val="21"/>
                            <w:szCs w:val="21"/>
                          </w:rPr>
                          <w:t>周涨跌幅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  <w:tc>
          <w:tcPr>
            <w:tcW w:w="1440" w:type="dxa"/>
            <w:tcBorders>
              <w:top w:val="single" w:sz="2" w:space="0" w:color="FF0000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71" w:lineRule="exact"/>
            </w:pPr>
            <w:r>
              <w:rPr>
                <w:position w:val="-6"/>
              </w:rPr>
              <w:pict>
                <v:shape id="_x0000_i1033" type="#_x0000_t202" style="width:1in;height:14.2pt;mso-position-horizontal-relative:char;mso-position-vertical-relative:line" filled="t" fillcolor="#bfbfbf" stroked="f">
                  <o:lock v:ext="edit" aspectratio="f"/>
                  <v:textbox inset="0,0,0,0">
                    <w:txbxContent>
                      <w:p>
                        <w:pPr>
                          <w:spacing w:before="35" w:line="218" w:lineRule="auto"/>
                          <w:ind w:left="304"/>
                          <w:rPr>
                            <w:rFonts w:ascii="KaiTi" w:eastAsia="KaiTi" w:hAnsi="KaiTi" w:cs="KaiT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KaiTi" w:eastAsia="KaiTi" w:hAnsi="KaiTi" w:cs="KaiTi"/>
                            <w:b/>
                            <w:bCs/>
                            <w:spacing w:val="-3"/>
                            <w:sz w:val="21"/>
                            <w:szCs w:val="21"/>
                          </w:rPr>
                          <w:t>周换手率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  <w:tc>
          <w:tcPr>
            <w:tcW w:w="720" w:type="dxa"/>
            <w:tcBorders>
              <w:top w:val="single" w:sz="2" w:space="0" w:color="FF0000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71" w:lineRule="exact"/>
            </w:pPr>
            <w:r>
              <w:rPr>
                <w:position w:val="-6"/>
              </w:rPr>
              <w:pict>
                <v:shape id="_x0000_i1034" type="#_x0000_t202" style="width:36.05pt;height:14.2pt;mso-position-horizontal-relative:char;mso-position-vertical-relative:line" filled="t" fillcolor="#bfbfbf" stroked="f">
                  <o:lock v:ext="edit" aspectratio="f"/>
                  <v:textbox inset="0,0,0,0">
                    <w:txbxContent>
                      <w:p>
                        <w:pPr>
                          <w:spacing w:before="34" w:line="216" w:lineRule="auto"/>
                          <w:ind w:left="153"/>
                          <w:rPr>
                            <w:rFonts w:ascii="KaiTi" w:eastAsia="KaiTi" w:hAnsi="KaiTi" w:cs="KaiT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KaiTi" w:eastAsia="KaiTi" w:hAnsi="KaiTi" w:cs="KaiTi"/>
                            <w:b/>
                            <w:bCs/>
                            <w:spacing w:val="-3"/>
                            <w:sz w:val="21"/>
                            <w:szCs w:val="21"/>
                          </w:rPr>
                          <w:t>排序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  <w:tc>
          <w:tcPr>
            <w:tcW w:w="1169" w:type="dxa"/>
            <w:tcBorders>
              <w:top w:val="single" w:sz="2" w:space="0" w:color="FF0000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71" w:lineRule="exact"/>
            </w:pPr>
            <w:r>
              <w:rPr>
                <w:position w:val="-6"/>
              </w:rPr>
              <w:pict>
                <v:shape id="_x0000_i1035" type="#_x0000_t202" style="width:58.45pt;height:14.2pt;mso-position-horizontal-relative:char;mso-position-vertical-relative:line" filled="t" fillcolor="#bfbfbf" stroked="f">
                  <o:lock v:ext="edit" aspectratio="f"/>
                  <v:textbox inset="0,0,0,0">
                    <w:txbxContent>
                      <w:p>
                        <w:pPr>
                          <w:spacing w:before="34" w:line="216" w:lineRule="auto"/>
                          <w:ind w:left="167"/>
                          <w:rPr>
                            <w:rFonts w:ascii="KaiTi" w:eastAsia="KaiTi" w:hAnsi="KaiTi" w:cs="KaiT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KaiTi" w:eastAsia="KaiTi" w:hAnsi="KaiTi" w:cs="KaiTi"/>
                            <w:b/>
                            <w:bCs/>
                            <w:spacing w:val="-3"/>
                            <w:sz w:val="21"/>
                            <w:szCs w:val="21"/>
                          </w:rPr>
                          <w:t>股票简称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  <w:tc>
          <w:tcPr>
            <w:tcW w:w="1440" w:type="dxa"/>
            <w:tcBorders>
              <w:top w:val="single" w:sz="2" w:space="0" w:color="FF0000"/>
            </w:tcBorders>
            <w:vAlign w:val="top"/>
          </w:tcPr>
          <w:p>
            <w:pPr>
              <w:spacing w:before="41" w:line="219" w:lineRule="auto"/>
              <w:ind w:left="78"/>
              <w:rPr>
                <w:rFonts w:ascii="KaiTi" w:eastAsia="KaiTi" w:hAnsi="KaiTi" w:cs="KaiTi"/>
                <w:sz w:val="21"/>
                <w:szCs w:val="21"/>
              </w:rPr>
            </w:pPr>
            <w:r>
              <mc:AlternateContent>
                <mc:Choice Requires="wps">
                  <w:drawing>
                    <wp:anchor distT="0" distB="0" distL="0" distR="0" simplePos="0" relativeHeight="251672576" behindDoc="1" locked="0" layoutInCell="1" allowOverlap="1">
                      <wp:simplePos x="0" y="0"/>
                      <wp:positionH relativeFrom="column">
                        <wp:posOffset>-1199692</wp:posOffset>
                      </wp:positionH>
                      <wp:positionV relativeFrom="paragraph">
                        <wp:posOffset>2608</wp:posOffset>
                      </wp:positionV>
                      <wp:extent cx="3028950" cy="181610"/>
                      <wp:effectExtent l="0" t="0" r="0" b="0"/>
                      <wp:wrapNone/>
                      <wp:docPr id="34" name="Rec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-1199692" y="2608"/>
                                <a:ext cx="3028950" cy="181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FBFBF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 34" o:spid="_x0000_s1036" style="width:238.5pt;height:14.3pt;margin-top:0.21pt;margin-left:-94.46pt;mso-wrap-distance-bottom:0;mso-wrap-distance-left:0;mso-wrap-distance-right:0;mso-wrap-distance-top:0;position:absolute;v-text-anchor:top;z-index:-251644928" fillcolor="#bfbfbf" stroked="f"/>
                  </w:pict>
                </mc:Fallback>
              </mc:AlternateContent>
            </w:r>
            <w:r>
              <w:rPr>
                <w:rFonts w:ascii="KaiTi" w:eastAsia="KaiTi" w:hAnsi="KaiTi" w:cs="KaiTi"/>
                <w:b/>
                <w:bCs/>
                <w:spacing w:val="-3"/>
                <w:sz w:val="21"/>
                <w:szCs w:val="21"/>
              </w:rPr>
              <w:t>跌幅前十</w:t>
            </w:r>
          </w:p>
          <w:p>
            <w:pPr>
              <w:spacing w:line="270" w:lineRule="exact"/>
            </w:pPr>
            <w:r>
              <w:rPr>
                <w:position w:val="-6"/>
              </w:rPr>
              <w:pict>
                <v:shape id="_x0000_i1037" type="#_x0000_t202" style="width:72.05pt;height:14.2pt;mso-position-horizontal-relative:char;mso-position-vertical-relative:line" filled="t" fillcolor="#bfbfbf" stroked="f">
                  <o:lock v:ext="edit" aspectratio="f"/>
                  <v:textbox inset="0,0,0,0">
                    <w:txbxContent>
                      <w:p>
                        <w:pPr>
                          <w:spacing w:before="34" w:line="220" w:lineRule="auto"/>
                          <w:ind w:left="304"/>
                          <w:rPr>
                            <w:rFonts w:ascii="KaiTi" w:eastAsia="KaiTi" w:hAnsi="KaiTi" w:cs="KaiT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KaiTi" w:eastAsia="KaiTi" w:hAnsi="KaiTi" w:cs="KaiTi"/>
                            <w:b/>
                            <w:bCs/>
                            <w:spacing w:val="-3"/>
                            <w:sz w:val="21"/>
                            <w:szCs w:val="21"/>
                          </w:rPr>
                          <w:t>周涨跌幅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  <w:tc>
          <w:tcPr>
            <w:tcW w:w="1440" w:type="dxa"/>
            <w:tcBorders>
              <w:top w:val="single" w:sz="2" w:space="0" w:color="FF0000"/>
            </w:tcBorders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</w:p>
          <w:p>
            <w:pPr>
              <w:spacing w:line="271" w:lineRule="exact"/>
            </w:pPr>
            <w:r>
              <w:rPr>
                <w:position w:val="-6"/>
              </w:rPr>
              <w:pict>
                <v:shape id="_x0000_i1038" type="#_x0000_t202" style="width:1in;height:14.2pt;mso-position-horizontal-relative:char;mso-position-vertical-relative:line" filled="t" fillcolor="#bfbfbf" stroked="f">
                  <o:lock v:ext="edit" aspectratio="f"/>
                  <v:textbox inset="0,0,0,0">
                    <w:txbxContent>
                      <w:p>
                        <w:pPr>
                          <w:spacing w:before="35" w:line="218" w:lineRule="auto"/>
                          <w:ind w:left="304"/>
                          <w:rPr>
                            <w:rFonts w:ascii="KaiTi" w:eastAsia="KaiTi" w:hAnsi="KaiTi" w:cs="KaiTi"/>
                            <w:sz w:val="21"/>
                            <w:szCs w:val="21"/>
                          </w:rPr>
                        </w:pPr>
                        <w:r>
                          <w:rPr>
                            <w:rFonts w:ascii="KaiTi" w:eastAsia="KaiTi" w:hAnsi="KaiTi" w:cs="KaiTi"/>
                            <w:b/>
                            <w:bCs/>
                            <w:spacing w:val="-3"/>
                            <w:sz w:val="21"/>
                            <w:szCs w:val="21"/>
                          </w:rPr>
                          <w:t>周换手率</w:t>
                        </w:r>
                      </w:p>
                    </w:txbxContent>
                  </v:textbox>
                  <w10:wrap type="none"/>
                </v:shape>
              </w:pict>
            </w:r>
          </w:p>
        </w:tc>
      </w:tr>
      <w:tr>
        <w:tblPrEx>
          <w:tblW w:w="9541" w:type="dxa"/>
          <w:tblInd w:w="685" w:type="dxa"/>
          <w:tblLayout w:type="fixed"/>
        </w:tblPrEx>
        <w:trPr>
          <w:trHeight w:val="284"/>
        </w:trPr>
        <w:tc>
          <w:tcPr>
            <w:tcW w:w="710" w:type="dxa"/>
            <w:vAlign w:val="top"/>
          </w:tcPr>
          <w:p>
            <w:pPr>
              <w:spacing w:before="45" w:line="197" w:lineRule="auto"/>
              <w:ind w:left="318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1</w:t>
            </w:r>
          </w:p>
        </w:tc>
        <w:tc>
          <w:tcPr>
            <w:tcW w:w="1181" w:type="dxa"/>
            <w:vAlign w:val="top"/>
          </w:tcPr>
          <w:p>
            <w:pPr>
              <w:spacing w:before="35" w:line="200" w:lineRule="auto"/>
              <w:ind w:left="179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6"/>
                <w:sz w:val="22"/>
                <w:szCs w:val="22"/>
              </w:rPr>
              <w:t>东方精工</w:t>
            </w:r>
          </w:p>
        </w:tc>
        <w:tc>
          <w:tcPr>
            <w:tcW w:w="1441" w:type="dxa"/>
            <w:vAlign w:val="top"/>
          </w:tcPr>
          <w:p>
            <w:pPr>
              <w:spacing w:before="70" w:line="171" w:lineRule="auto"/>
              <w:ind w:left="396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61.29%</w:t>
            </w:r>
          </w:p>
        </w:tc>
        <w:tc>
          <w:tcPr>
            <w:tcW w:w="1440" w:type="dxa"/>
            <w:vAlign w:val="top"/>
          </w:tcPr>
          <w:p>
            <w:pPr>
              <w:spacing w:before="70" w:line="171" w:lineRule="auto"/>
              <w:ind w:left="395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28.51%</w:t>
            </w:r>
          </w:p>
        </w:tc>
        <w:tc>
          <w:tcPr>
            <w:tcW w:w="720" w:type="dxa"/>
            <w:vAlign w:val="top"/>
          </w:tcPr>
          <w:p>
            <w:pPr>
              <w:spacing w:before="72" w:line="169" w:lineRule="auto"/>
              <w:ind w:left="324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z w:val="22"/>
                <w:szCs w:val="22"/>
              </w:rPr>
              <w:t>1</w:t>
            </w:r>
          </w:p>
        </w:tc>
        <w:tc>
          <w:tcPr>
            <w:tcW w:w="1169" w:type="dxa"/>
            <w:vAlign w:val="top"/>
          </w:tcPr>
          <w:p>
            <w:pPr>
              <w:spacing w:before="35" w:line="200" w:lineRule="auto"/>
              <w:ind w:left="152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蓝科高新</w:t>
            </w:r>
          </w:p>
        </w:tc>
        <w:tc>
          <w:tcPr>
            <w:tcW w:w="1440" w:type="dxa"/>
            <w:vAlign w:val="top"/>
          </w:tcPr>
          <w:p>
            <w:pPr>
              <w:spacing w:before="72" w:line="169" w:lineRule="auto"/>
              <w:ind w:left="33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-16.88%</w:t>
            </w:r>
          </w:p>
        </w:tc>
        <w:tc>
          <w:tcPr>
            <w:tcW w:w="1440" w:type="dxa"/>
            <w:vAlign w:val="top"/>
          </w:tcPr>
          <w:p>
            <w:pPr>
              <w:spacing w:before="70" w:line="171" w:lineRule="auto"/>
              <w:ind w:left="39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65.30%</w:t>
            </w:r>
          </w:p>
        </w:tc>
      </w:tr>
      <w:tr>
        <w:tblPrEx>
          <w:tblW w:w="9541" w:type="dxa"/>
          <w:tblInd w:w="685" w:type="dxa"/>
          <w:tblLayout w:type="fixed"/>
        </w:tblPrEx>
        <w:trPr>
          <w:trHeight w:val="287"/>
        </w:trPr>
        <w:tc>
          <w:tcPr>
            <w:tcW w:w="710" w:type="dxa"/>
            <w:vAlign w:val="top"/>
          </w:tcPr>
          <w:p>
            <w:pPr>
              <w:spacing w:before="44" w:line="197" w:lineRule="auto"/>
              <w:ind w:left="301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spacing w:before="37" w:line="201" w:lineRule="auto"/>
              <w:ind w:left="166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华研精机</w:t>
            </w:r>
          </w:p>
        </w:tc>
        <w:tc>
          <w:tcPr>
            <w:tcW w:w="1441" w:type="dxa"/>
            <w:vAlign w:val="top"/>
          </w:tcPr>
          <w:p>
            <w:pPr>
              <w:spacing w:before="72" w:line="172" w:lineRule="auto"/>
              <w:ind w:left="391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47.42%</w:t>
            </w:r>
          </w:p>
        </w:tc>
        <w:tc>
          <w:tcPr>
            <w:tcW w:w="1440" w:type="dxa"/>
            <w:vAlign w:val="top"/>
          </w:tcPr>
          <w:p>
            <w:pPr>
              <w:spacing w:before="73" w:line="171" w:lineRule="auto"/>
              <w:ind w:left="35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190.46%</w:t>
            </w:r>
          </w:p>
        </w:tc>
        <w:tc>
          <w:tcPr>
            <w:tcW w:w="720" w:type="dxa"/>
            <w:vAlign w:val="top"/>
          </w:tcPr>
          <w:p>
            <w:pPr>
              <w:spacing w:before="72" w:line="172" w:lineRule="auto"/>
              <w:ind w:left="311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z w:val="22"/>
                <w:szCs w:val="22"/>
              </w:rPr>
              <w:t>2</w:t>
            </w:r>
          </w:p>
        </w:tc>
        <w:tc>
          <w:tcPr>
            <w:tcW w:w="1169" w:type="dxa"/>
            <w:vAlign w:val="top"/>
          </w:tcPr>
          <w:p>
            <w:pPr>
              <w:spacing w:before="37" w:line="201" w:lineRule="auto"/>
              <w:ind w:left="23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ST</w:t>
            </w:r>
            <w:r>
              <w:rPr>
                <w:rFonts w:ascii="KaiTi" w:eastAsia="KaiTi" w:hAnsi="KaiTi" w:cs="KaiTi"/>
                <w:spacing w:val="-45"/>
                <w:sz w:val="22"/>
                <w:szCs w:val="22"/>
              </w:rPr>
              <w:t xml:space="preserve"> </w:t>
            </w: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瑞德</w:t>
            </w:r>
          </w:p>
        </w:tc>
        <w:tc>
          <w:tcPr>
            <w:tcW w:w="1440" w:type="dxa"/>
            <w:vAlign w:val="top"/>
          </w:tcPr>
          <w:p>
            <w:pPr>
              <w:spacing w:before="72" w:line="172" w:lineRule="auto"/>
              <w:ind w:left="33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-11.73%</w:t>
            </w:r>
          </w:p>
        </w:tc>
        <w:tc>
          <w:tcPr>
            <w:tcW w:w="1440" w:type="dxa"/>
            <w:vAlign w:val="top"/>
          </w:tcPr>
          <w:p>
            <w:pPr>
              <w:spacing w:before="73" w:line="171" w:lineRule="auto"/>
              <w:ind w:left="454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7.99%</w:t>
            </w:r>
          </w:p>
        </w:tc>
      </w:tr>
      <w:tr>
        <w:tblPrEx>
          <w:tblW w:w="9541" w:type="dxa"/>
          <w:tblInd w:w="685" w:type="dxa"/>
          <w:tblLayout w:type="fixed"/>
        </w:tblPrEx>
        <w:trPr>
          <w:trHeight w:val="282"/>
        </w:trPr>
        <w:tc>
          <w:tcPr>
            <w:tcW w:w="710" w:type="dxa"/>
            <w:vAlign w:val="top"/>
          </w:tcPr>
          <w:p>
            <w:pPr>
              <w:spacing w:before="43" w:line="197" w:lineRule="auto"/>
              <w:ind w:left="304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3</w:t>
            </w:r>
          </w:p>
        </w:tc>
        <w:tc>
          <w:tcPr>
            <w:tcW w:w="1181" w:type="dxa"/>
            <w:vAlign w:val="top"/>
          </w:tcPr>
          <w:p>
            <w:pPr>
              <w:spacing w:before="36" w:line="198" w:lineRule="auto"/>
              <w:ind w:left="271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达意隆</w:t>
            </w:r>
          </w:p>
        </w:tc>
        <w:tc>
          <w:tcPr>
            <w:tcW w:w="1441" w:type="dxa"/>
            <w:vAlign w:val="top"/>
          </w:tcPr>
          <w:p>
            <w:pPr>
              <w:spacing w:before="70" w:line="169" w:lineRule="auto"/>
              <w:ind w:left="391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44.42%</w:t>
            </w:r>
          </w:p>
        </w:tc>
        <w:tc>
          <w:tcPr>
            <w:tcW w:w="1440" w:type="dxa"/>
            <w:vAlign w:val="top"/>
          </w:tcPr>
          <w:p>
            <w:pPr>
              <w:spacing w:before="70" w:line="169" w:lineRule="auto"/>
              <w:ind w:left="39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35.39%</w:t>
            </w:r>
          </w:p>
        </w:tc>
        <w:tc>
          <w:tcPr>
            <w:tcW w:w="720" w:type="dxa"/>
            <w:vAlign w:val="top"/>
          </w:tcPr>
          <w:p>
            <w:pPr>
              <w:spacing w:before="70" w:line="169" w:lineRule="auto"/>
              <w:ind w:left="31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z w:val="22"/>
                <w:szCs w:val="22"/>
              </w:rPr>
              <w:t>3</w:t>
            </w:r>
          </w:p>
        </w:tc>
        <w:tc>
          <w:tcPr>
            <w:tcW w:w="1169" w:type="dxa"/>
            <w:vAlign w:val="top"/>
          </w:tcPr>
          <w:p>
            <w:pPr>
              <w:spacing w:before="36" w:line="198" w:lineRule="auto"/>
              <w:ind w:left="155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景业智能</w:t>
            </w:r>
          </w:p>
        </w:tc>
        <w:tc>
          <w:tcPr>
            <w:tcW w:w="1440" w:type="dxa"/>
            <w:vAlign w:val="top"/>
          </w:tcPr>
          <w:p>
            <w:pPr>
              <w:spacing w:before="71" w:line="168" w:lineRule="auto"/>
              <w:ind w:left="33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-10.56%</w:t>
            </w:r>
          </w:p>
        </w:tc>
        <w:tc>
          <w:tcPr>
            <w:tcW w:w="1440" w:type="dxa"/>
            <w:vAlign w:val="top"/>
          </w:tcPr>
          <w:p>
            <w:pPr>
              <w:spacing w:before="70" w:line="169" w:lineRule="auto"/>
              <w:ind w:left="44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9.38%</w:t>
            </w:r>
          </w:p>
        </w:tc>
      </w:tr>
      <w:tr>
        <w:tblPrEx>
          <w:tblW w:w="9541" w:type="dxa"/>
          <w:tblInd w:w="685" w:type="dxa"/>
          <w:tblLayout w:type="fixed"/>
        </w:tblPrEx>
        <w:trPr>
          <w:trHeight w:val="283"/>
        </w:trPr>
        <w:tc>
          <w:tcPr>
            <w:tcW w:w="710" w:type="dxa"/>
            <w:vAlign w:val="top"/>
          </w:tcPr>
          <w:p>
            <w:pPr>
              <w:spacing w:before="46" w:line="197" w:lineRule="auto"/>
              <w:ind w:left="297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4</w:t>
            </w:r>
          </w:p>
        </w:tc>
        <w:tc>
          <w:tcPr>
            <w:tcW w:w="1181" w:type="dxa"/>
            <w:vAlign w:val="top"/>
          </w:tcPr>
          <w:p>
            <w:pPr>
              <w:spacing w:before="37" w:line="198" w:lineRule="auto"/>
              <w:ind w:left="172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4"/>
                <w:sz w:val="22"/>
                <w:szCs w:val="22"/>
              </w:rPr>
              <w:t>罗博特科</w:t>
            </w:r>
          </w:p>
        </w:tc>
        <w:tc>
          <w:tcPr>
            <w:tcW w:w="1441" w:type="dxa"/>
            <w:vAlign w:val="top"/>
          </w:tcPr>
          <w:p>
            <w:pPr>
              <w:spacing w:before="71" w:line="169" w:lineRule="auto"/>
              <w:ind w:left="391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43.75%</w:t>
            </w:r>
          </w:p>
        </w:tc>
        <w:tc>
          <w:tcPr>
            <w:tcW w:w="1440" w:type="dxa"/>
            <w:vAlign w:val="top"/>
          </w:tcPr>
          <w:p>
            <w:pPr>
              <w:spacing w:before="72" w:line="168" w:lineRule="auto"/>
              <w:ind w:left="391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49.15%</w:t>
            </w:r>
          </w:p>
        </w:tc>
        <w:tc>
          <w:tcPr>
            <w:tcW w:w="720" w:type="dxa"/>
            <w:vAlign w:val="top"/>
          </w:tcPr>
          <w:p>
            <w:pPr>
              <w:spacing w:before="73" w:line="167" w:lineRule="auto"/>
              <w:ind w:left="30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z w:val="22"/>
                <w:szCs w:val="22"/>
              </w:rPr>
              <w:t>4</w:t>
            </w:r>
          </w:p>
        </w:tc>
        <w:tc>
          <w:tcPr>
            <w:tcW w:w="1169" w:type="dxa"/>
            <w:vAlign w:val="top"/>
          </w:tcPr>
          <w:p>
            <w:pPr>
              <w:spacing w:before="37" w:line="198" w:lineRule="auto"/>
              <w:ind w:left="15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正业科技</w:t>
            </w:r>
          </w:p>
        </w:tc>
        <w:tc>
          <w:tcPr>
            <w:tcW w:w="1440" w:type="dxa"/>
            <w:vAlign w:val="top"/>
          </w:tcPr>
          <w:p>
            <w:pPr>
              <w:spacing w:before="71" w:line="169" w:lineRule="auto"/>
              <w:ind w:left="39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-7.23%</w:t>
            </w:r>
          </w:p>
        </w:tc>
        <w:tc>
          <w:tcPr>
            <w:tcW w:w="1440" w:type="dxa"/>
            <w:vAlign w:val="top"/>
          </w:tcPr>
          <w:p>
            <w:pPr>
              <w:spacing w:before="71" w:line="169" w:lineRule="auto"/>
              <w:ind w:left="396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29.26%</w:t>
            </w:r>
          </w:p>
        </w:tc>
      </w:tr>
      <w:tr>
        <w:tblPrEx>
          <w:tblW w:w="9541" w:type="dxa"/>
          <w:tblInd w:w="685" w:type="dxa"/>
          <w:tblLayout w:type="fixed"/>
        </w:tblPrEx>
        <w:trPr>
          <w:trHeight w:val="286"/>
        </w:trPr>
        <w:tc>
          <w:tcPr>
            <w:tcW w:w="710" w:type="dxa"/>
            <w:vAlign w:val="top"/>
          </w:tcPr>
          <w:p>
            <w:pPr>
              <w:spacing w:before="52" w:line="194" w:lineRule="auto"/>
              <w:ind w:left="304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5</w:t>
            </w:r>
          </w:p>
        </w:tc>
        <w:tc>
          <w:tcPr>
            <w:tcW w:w="1181" w:type="dxa"/>
            <w:vAlign w:val="top"/>
          </w:tcPr>
          <w:p>
            <w:pPr>
              <w:spacing w:before="40" w:line="198" w:lineRule="auto"/>
              <w:ind w:left="16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天永智能</w:t>
            </w:r>
          </w:p>
        </w:tc>
        <w:tc>
          <w:tcPr>
            <w:tcW w:w="1441" w:type="dxa"/>
            <w:vAlign w:val="top"/>
          </w:tcPr>
          <w:p>
            <w:pPr>
              <w:spacing w:before="74" w:line="169" w:lineRule="auto"/>
              <w:ind w:left="39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37.75%</w:t>
            </w:r>
          </w:p>
        </w:tc>
        <w:tc>
          <w:tcPr>
            <w:tcW w:w="1440" w:type="dxa"/>
            <w:vAlign w:val="top"/>
          </w:tcPr>
          <w:p>
            <w:pPr>
              <w:spacing w:before="75" w:line="168" w:lineRule="auto"/>
              <w:ind w:left="391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40.11%</w:t>
            </w:r>
          </w:p>
        </w:tc>
        <w:tc>
          <w:tcPr>
            <w:tcW w:w="720" w:type="dxa"/>
            <w:vAlign w:val="top"/>
          </w:tcPr>
          <w:p>
            <w:pPr>
              <w:spacing w:before="78" w:line="166" w:lineRule="auto"/>
              <w:ind w:left="308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z w:val="22"/>
                <w:szCs w:val="22"/>
              </w:rPr>
              <w:t>5</w:t>
            </w:r>
          </w:p>
        </w:tc>
        <w:tc>
          <w:tcPr>
            <w:tcW w:w="1169" w:type="dxa"/>
            <w:vAlign w:val="top"/>
          </w:tcPr>
          <w:p>
            <w:pPr>
              <w:spacing w:before="40" w:line="198" w:lineRule="auto"/>
              <w:ind w:left="178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6"/>
                <w:sz w:val="22"/>
                <w:szCs w:val="22"/>
              </w:rPr>
              <w:t>中重科技</w:t>
            </w:r>
          </w:p>
        </w:tc>
        <w:tc>
          <w:tcPr>
            <w:tcW w:w="1440" w:type="dxa"/>
            <w:vAlign w:val="top"/>
          </w:tcPr>
          <w:p>
            <w:pPr>
              <w:spacing w:before="75" w:line="168" w:lineRule="auto"/>
              <w:ind w:left="39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-7.07%</w:t>
            </w:r>
          </w:p>
        </w:tc>
        <w:tc>
          <w:tcPr>
            <w:tcW w:w="1440" w:type="dxa"/>
            <w:vAlign w:val="top"/>
          </w:tcPr>
          <w:p>
            <w:pPr>
              <w:spacing w:before="75" w:line="168" w:lineRule="auto"/>
              <w:ind w:left="35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149.70%</w:t>
            </w:r>
          </w:p>
        </w:tc>
      </w:tr>
      <w:tr>
        <w:tblPrEx>
          <w:tblW w:w="9541" w:type="dxa"/>
          <w:tblInd w:w="685" w:type="dxa"/>
          <w:tblLayout w:type="fixed"/>
        </w:tblPrEx>
        <w:trPr>
          <w:trHeight w:val="282"/>
        </w:trPr>
        <w:tc>
          <w:tcPr>
            <w:tcW w:w="710" w:type="dxa"/>
            <w:vAlign w:val="top"/>
          </w:tcPr>
          <w:p>
            <w:pPr>
              <w:spacing w:before="48" w:line="197" w:lineRule="auto"/>
              <w:ind w:left="30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6</w:t>
            </w:r>
          </w:p>
        </w:tc>
        <w:tc>
          <w:tcPr>
            <w:tcW w:w="1181" w:type="dxa"/>
            <w:vAlign w:val="top"/>
          </w:tcPr>
          <w:p>
            <w:pPr>
              <w:spacing w:before="39" w:line="195" w:lineRule="auto"/>
              <w:ind w:left="168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密封科技</w:t>
            </w:r>
          </w:p>
        </w:tc>
        <w:tc>
          <w:tcPr>
            <w:tcW w:w="1441" w:type="dxa"/>
            <w:vAlign w:val="top"/>
          </w:tcPr>
          <w:p>
            <w:pPr>
              <w:spacing w:before="74" w:line="166" w:lineRule="auto"/>
              <w:ind w:left="39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36.57%</w:t>
            </w:r>
          </w:p>
        </w:tc>
        <w:tc>
          <w:tcPr>
            <w:tcW w:w="1440" w:type="dxa"/>
            <w:vAlign w:val="top"/>
          </w:tcPr>
          <w:p>
            <w:pPr>
              <w:spacing w:before="74" w:line="166" w:lineRule="auto"/>
              <w:ind w:left="395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25.77%</w:t>
            </w:r>
          </w:p>
        </w:tc>
        <w:tc>
          <w:tcPr>
            <w:tcW w:w="720" w:type="dxa"/>
            <w:vAlign w:val="top"/>
          </w:tcPr>
          <w:p>
            <w:pPr>
              <w:spacing w:before="75" w:line="165" w:lineRule="auto"/>
              <w:ind w:left="312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z w:val="22"/>
                <w:szCs w:val="22"/>
              </w:rPr>
              <w:t>6</w:t>
            </w:r>
          </w:p>
        </w:tc>
        <w:tc>
          <w:tcPr>
            <w:tcW w:w="1169" w:type="dxa"/>
            <w:vAlign w:val="top"/>
          </w:tcPr>
          <w:p>
            <w:pPr>
              <w:spacing w:before="39" w:line="195" w:lineRule="auto"/>
              <w:ind w:left="23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6"/>
                <w:sz w:val="22"/>
                <w:szCs w:val="22"/>
              </w:rPr>
              <w:t>ST</w:t>
            </w:r>
            <w:r>
              <w:rPr>
                <w:rFonts w:ascii="KaiTi" w:eastAsia="KaiTi" w:hAnsi="KaiTi" w:cs="KaiTi"/>
                <w:spacing w:val="-19"/>
                <w:sz w:val="22"/>
                <w:szCs w:val="22"/>
              </w:rPr>
              <w:t xml:space="preserve"> </w:t>
            </w:r>
            <w:r>
              <w:rPr>
                <w:rFonts w:ascii="KaiTi" w:eastAsia="KaiTi" w:hAnsi="KaiTi" w:cs="KaiTi"/>
                <w:spacing w:val="-6"/>
                <w:sz w:val="22"/>
                <w:szCs w:val="22"/>
              </w:rPr>
              <w:t>中捷</w:t>
            </w:r>
          </w:p>
        </w:tc>
        <w:tc>
          <w:tcPr>
            <w:tcW w:w="1440" w:type="dxa"/>
            <w:vAlign w:val="top"/>
          </w:tcPr>
          <w:p>
            <w:pPr>
              <w:spacing w:before="75" w:line="165" w:lineRule="auto"/>
              <w:ind w:left="39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-6.98%</w:t>
            </w:r>
          </w:p>
        </w:tc>
        <w:tc>
          <w:tcPr>
            <w:tcW w:w="1440" w:type="dxa"/>
            <w:vAlign w:val="top"/>
          </w:tcPr>
          <w:p>
            <w:pPr>
              <w:spacing w:before="74" w:line="166" w:lineRule="auto"/>
              <w:ind w:left="396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20.68%</w:t>
            </w:r>
          </w:p>
        </w:tc>
      </w:tr>
      <w:tr>
        <w:tblPrEx>
          <w:tblW w:w="9541" w:type="dxa"/>
          <w:tblInd w:w="685" w:type="dxa"/>
          <w:tblLayout w:type="fixed"/>
        </w:tblPrEx>
        <w:trPr>
          <w:trHeight w:val="286"/>
        </w:trPr>
        <w:tc>
          <w:tcPr>
            <w:tcW w:w="710" w:type="dxa"/>
            <w:vAlign w:val="top"/>
          </w:tcPr>
          <w:p>
            <w:pPr>
              <w:spacing w:before="54" w:line="195" w:lineRule="auto"/>
              <w:ind w:left="305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7</w:t>
            </w:r>
          </w:p>
        </w:tc>
        <w:tc>
          <w:tcPr>
            <w:tcW w:w="1181" w:type="dxa"/>
            <w:vAlign w:val="top"/>
          </w:tcPr>
          <w:p>
            <w:pPr>
              <w:spacing w:before="43" w:line="195" w:lineRule="auto"/>
              <w:ind w:left="154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博杰股份</w:t>
            </w:r>
          </w:p>
        </w:tc>
        <w:tc>
          <w:tcPr>
            <w:tcW w:w="1441" w:type="dxa"/>
            <w:vAlign w:val="top"/>
          </w:tcPr>
          <w:p>
            <w:pPr>
              <w:spacing w:before="76" w:line="167" w:lineRule="auto"/>
              <w:ind w:left="39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32.03%</w:t>
            </w:r>
          </w:p>
        </w:tc>
        <w:tc>
          <w:tcPr>
            <w:tcW w:w="1440" w:type="dxa"/>
            <w:vAlign w:val="top"/>
          </w:tcPr>
          <w:p>
            <w:pPr>
              <w:spacing w:before="76" w:line="167" w:lineRule="auto"/>
              <w:ind w:left="391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48.13%</w:t>
            </w:r>
          </w:p>
        </w:tc>
        <w:tc>
          <w:tcPr>
            <w:tcW w:w="720" w:type="dxa"/>
            <w:vAlign w:val="top"/>
          </w:tcPr>
          <w:p>
            <w:pPr>
              <w:spacing w:before="81" w:line="163" w:lineRule="auto"/>
              <w:ind w:left="314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z w:val="22"/>
                <w:szCs w:val="22"/>
              </w:rPr>
              <w:t>7</w:t>
            </w:r>
          </w:p>
        </w:tc>
        <w:tc>
          <w:tcPr>
            <w:tcW w:w="1169" w:type="dxa"/>
            <w:vAlign w:val="top"/>
          </w:tcPr>
          <w:p>
            <w:pPr>
              <w:spacing w:before="43" w:line="195" w:lineRule="auto"/>
              <w:ind w:left="154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创新新材</w:t>
            </w:r>
          </w:p>
        </w:tc>
        <w:tc>
          <w:tcPr>
            <w:tcW w:w="1440" w:type="dxa"/>
            <w:vAlign w:val="top"/>
          </w:tcPr>
          <w:p>
            <w:pPr>
              <w:spacing w:before="79" w:line="165" w:lineRule="auto"/>
              <w:ind w:left="39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-6.14%</w:t>
            </w:r>
          </w:p>
        </w:tc>
        <w:tc>
          <w:tcPr>
            <w:tcW w:w="1440" w:type="dxa"/>
            <w:vAlign w:val="top"/>
          </w:tcPr>
          <w:p>
            <w:pPr>
              <w:spacing w:before="76" w:line="167" w:lineRule="auto"/>
              <w:ind w:left="409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18.43%</w:t>
            </w:r>
          </w:p>
        </w:tc>
      </w:tr>
      <w:tr>
        <w:tblPrEx>
          <w:tblW w:w="9541" w:type="dxa"/>
          <w:tblInd w:w="685" w:type="dxa"/>
          <w:tblLayout w:type="fixed"/>
        </w:tblPrEx>
        <w:trPr>
          <w:trHeight w:val="285"/>
        </w:trPr>
        <w:tc>
          <w:tcPr>
            <w:tcW w:w="710" w:type="dxa"/>
            <w:vAlign w:val="top"/>
          </w:tcPr>
          <w:p>
            <w:pPr>
              <w:spacing w:before="52" w:line="197" w:lineRule="auto"/>
              <w:ind w:left="303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8</w:t>
            </w:r>
          </w:p>
        </w:tc>
        <w:tc>
          <w:tcPr>
            <w:tcW w:w="1181" w:type="dxa"/>
            <w:vAlign w:val="top"/>
          </w:tcPr>
          <w:p>
            <w:pPr>
              <w:spacing w:before="42" w:line="195" w:lineRule="auto"/>
              <w:ind w:left="274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怡合达</w:t>
            </w:r>
          </w:p>
        </w:tc>
        <w:tc>
          <w:tcPr>
            <w:tcW w:w="1441" w:type="dxa"/>
            <w:vAlign w:val="top"/>
          </w:tcPr>
          <w:p>
            <w:pPr>
              <w:spacing w:before="77" w:line="166" w:lineRule="auto"/>
              <w:ind w:left="39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31.26%</w:t>
            </w:r>
          </w:p>
        </w:tc>
        <w:tc>
          <w:tcPr>
            <w:tcW w:w="1440" w:type="dxa"/>
            <w:vAlign w:val="top"/>
          </w:tcPr>
          <w:p>
            <w:pPr>
              <w:spacing w:before="77" w:line="166" w:lineRule="auto"/>
              <w:ind w:left="39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34.80%</w:t>
            </w:r>
          </w:p>
        </w:tc>
        <w:tc>
          <w:tcPr>
            <w:tcW w:w="720" w:type="dxa"/>
            <w:vAlign w:val="top"/>
          </w:tcPr>
          <w:p>
            <w:pPr>
              <w:spacing w:before="78" w:line="165" w:lineRule="auto"/>
              <w:ind w:left="310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z w:val="22"/>
                <w:szCs w:val="22"/>
              </w:rPr>
              <w:t>8</w:t>
            </w:r>
          </w:p>
        </w:tc>
        <w:tc>
          <w:tcPr>
            <w:tcW w:w="1169" w:type="dxa"/>
            <w:vAlign w:val="top"/>
          </w:tcPr>
          <w:p>
            <w:pPr>
              <w:spacing w:before="42" w:line="195" w:lineRule="auto"/>
              <w:ind w:left="15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坤恒顺维</w:t>
            </w:r>
          </w:p>
        </w:tc>
        <w:tc>
          <w:tcPr>
            <w:tcW w:w="1440" w:type="dxa"/>
            <w:vAlign w:val="top"/>
          </w:tcPr>
          <w:p>
            <w:pPr>
              <w:spacing w:before="77" w:line="166" w:lineRule="auto"/>
              <w:ind w:left="39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-5.82%</w:t>
            </w:r>
          </w:p>
        </w:tc>
        <w:tc>
          <w:tcPr>
            <w:tcW w:w="1440" w:type="dxa"/>
            <w:vAlign w:val="top"/>
          </w:tcPr>
          <w:p>
            <w:pPr>
              <w:spacing w:before="78" w:line="165" w:lineRule="auto"/>
              <w:ind w:left="409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11.47%</w:t>
            </w:r>
          </w:p>
        </w:tc>
      </w:tr>
      <w:tr>
        <w:tblPrEx>
          <w:tblW w:w="9541" w:type="dxa"/>
          <w:tblInd w:w="685" w:type="dxa"/>
          <w:tblLayout w:type="fixed"/>
        </w:tblPrEx>
        <w:trPr>
          <w:trHeight w:val="283"/>
        </w:trPr>
        <w:tc>
          <w:tcPr>
            <w:tcW w:w="710" w:type="dxa"/>
            <w:vAlign w:val="top"/>
          </w:tcPr>
          <w:p>
            <w:pPr>
              <w:spacing w:before="52" w:line="197" w:lineRule="auto"/>
              <w:ind w:left="304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z w:val="21"/>
                <w:szCs w:val="21"/>
              </w:rPr>
              <w:t>9</w:t>
            </w:r>
          </w:p>
        </w:tc>
        <w:tc>
          <w:tcPr>
            <w:tcW w:w="1181" w:type="dxa"/>
            <w:vAlign w:val="top"/>
          </w:tcPr>
          <w:p>
            <w:pPr>
              <w:spacing w:before="43" w:line="193" w:lineRule="auto"/>
              <w:ind w:left="154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厚普股份</w:t>
            </w:r>
          </w:p>
        </w:tc>
        <w:tc>
          <w:tcPr>
            <w:tcW w:w="1441" w:type="dxa"/>
            <w:vAlign w:val="top"/>
          </w:tcPr>
          <w:p>
            <w:pPr>
              <w:spacing w:before="77" w:line="164" w:lineRule="auto"/>
              <w:ind w:left="39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30.94%</w:t>
            </w:r>
          </w:p>
        </w:tc>
        <w:tc>
          <w:tcPr>
            <w:tcW w:w="1440" w:type="dxa"/>
            <w:vAlign w:val="top"/>
          </w:tcPr>
          <w:p>
            <w:pPr>
              <w:spacing w:before="77" w:line="164" w:lineRule="auto"/>
              <w:ind w:left="39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33.30%</w:t>
            </w:r>
          </w:p>
        </w:tc>
        <w:tc>
          <w:tcPr>
            <w:tcW w:w="720" w:type="dxa"/>
            <w:vAlign w:val="top"/>
          </w:tcPr>
          <w:p>
            <w:pPr>
              <w:spacing w:before="78" w:line="163" w:lineRule="auto"/>
              <w:ind w:left="30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z w:val="22"/>
                <w:szCs w:val="22"/>
              </w:rPr>
              <w:t>9</w:t>
            </w:r>
          </w:p>
        </w:tc>
        <w:tc>
          <w:tcPr>
            <w:tcW w:w="1169" w:type="dxa"/>
            <w:vAlign w:val="top"/>
          </w:tcPr>
          <w:p>
            <w:pPr>
              <w:spacing w:before="43" w:line="193" w:lineRule="auto"/>
              <w:ind w:left="274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4"/>
                <w:sz w:val="22"/>
                <w:szCs w:val="22"/>
              </w:rPr>
              <w:t>爱司凯</w:t>
            </w:r>
          </w:p>
        </w:tc>
        <w:tc>
          <w:tcPr>
            <w:tcW w:w="1440" w:type="dxa"/>
            <w:vAlign w:val="top"/>
          </w:tcPr>
          <w:p>
            <w:pPr>
              <w:spacing w:before="79" w:line="162" w:lineRule="auto"/>
              <w:ind w:left="39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-5.68%</w:t>
            </w:r>
          </w:p>
        </w:tc>
        <w:tc>
          <w:tcPr>
            <w:tcW w:w="1440" w:type="dxa"/>
            <w:vAlign w:val="top"/>
          </w:tcPr>
          <w:p>
            <w:pPr>
              <w:spacing w:before="79" w:line="162" w:lineRule="auto"/>
              <w:ind w:left="409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16.84%</w:t>
            </w:r>
          </w:p>
        </w:tc>
      </w:tr>
      <w:tr>
        <w:tblPrEx>
          <w:tblW w:w="9541" w:type="dxa"/>
          <w:tblInd w:w="685" w:type="dxa"/>
          <w:tblLayout w:type="fixed"/>
        </w:tblPrEx>
        <w:trPr>
          <w:trHeight w:val="302"/>
        </w:trPr>
        <w:tc>
          <w:tcPr>
            <w:tcW w:w="710" w:type="dxa"/>
            <w:tcBorders>
              <w:bottom w:val="single" w:sz="6" w:space="0" w:color="FF0000"/>
            </w:tcBorders>
            <w:vAlign w:val="top"/>
          </w:tcPr>
          <w:p>
            <w:pPr>
              <w:spacing w:before="52" w:line="197" w:lineRule="auto"/>
              <w:ind w:left="26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spacing w:val="-6"/>
                <w:sz w:val="21"/>
                <w:szCs w:val="21"/>
              </w:rPr>
              <w:t>10</w:t>
            </w:r>
          </w:p>
        </w:tc>
        <w:tc>
          <w:tcPr>
            <w:tcW w:w="1181" w:type="dxa"/>
            <w:tcBorders>
              <w:bottom w:val="single" w:sz="6" w:space="0" w:color="FF0000"/>
            </w:tcBorders>
            <w:vAlign w:val="top"/>
          </w:tcPr>
          <w:p>
            <w:pPr>
              <w:spacing w:before="46" w:line="206" w:lineRule="auto"/>
              <w:ind w:left="15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蓝英装备</w:t>
            </w:r>
          </w:p>
        </w:tc>
        <w:tc>
          <w:tcPr>
            <w:tcW w:w="1441" w:type="dxa"/>
            <w:tcBorders>
              <w:bottom w:val="single" w:sz="6" w:space="0" w:color="FF0000"/>
            </w:tcBorders>
            <w:vAlign w:val="top"/>
          </w:tcPr>
          <w:p>
            <w:pPr>
              <w:spacing w:before="79" w:line="178" w:lineRule="auto"/>
              <w:ind w:left="397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30.53%</w:t>
            </w:r>
          </w:p>
        </w:tc>
        <w:tc>
          <w:tcPr>
            <w:tcW w:w="1440" w:type="dxa"/>
            <w:tcBorders>
              <w:bottom w:val="single" w:sz="6" w:space="0" w:color="FF0000"/>
            </w:tcBorders>
            <w:vAlign w:val="top"/>
          </w:tcPr>
          <w:p>
            <w:pPr>
              <w:spacing w:before="79" w:line="178" w:lineRule="auto"/>
              <w:ind w:left="394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89.24%</w:t>
            </w:r>
          </w:p>
        </w:tc>
        <w:tc>
          <w:tcPr>
            <w:tcW w:w="720" w:type="dxa"/>
            <w:tcBorders>
              <w:bottom w:val="single" w:sz="6" w:space="0" w:color="FF0000"/>
            </w:tcBorders>
            <w:vAlign w:val="top"/>
          </w:tcPr>
          <w:p>
            <w:pPr>
              <w:spacing w:before="81" w:line="177" w:lineRule="auto"/>
              <w:ind w:left="269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5"/>
                <w:sz w:val="22"/>
                <w:szCs w:val="22"/>
              </w:rPr>
              <w:t>10</w:t>
            </w:r>
          </w:p>
        </w:tc>
        <w:tc>
          <w:tcPr>
            <w:tcW w:w="1169" w:type="dxa"/>
            <w:tcBorders>
              <w:bottom w:val="single" w:sz="6" w:space="0" w:color="FF0000"/>
            </w:tcBorders>
            <w:vAlign w:val="top"/>
          </w:tcPr>
          <w:p>
            <w:pPr>
              <w:spacing w:before="46" w:line="206" w:lineRule="auto"/>
              <w:ind w:left="155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安车检测</w:t>
            </w:r>
          </w:p>
        </w:tc>
        <w:tc>
          <w:tcPr>
            <w:tcW w:w="1440" w:type="dxa"/>
            <w:tcBorders>
              <w:bottom w:val="single" w:sz="6" w:space="0" w:color="FF0000"/>
            </w:tcBorders>
            <w:vAlign w:val="top"/>
          </w:tcPr>
          <w:p>
            <w:pPr>
              <w:spacing w:before="79" w:line="178" w:lineRule="auto"/>
              <w:ind w:left="393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1"/>
                <w:sz w:val="22"/>
                <w:szCs w:val="22"/>
              </w:rPr>
              <w:t>-5.28%</w:t>
            </w:r>
          </w:p>
        </w:tc>
        <w:tc>
          <w:tcPr>
            <w:tcW w:w="1440" w:type="dxa"/>
            <w:tcBorders>
              <w:bottom w:val="single" w:sz="6" w:space="0" w:color="FF0000"/>
            </w:tcBorders>
            <w:vAlign w:val="top"/>
          </w:tcPr>
          <w:p>
            <w:pPr>
              <w:spacing w:before="81" w:line="177" w:lineRule="auto"/>
              <w:ind w:left="409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17.60%</w:t>
            </w:r>
          </w:p>
        </w:tc>
      </w:tr>
    </w:tbl>
    <w:p>
      <w:pPr>
        <w:pStyle w:val="BodyText"/>
        <w:spacing w:before="59" w:line="225" w:lineRule="auto"/>
        <w:ind w:left="800"/>
        <w:rPr>
          <w:sz w:val="18"/>
          <w:szCs w:val="18"/>
        </w:rPr>
      </w:pPr>
      <w:r>
        <w:rPr>
          <w:b/>
          <w:bCs/>
          <w:i/>
          <w:iCs/>
          <w:spacing w:val="-2"/>
          <w:sz w:val="18"/>
          <w:szCs w:val="18"/>
        </w:rPr>
        <w:t>资料来源：</w:t>
      </w:r>
      <w:r>
        <w:rPr>
          <w:spacing w:val="-27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iCs/>
          <w:spacing w:val="-2"/>
          <w:sz w:val="18"/>
          <w:szCs w:val="18"/>
        </w:rPr>
        <w:t>iFinD</w:t>
      </w:r>
      <w:r>
        <w:rPr>
          <w:b/>
          <w:bCs/>
          <w:i/>
          <w:iCs/>
          <w:spacing w:val="-2"/>
          <w:sz w:val="18"/>
          <w:szCs w:val="18"/>
        </w:rPr>
        <w:t>，上海证券研究所</w:t>
      </w: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8" w:lineRule="auto"/>
        <w:rPr>
          <w:rFonts w:ascii="Arial"/>
          <w:sz w:val="21"/>
        </w:rPr>
      </w:pPr>
    </w:p>
    <w:p>
      <w:pPr>
        <w:pStyle w:val="BodyText"/>
        <w:spacing w:before="92" w:line="220" w:lineRule="auto"/>
        <w:ind w:left="3705"/>
        <w:rPr>
          <w:sz w:val="28"/>
          <w:szCs w:val="28"/>
        </w:rPr>
      </w:pPr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2  </w:t>
      </w:r>
      <w:r>
        <w:rPr>
          <w:b/>
          <w:bCs/>
          <w:spacing w:val="-2"/>
          <w:sz w:val="28"/>
          <w:szCs w:val="28"/>
        </w:rPr>
        <w:t>行业高频数据跟踪</w:t>
      </w:r>
    </w:p>
    <w:p>
      <w:pPr>
        <w:spacing w:line="310" w:lineRule="auto"/>
        <w:rPr>
          <w:rFonts w:ascii="Arial"/>
          <w:sz w:val="21"/>
        </w:rPr>
        <w:sectPr>
          <w:headerReference w:type="default" r:id="rId31"/>
          <w:footerReference w:type="default" r:id="rId32"/>
          <w:pgSz w:w="11907" w:h="16839"/>
          <w:pgMar w:top="1273" w:right="840" w:bottom="1481" w:left="838" w:header="885" w:footer="1202" w:gutter="0"/>
          <w:pgNumType w:start="10"/>
          <w:cols w:space="708"/>
        </w:sectPr>
      </w:pPr>
    </w:p>
    <w:p>
      <w:pPr>
        <w:spacing w:line="310" w:lineRule="auto"/>
        <w:rPr>
          <w:rFonts w:ascii="Arial"/>
          <w:sz w:val="21"/>
        </w:rPr>
      </w:pPr>
    </w:p>
    <w:p>
      <w:pPr>
        <w:pStyle w:val="BodyText"/>
        <w:spacing w:before="78" w:line="219" w:lineRule="auto"/>
        <w:ind w:left="3704"/>
        <w:outlineLvl w:val="0"/>
        <w:rPr>
          <w:sz w:val="24"/>
          <w:szCs w:val="24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 xml:space="preserve">2.1  </w:t>
      </w:r>
      <w:r>
        <w:rPr>
          <w:b/>
          <w:bCs/>
          <w:spacing w:val="-2"/>
          <w:sz w:val="24"/>
          <w:szCs w:val="24"/>
        </w:rPr>
        <w:t>工程机械设备</w:t>
      </w:r>
    </w:p>
    <w:p>
      <w:pPr>
        <w:pStyle w:val="BodyText"/>
        <w:spacing w:before="254" w:line="213" w:lineRule="auto"/>
        <w:ind w:left="3916"/>
      </w:pPr>
      <w:r>
        <w:rPr>
          <w:spacing w:val="-4"/>
        </w:rPr>
        <w:t>1）2024</w:t>
      </w:r>
      <w:r>
        <w:rPr>
          <w:spacing w:val="-38"/>
        </w:rPr>
        <w:t xml:space="preserve"> </w:t>
      </w:r>
      <w:r>
        <w:rPr>
          <w:spacing w:val="-4"/>
        </w:rPr>
        <w:t>年</w:t>
      </w:r>
      <w:r>
        <w:rPr>
          <w:spacing w:val="-49"/>
        </w:rPr>
        <w:t xml:space="preserve"> </w:t>
      </w:r>
      <w:r>
        <w:rPr>
          <w:spacing w:val="-4"/>
        </w:rPr>
        <w:t>2</w:t>
      </w:r>
      <w:r>
        <w:rPr>
          <w:spacing w:val="-34"/>
        </w:rPr>
        <w:t xml:space="preserve"> </w:t>
      </w:r>
      <w:r>
        <w:rPr>
          <w:spacing w:val="-4"/>
        </w:rPr>
        <w:t>月</w:t>
      </w:r>
      <w:r>
        <w:rPr>
          <w:spacing w:val="-43"/>
        </w:rPr>
        <w:t xml:space="preserve"> </w:t>
      </w:r>
      <w:r>
        <w:rPr>
          <w:spacing w:val="-4"/>
        </w:rPr>
        <w:t>PM</w:t>
      </w:r>
      <w:r>
        <w:rPr>
          <w:spacing w:val="-63"/>
        </w:rPr>
        <w:t xml:space="preserve"> </w:t>
      </w:r>
      <w:r>
        <w:rPr>
          <w:spacing w:val="-4"/>
        </w:rPr>
        <w:t>I</w:t>
      </w:r>
      <w:r>
        <w:rPr>
          <w:spacing w:val="-38"/>
        </w:rPr>
        <w:t xml:space="preserve"> </w:t>
      </w:r>
      <w:r>
        <w:rPr>
          <w:spacing w:val="-4"/>
        </w:rPr>
        <w:t>为</w:t>
      </w:r>
      <w:r>
        <w:rPr>
          <w:spacing w:val="-50"/>
        </w:rPr>
        <w:t xml:space="preserve"> </w:t>
      </w:r>
      <w:r>
        <w:rPr>
          <w:spacing w:val="-4"/>
        </w:rPr>
        <w:t>49.1%，环比上月-0.1pct；</w:t>
      </w:r>
    </w:p>
    <w:p>
      <w:pPr>
        <w:pStyle w:val="BodyText"/>
        <w:spacing w:before="118" w:line="266" w:lineRule="auto"/>
        <w:ind w:left="3708" w:right="442" w:firstLine="195"/>
      </w:pPr>
      <w:r>
        <w:rPr>
          <w:spacing w:val="-2"/>
        </w:rPr>
        <w:t>2）2023</w:t>
      </w:r>
      <w:r>
        <w:rPr>
          <w:spacing w:val="-27"/>
        </w:rPr>
        <w:t xml:space="preserve"> </w:t>
      </w:r>
      <w:r>
        <w:rPr>
          <w:spacing w:val="-2"/>
        </w:rPr>
        <w:t>年</w:t>
      </w:r>
      <w:r>
        <w:rPr>
          <w:spacing w:val="-2"/>
        </w:rPr>
        <w:t xml:space="preserve"> </w:t>
      </w:r>
      <w:r>
        <w:rPr>
          <w:spacing w:val="-2"/>
        </w:rPr>
        <w:t>12</w:t>
      </w:r>
      <w:r>
        <w:rPr>
          <w:spacing w:val="-2"/>
        </w:rPr>
        <w:t xml:space="preserve"> </w:t>
      </w:r>
      <w:r>
        <w:rPr>
          <w:spacing w:val="-2"/>
        </w:rPr>
        <w:t>月制造业固定资产投资额累计同比</w:t>
      </w:r>
      <w:r>
        <w:rPr>
          <w:spacing w:val="-3"/>
        </w:rPr>
        <w:t>+6.5%，增速较</w:t>
      </w:r>
      <w:r>
        <w:t xml:space="preserve"> </w:t>
      </w:r>
      <w:r>
        <w:rPr>
          <w:spacing w:val="-1"/>
        </w:rPr>
        <w:t>上月+0.2pct；</w:t>
      </w:r>
    </w:p>
    <w:p>
      <w:pPr>
        <w:pStyle w:val="BodyText"/>
        <w:spacing w:before="116" w:line="266" w:lineRule="auto"/>
        <w:ind w:left="3709" w:right="457" w:firstLine="196"/>
      </w:pPr>
      <w:r>
        <w:rPr>
          <w:spacing w:val="-3"/>
        </w:rPr>
        <w:t>3）2023</w:t>
      </w:r>
      <w:r>
        <w:rPr>
          <w:spacing w:val="-17"/>
        </w:rPr>
        <w:t xml:space="preserve"> </w:t>
      </w:r>
      <w:r>
        <w:rPr>
          <w:spacing w:val="-3"/>
        </w:rPr>
        <w:t>年</w:t>
      </w:r>
      <w:r>
        <w:rPr>
          <w:spacing w:val="-3"/>
        </w:rPr>
        <w:t xml:space="preserve"> </w:t>
      </w:r>
      <w:r>
        <w:rPr>
          <w:spacing w:val="-3"/>
        </w:rPr>
        <w:t>12</w:t>
      </w:r>
      <w:r>
        <w:rPr>
          <w:spacing w:val="-3"/>
        </w:rPr>
        <w:t xml:space="preserve"> </w:t>
      </w:r>
      <w:r>
        <w:rPr>
          <w:spacing w:val="-3"/>
        </w:rPr>
        <w:t>月中国房地产开发投资完成额累计同比-9.6%，增</w:t>
      </w:r>
      <w:r>
        <w:t xml:space="preserve"> </w:t>
      </w:r>
      <w:r>
        <w:rPr>
          <w:spacing w:val="-1"/>
        </w:rPr>
        <w:t>速较上月-0.2pct；</w:t>
      </w:r>
    </w:p>
    <w:p>
      <w:pPr>
        <w:pStyle w:val="BodyText"/>
        <w:spacing w:before="114" w:line="394" w:lineRule="exact"/>
        <w:ind w:left="3900"/>
      </w:pPr>
      <w:r>
        <w:rPr>
          <w:spacing w:val="-5"/>
          <w:position w:val="14"/>
        </w:rPr>
        <w:t>4）2024</w:t>
      </w:r>
      <w:r>
        <w:rPr>
          <w:spacing w:val="-5"/>
          <w:position w:val="14"/>
        </w:rPr>
        <w:t xml:space="preserve"> </w:t>
      </w:r>
      <w:r>
        <w:rPr>
          <w:spacing w:val="-5"/>
          <w:position w:val="14"/>
        </w:rPr>
        <w:t>年</w:t>
      </w:r>
      <w:r>
        <w:rPr>
          <w:spacing w:val="-5"/>
          <w:position w:val="14"/>
        </w:rPr>
        <w:t xml:space="preserve"> </w:t>
      </w:r>
      <w:r>
        <w:rPr>
          <w:spacing w:val="-5"/>
          <w:position w:val="14"/>
        </w:rPr>
        <w:t>1</w:t>
      </w:r>
      <w:r>
        <w:rPr>
          <w:spacing w:val="-5"/>
          <w:position w:val="14"/>
        </w:rPr>
        <w:t xml:space="preserve"> </w:t>
      </w:r>
      <w:r>
        <w:rPr>
          <w:spacing w:val="-5"/>
          <w:position w:val="14"/>
        </w:rPr>
        <w:t>月叉车销量为</w:t>
      </w:r>
      <w:r>
        <w:rPr>
          <w:spacing w:val="-5"/>
          <w:position w:val="14"/>
        </w:rPr>
        <w:t xml:space="preserve"> </w:t>
      </w:r>
      <w:r>
        <w:rPr>
          <w:spacing w:val="-5"/>
          <w:position w:val="14"/>
        </w:rPr>
        <w:t>11.1</w:t>
      </w:r>
      <w:r>
        <w:rPr>
          <w:spacing w:val="-5"/>
          <w:position w:val="14"/>
        </w:rPr>
        <w:t xml:space="preserve"> </w:t>
      </w:r>
      <w:r>
        <w:rPr>
          <w:spacing w:val="-5"/>
          <w:position w:val="14"/>
        </w:rPr>
        <w:t>万台，</w:t>
      </w:r>
      <w:r>
        <w:rPr>
          <w:spacing w:val="-5"/>
          <w:position w:val="14"/>
        </w:rPr>
        <w:t xml:space="preserve"> </w:t>
      </w:r>
      <w:r>
        <w:rPr>
          <w:spacing w:val="-5"/>
          <w:position w:val="14"/>
        </w:rPr>
        <w:t>同比+90.</w:t>
      </w:r>
      <w:r>
        <w:rPr>
          <w:spacing w:val="-6"/>
          <w:position w:val="14"/>
        </w:rPr>
        <w:t>4%，环比上月</w:t>
      </w:r>
    </w:p>
    <w:p>
      <w:pPr>
        <w:pStyle w:val="BodyText"/>
        <w:spacing w:before="1" w:line="182" w:lineRule="auto"/>
        <w:ind w:left="3702"/>
      </w:pPr>
      <w:r>
        <w:rPr>
          <w:spacing w:val="-1"/>
        </w:rPr>
        <w:t>+11.1%；</w:t>
      </w:r>
    </w:p>
    <w:p>
      <w:pPr>
        <w:pStyle w:val="BodyText"/>
        <w:spacing w:before="118" w:line="393" w:lineRule="exact"/>
        <w:ind w:left="3900"/>
      </w:pPr>
      <w:r>
        <w:rPr>
          <w:spacing w:val="-5"/>
          <w:position w:val="14"/>
        </w:rPr>
        <w:t>5）2024</w:t>
      </w:r>
      <w:r>
        <w:rPr>
          <w:spacing w:val="-34"/>
          <w:position w:val="14"/>
        </w:rPr>
        <w:t xml:space="preserve"> </w:t>
      </w:r>
      <w:r>
        <w:rPr>
          <w:spacing w:val="-5"/>
          <w:position w:val="14"/>
        </w:rPr>
        <w:t>年</w:t>
      </w:r>
      <w:r>
        <w:rPr>
          <w:spacing w:val="-23"/>
          <w:position w:val="14"/>
        </w:rPr>
        <w:t xml:space="preserve"> </w:t>
      </w:r>
      <w:r>
        <w:rPr>
          <w:spacing w:val="-5"/>
          <w:position w:val="14"/>
        </w:rPr>
        <w:t>1</w:t>
      </w:r>
      <w:r>
        <w:rPr>
          <w:spacing w:val="-22"/>
          <w:position w:val="14"/>
        </w:rPr>
        <w:t xml:space="preserve"> </w:t>
      </w:r>
      <w:r>
        <w:rPr>
          <w:spacing w:val="-5"/>
          <w:position w:val="14"/>
        </w:rPr>
        <w:t>月挖掘机销量为</w:t>
      </w:r>
      <w:r>
        <w:rPr>
          <w:spacing w:val="-24"/>
          <w:position w:val="14"/>
        </w:rPr>
        <w:t xml:space="preserve"> </w:t>
      </w:r>
      <w:r>
        <w:rPr>
          <w:spacing w:val="-5"/>
          <w:position w:val="14"/>
        </w:rPr>
        <w:t>1.2</w:t>
      </w:r>
      <w:r>
        <w:rPr>
          <w:spacing w:val="-24"/>
          <w:position w:val="14"/>
        </w:rPr>
        <w:t xml:space="preserve"> </w:t>
      </w:r>
      <w:r>
        <w:rPr>
          <w:spacing w:val="-5"/>
          <w:position w:val="14"/>
        </w:rPr>
        <w:t>万台，</w:t>
      </w:r>
      <w:r>
        <w:rPr>
          <w:spacing w:val="-5"/>
          <w:position w:val="14"/>
        </w:rPr>
        <w:t xml:space="preserve"> </w:t>
      </w:r>
      <w:r>
        <w:rPr>
          <w:spacing w:val="-5"/>
          <w:position w:val="14"/>
        </w:rPr>
        <w:t>同比+18</w:t>
      </w:r>
      <w:r>
        <w:rPr>
          <w:spacing w:val="-6"/>
          <w:position w:val="14"/>
        </w:rPr>
        <w:t>.5%，环比上月</w:t>
      </w:r>
    </w:p>
    <w:p>
      <w:pPr>
        <w:pStyle w:val="BodyText"/>
        <w:spacing w:line="184" w:lineRule="auto"/>
        <w:ind w:left="3702"/>
      </w:pPr>
      <w:r>
        <w:rPr>
          <w:spacing w:val="-1"/>
        </w:rPr>
        <w:t>-25.9%；</w:t>
      </w:r>
    </w:p>
    <w:p>
      <w:pPr>
        <w:spacing w:line="184" w:lineRule="auto"/>
        <w:sectPr>
          <w:headerReference w:type="default" r:id="rId33"/>
          <w:footerReference w:type="default" r:id="rId34"/>
          <w:type w:val="nextPage"/>
          <w:pgSz w:w="11907" w:h="16839"/>
          <w:pgMar w:top="1273" w:right="840" w:bottom="1481" w:left="838" w:header="885" w:footer="1202" w:gutter="0"/>
          <w:pgNumType w:start="11"/>
          <w:cols w:space="708"/>
          <w:titlePg w:val="0"/>
        </w:sectPr>
      </w:pPr>
    </w:p>
    <w:p>
      <w:pPr>
        <w:spacing w:line="447" w:lineRule="auto"/>
        <w:rPr>
          <w:rFonts w:ascii="Arial"/>
          <w:sz w:val="21"/>
        </w:rPr>
      </w:pPr>
      <w:r>
        <w:pict>
          <v:rect id="_x0000_s1039" style="width:220.55pt;height:0.5pt;margin-top:710pt;margin-left:81.5pt;mso-position-horizontal-relative:page;mso-position-vertical-relative:page;position:absolute;z-index:251678720" o:allowincell="f" filled="t" fillcolor="red" stroked="f"/>
        </w:pict>
      </w:r>
      <w:r>
        <w:pict>
          <v:rect id="_x0000_s1040" style="width:220.55pt;height:0.5pt;margin-top:710pt;margin-left:310.5pt;mso-position-horizontal-relative:page;mso-position-vertical-relative:page;position:absolute;z-index:251677696" o:allowincell="f" filled="t" fillcolor="red" stroked="f"/>
        </w:pict>
      </w:r>
      <w:r>
        <w:pict>
          <v:shape id="_x0000_s1041" type="#_x0000_t202" style="width:194.4pt;height:13.95pt;margin-top:563.87pt;margin-left:317.64pt;mso-position-horizontal-relative:page;mso-position-vertical-relative:page;position:absolute;z-index:-251641856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20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pacing w:val="15"/>
                      <w:sz w:val="20"/>
                      <w:szCs w:val="20"/>
                    </w:rPr>
                    <w:t>图9:小松挖掘机开工小时跟踪(小时，%)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76672" behindDoc="0" locked="0" layoutInCell="0" allowOverlap="1">
            <wp:simplePos x="0" y="0"/>
            <wp:positionH relativeFrom="page">
              <wp:posOffset>2851118</wp:posOffset>
            </wp:positionH>
            <wp:positionV relativeFrom="page">
              <wp:posOffset>9747226</wp:posOffset>
            </wp:positionV>
            <wp:extent cx="3937068" cy="635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93706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0" allowOverlap="1">
            <wp:simplePos x="0" y="0"/>
            <wp:positionH relativeFrom="page">
              <wp:posOffset>469879</wp:posOffset>
            </wp:positionH>
            <wp:positionV relativeFrom="page">
              <wp:posOffset>539802</wp:posOffset>
            </wp:positionV>
            <wp:extent cx="958893" cy="323796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93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5" w:line="219" w:lineRule="auto"/>
        <w:ind w:left="8922"/>
        <w:rPr>
          <w:rFonts w:ascii="SimSun" w:eastAsia="SimSun" w:hAnsi="SimSun" w:cs="SimSun"/>
          <w:sz w:val="20"/>
          <w:szCs w:val="20"/>
        </w:rPr>
      </w:pPr>
      <w:bookmarkStart w:id="13" w:name="bookmark18"/>
      <w:bookmarkEnd w:id="13"/>
      <w:bookmarkStart w:id="14" w:name="bookmark19"/>
      <w:bookmarkEnd w:id="14"/>
      <w:bookmarkStart w:id="15" w:name="bookmark20"/>
      <w:bookmarkEnd w:id="15"/>
      <w:bookmarkStart w:id="16" w:name="bookmark21"/>
      <w:bookmarkEnd w:id="16"/>
      <w:bookmarkStart w:id="17" w:name="bookmark22"/>
      <w:bookmarkEnd w:id="17"/>
      <w:bookmarkStart w:id="18" w:name="bookmark23"/>
      <w:bookmarkEnd w:id="18"/>
      <w:r>
        <w:rPr>
          <w:rFonts w:ascii="SimSun" w:eastAsia="SimSun" w:hAnsi="SimSun" w:cs="SimSun"/>
          <w:b/>
          <w:bCs/>
          <w:spacing w:val="28"/>
          <w:sz w:val="20"/>
          <w:szCs w:val="20"/>
        </w:rPr>
        <w:t>行业周报</w:t>
      </w:r>
    </w:p>
    <w:p>
      <w:pPr>
        <w:spacing w:before="97" w:line="20" w:lineRule="exact"/>
        <w:ind w:firstLine="1680"/>
      </w:pPr>
      <w:r>
        <w:drawing>
          <wp:inline distT="0" distB="0" distL="0" distR="0">
            <wp:extent cx="5283180" cy="1272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8318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60" w:line="278" w:lineRule="auto"/>
        <w:ind w:left="3790" w:right="212" w:firstLine="209"/>
        <w:rPr>
          <w:sz w:val="20"/>
          <w:szCs w:val="20"/>
        </w:rPr>
      </w:pPr>
      <w:r>
        <w:rPr>
          <w:spacing w:val="17"/>
          <w:sz w:val="20"/>
          <w:szCs w:val="20"/>
        </w:rPr>
        <w:t>6)2024年1月小松挖掘机开工小时为80.4小时，</w:t>
      </w:r>
      <w:r>
        <w:rPr>
          <w:spacing w:val="16"/>
          <w:sz w:val="20"/>
          <w:szCs w:val="20"/>
        </w:rPr>
        <w:t>同比+89.2%,</w:t>
      </w:r>
      <w:r>
        <w:rPr>
          <w:sz w:val="20"/>
          <w:szCs w:val="20"/>
        </w:rPr>
        <w:t xml:space="preserve"> </w:t>
      </w:r>
      <w:r>
        <w:rPr>
          <w:spacing w:val="8"/>
          <w:sz w:val="20"/>
          <w:szCs w:val="20"/>
        </w:rPr>
        <w:t>环比上月-11.1%;</w:t>
      </w:r>
    </w:p>
    <w:p>
      <w:pPr>
        <w:pStyle w:val="BodyText"/>
        <w:spacing w:before="128" w:line="383" w:lineRule="exact"/>
        <w:ind w:left="3999"/>
        <w:rPr>
          <w:sz w:val="20"/>
          <w:szCs w:val="20"/>
        </w:rPr>
      </w:pPr>
      <w:r>
        <w:rPr>
          <w:spacing w:val="20"/>
          <w:position w:val="13"/>
          <w:sz w:val="20"/>
          <w:szCs w:val="20"/>
        </w:rPr>
        <w:t>7)2024</w:t>
      </w:r>
      <w:r>
        <w:rPr>
          <w:spacing w:val="6"/>
          <w:position w:val="13"/>
          <w:sz w:val="20"/>
          <w:szCs w:val="20"/>
        </w:rPr>
        <w:t xml:space="preserve">   </w:t>
      </w:r>
      <w:r>
        <w:rPr>
          <w:spacing w:val="20"/>
          <w:position w:val="13"/>
          <w:sz w:val="20"/>
          <w:szCs w:val="20"/>
        </w:rPr>
        <w:t>年</w:t>
      </w:r>
      <w:r>
        <w:rPr>
          <w:spacing w:val="68"/>
          <w:position w:val="13"/>
          <w:sz w:val="20"/>
          <w:szCs w:val="20"/>
        </w:rPr>
        <w:t xml:space="preserve"> </w:t>
      </w:r>
      <w:r>
        <w:rPr>
          <w:spacing w:val="20"/>
          <w:position w:val="13"/>
          <w:sz w:val="20"/>
          <w:szCs w:val="20"/>
        </w:rPr>
        <w:t>1</w:t>
      </w:r>
      <w:r>
        <w:rPr>
          <w:spacing w:val="20"/>
          <w:position w:val="13"/>
          <w:sz w:val="20"/>
          <w:szCs w:val="20"/>
        </w:rPr>
        <w:t xml:space="preserve"> </w:t>
      </w:r>
      <w:r>
        <w:rPr>
          <w:spacing w:val="20"/>
          <w:position w:val="13"/>
          <w:sz w:val="20"/>
          <w:szCs w:val="20"/>
        </w:rPr>
        <w:t>月汽车起重机销量同比+31</w:t>
      </w:r>
      <w:r>
        <w:rPr>
          <w:spacing w:val="-52"/>
          <w:position w:val="13"/>
          <w:sz w:val="20"/>
          <w:szCs w:val="20"/>
        </w:rPr>
        <w:t xml:space="preserve"> </w:t>
      </w:r>
      <w:r>
        <w:rPr>
          <w:spacing w:val="19"/>
          <w:position w:val="13"/>
          <w:sz w:val="20"/>
          <w:szCs w:val="20"/>
        </w:rPr>
        <w:t>.</w:t>
      </w:r>
      <w:r>
        <w:rPr>
          <w:spacing w:val="-60"/>
          <w:position w:val="13"/>
          <w:sz w:val="20"/>
          <w:szCs w:val="20"/>
        </w:rPr>
        <w:t xml:space="preserve"> </w:t>
      </w:r>
      <w:r>
        <w:rPr>
          <w:spacing w:val="19"/>
          <w:position w:val="13"/>
          <w:sz w:val="20"/>
          <w:szCs w:val="20"/>
        </w:rPr>
        <w:t>0%,增速较上月</w:t>
      </w:r>
    </w:p>
    <w:p>
      <w:pPr>
        <w:spacing w:line="196" w:lineRule="auto"/>
        <w:ind w:left="379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2"/>
          <w:sz w:val="20"/>
          <w:szCs w:val="20"/>
        </w:rPr>
        <w:t>+52.9pct;</w:t>
      </w:r>
    </w:p>
    <w:p>
      <w:pPr>
        <w:pStyle w:val="BodyText"/>
        <w:spacing w:before="138" w:line="418" w:lineRule="exact"/>
        <w:ind w:left="3999"/>
        <w:rPr>
          <w:sz w:val="20"/>
          <w:szCs w:val="20"/>
        </w:rPr>
      </w:pPr>
      <w:r>
        <w:rPr>
          <w:spacing w:val="19"/>
          <w:position w:val="16"/>
          <w:sz w:val="20"/>
          <w:szCs w:val="20"/>
        </w:rPr>
        <w:t>8)2024年1月装载机销量为7802.0台，同比+22.9%,环比上月</w:t>
      </w:r>
    </w:p>
    <w:p>
      <w:pPr>
        <w:spacing w:line="183" w:lineRule="auto"/>
        <w:ind w:left="379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3"/>
          <w:sz w:val="20"/>
          <w:szCs w:val="20"/>
        </w:rPr>
        <w:t>-17.2%。</w:t>
      </w:r>
    </w:p>
    <w:p>
      <w:pPr>
        <w:spacing w:before="70"/>
      </w:pPr>
    </w:p>
    <w:p>
      <w:pPr>
        <w:sectPr>
          <w:headerReference w:type="default" r:id="rId36"/>
          <w:footerReference w:type="default" r:id="rId37"/>
          <w:pgSz w:w="11910" w:h="16840"/>
          <w:pgMar w:top="400" w:right="1170" w:bottom="400" w:left="739" w:header="0" w:footer="0" w:gutter="0"/>
          <w:pgNumType w:start="12"/>
          <w:cols w:num="1" w:space="708" w:equalWidth="0">
            <w:col w:w="10000" w:space="0"/>
          </w:cols>
        </w:sectPr>
      </w:pPr>
    </w:p>
    <w:p>
      <w:pPr>
        <w:pStyle w:val="BodyText"/>
        <w:spacing w:before="47" w:line="228" w:lineRule="auto"/>
        <w:ind w:left="1052"/>
        <w:rPr>
          <w:sz w:val="20"/>
          <w:szCs w:val="20"/>
        </w:rPr>
      </w:pPr>
      <w:r>
        <w:rPr>
          <w:b/>
          <w:bCs/>
          <w:spacing w:val="10"/>
          <w:sz w:val="20"/>
          <w:szCs w:val="20"/>
        </w:rPr>
        <w:t>图4:制造业</w:t>
      </w:r>
      <w:r>
        <w:rPr>
          <w:rFonts w:ascii="SimSun" w:eastAsia="SimSun" w:hAnsi="SimSun" w:cs="SimSun"/>
          <w:b/>
          <w:bCs/>
          <w:sz w:val="20"/>
          <w:szCs w:val="20"/>
        </w:rPr>
        <w:t>PMI</w:t>
      </w:r>
      <w:r>
        <w:rPr>
          <w:rFonts w:ascii="SimSun" w:eastAsia="SimSun" w:hAnsi="SimSun" w:cs="SimSun"/>
          <w:spacing w:val="-43"/>
          <w:sz w:val="20"/>
          <w:szCs w:val="20"/>
        </w:rPr>
        <w:t xml:space="preserve"> </w:t>
      </w:r>
      <w:r>
        <w:rPr>
          <w:b/>
          <w:bCs/>
          <w:spacing w:val="10"/>
          <w:sz w:val="20"/>
          <w:szCs w:val="20"/>
        </w:rPr>
        <w:t>数据跟踪(%)</w:t>
      </w:r>
    </w:p>
    <w:p>
      <w:pPr>
        <w:spacing w:before="108" w:line="2758" w:lineRule="exact"/>
        <w:ind w:firstLine="870"/>
      </w:pPr>
      <w:r>
        <w:rPr>
          <w:position w:val="-55"/>
        </w:rPr>
        <w:drawing>
          <wp:inline distT="0" distB="0" distL="0" distR="0">
            <wp:extent cx="2832136" cy="1751406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32136" cy="175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98" w:lineRule="auto"/>
        <w:ind w:left="1046"/>
      </w:pPr>
      <w:r>
        <w:rPr>
          <w:b/>
          <w:bCs/>
          <w:i/>
          <w:iCs/>
          <w:spacing w:val="-14"/>
          <w:w w:val="96"/>
        </w:rPr>
        <w:t>资料来源：</w:t>
      </w:r>
      <w:r>
        <w:rPr>
          <w:rFonts w:ascii="Times New Roman" w:eastAsia="Times New Roman" w:hAnsi="Times New Roman" w:cs="Times New Roman"/>
          <w:b/>
          <w:bCs/>
          <w:i/>
          <w:iCs/>
          <w:spacing w:val="-14"/>
          <w:w w:val="96"/>
          <w:sz w:val="20"/>
          <w:szCs w:val="20"/>
        </w:rPr>
        <w:t xml:space="preserve">iFinD,   </w:t>
      </w:r>
      <w:r>
        <w:rPr>
          <w:b/>
          <w:bCs/>
          <w:i/>
          <w:iCs/>
          <w:spacing w:val="-14"/>
          <w:w w:val="96"/>
        </w:rPr>
        <w:t>上海证券研究所</w:t>
      </w:r>
    </w:p>
    <w:p>
      <w:pPr>
        <w:spacing w:line="290" w:lineRule="auto"/>
        <w:rPr>
          <w:rFonts w:ascii="Arial"/>
          <w:sz w:val="21"/>
        </w:rPr>
      </w:pPr>
    </w:p>
    <w:p>
      <w:pPr>
        <w:pStyle w:val="BodyText"/>
        <w:spacing w:before="65" w:line="223" w:lineRule="auto"/>
        <w:ind w:left="1052"/>
        <w:rPr>
          <w:sz w:val="20"/>
          <w:szCs w:val="20"/>
        </w:rPr>
      </w:pPr>
      <w: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648236</wp:posOffset>
            </wp:positionH>
            <wp:positionV relativeFrom="paragraph">
              <wp:posOffset>161966</wp:posOffset>
            </wp:positionV>
            <wp:extent cx="2691895" cy="635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9189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15"/>
          <w:sz w:val="20"/>
          <w:szCs w:val="20"/>
        </w:rPr>
        <w:t>图6:房地产开发投资完成额数据跟踪(%)</w:t>
      </w:r>
    </w:p>
    <w:p>
      <w:pPr>
        <w:pStyle w:val="BodyText"/>
        <w:spacing w:before="109" w:line="223" w:lineRule="auto"/>
        <w:ind w:left="2699"/>
        <w:rPr>
          <w:sz w:val="8"/>
          <w:szCs w:val="8"/>
        </w:rPr>
      </w:pPr>
      <w:r>
        <w:rPr>
          <w:spacing w:val="5"/>
          <w:sz w:val="8"/>
          <w:szCs w:val="8"/>
        </w:rPr>
        <w:t>一务地产开显经资服计用此</w:t>
      </w:r>
    </w:p>
    <w:p>
      <w:pPr>
        <w:spacing w:before="32" w:line="2641" w:lineRule="exact"/>
        <w:ind w:firstLine="880"/>
      </w:pPr>
      <w:r>
        <w:rPr>
          <w:position w:val="-52"/>
        </w:rPr>
        <w:drawing>
          <wp:inline distT="0" distB="0" distL="0" distR="0">
            <wp:extent cx="2832136" cy="1677049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832136" cy="1677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" w:line="207" w:lineRule="auto"/>
        <w:ind w:left="1046"/>
      </w:pPr>
      <w:r>
        <w:rPr>
          <w:b/>
          <w:bCs/>
          <w:i/>
          <w:iCs/>
          <w:spacing w:val="-23"/>
        </w:rPr>
        <w:t>资料来源：</w:t>
      </w:r>
      <w:r>
        <w:rPr>
          <w:rFonts w:ascii="SimSun" w:eastAsia="SimSun" w:hAnsi="SimSun" w:cs="SimSun"/>
          <w:b/>
          <w:bCs/>
          <w:i/>
          <w:iCs/>
          <w:spacing w:val="-23"/>
        </w:rPr>
        <w:t>iFinD,</w:t>
      </w:r>
      <w:r>
        <w:rPr>
          <w:rFonts w:ascii="SimSun" w:eastAsia="SimSun" w:hAnsi="SimSun" w:cs="SimSun"/>
          <w:spacing w:val="-54"/>
        </w:rPr>
        <w:t xml:space="preserve"> </w:t>
      </w:r>
      <w:r>
        <w:rPr>
          <w:b/>
          <w:bCs/>
          <w:i/>
          <w:iCs/>
          <w:spacing w:val="-23"/>
        </w:rPr>
        <w:t>上海证券研究所</w:t>
      </w:r>
    </w:p>
    <w:p>
      <w:pPr>
        <w:pStyle w:val="BodyText"/>
        <w:spacing w:before="300" w:line="220" w:lineRule="auto"/>
        <w:ind w:left="1052"/>
        <w:rPr>
          <w:sz w:val="20"/>
          <w:szCs w:val="20"/>
        </w:rPr>
      </w:pPr>
      <w:r>
        <w:rPr>
          <w:b/>
          <w:bCs/>
          <w:spacing w:val="29"/>
          <w:sz w:val="20"/>
          <w:szCs w:val="20"/>
          <w:u w:val="single" w:color="auto"/>
        </w:rPr>
        <w:t>图8:挖掘机销售数据跟踪(台，%)</w:t>
      </w:r>
      <w:r>
        <w:rPr>
          <w:spacing w:val="29"/>
          <w:sz w:val="20"/>
          <w:szCs w:val="20"/>
          <w:u w:val="single" w:color="auto"/>
        </w:rPr>
        <w:t xml:space="preserve">      </w:t>
      </w:r>
    </w:p>
    <w:p>
      <w:pPr>
        <w:spacing w:before="135" w:line="2470" w:lineRule="exact"/>
        <w:ind w:firstLine="970"/>
      </w:pPr>
      <w:r>
        <w:rPr>
          <w:position w:val="-49"/>
        </w:rPr>
        <w:drawing>
          <wp:inline distT="0" distB="0" distL="0" distR="0">
            <wp:extent cx="2660610" cy="1568507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660610" cy="1568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76" w:line="197" w:lineRule="auto"/>
        <w:ind w:left="1046"/>
      </w:pPr>
      <w:r>
        <w:rPr>
          <w:b/>
          <w:bCs/>
          <w:i/>
          <w:iCs/>
          <w:spacing w:val="-10"/>
          <w:w w:val="93"/>
        </w:rPr>
        <w:t>黄料来源：</w:t>
      </w:r>
      <w:r>
        <w:rPr>
          <w:rFonts w:ascii="Times New Roman" w:eastAsia="Times New Roman" w:hAnsi="Times New Roman" w:cs="Times New Roman"/>
          <w:b/>
          <w:bCs/>
          <w:i/>
          <w:iCs/>
          <w:spacing w:val="-10"/>
          <w:w w:val="93"/>
          <w:sz w:val="20"/>
          <w:szCs w:val="20"/>
        </w:rPr>
        <w:t>iFinD,</w:t>
      </w:r>
      <w:r>
        <w:rPr>
          <w:rFonts w:ascii="Times New Roman" w:eastAsia="Times New Roman" w:hAnsi="Times New Roman" w:cs="Times New Roman"/>
          <w:b/>
          <w:bCs/>
          <w:i/>
          <w:iCs/>
          <w:spacing w:val="11"/>
          <w:sz w:val="20"/>
          <w:szCs w:val="20"/>
        </w:rPr>
        <w:t xml:space="preserve">  </w:t>
      </w:r>
      <w:r>
        <w:rPr>
          <w:b/>
          <w:bCs/>
          <w:i/>
          <w:iCs/>
          <w:spacing w:val="-10"/>
          <w:w w:val="93"/>
        </w:rPr>
        <w:t>上海证券研究所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1" w:line="223" w:lineRule="auto"/>
        <w:ind w:left="172"/>
        <w:rPr>
          <w:sz w:val="20"/>
          <w:szCs w:val="20"/>
        </w:rPr>
      </w:pPr>
      <w: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89418</wp:posOffset>
            </wp:positionH>
            <wp:positionV relativeFrom="paragraph">
              <wp:posOffset>146077</wp:posOffset>
            </wp:positionV>
            <wp:extent cx="2691895" cy="635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69189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23"/>
          <w:sz w:val="20"/>
          <w:szCs w:val="20"/>
        </w:rPr>
        <w:t>图5:制造业固定资产投资额跟踪(%)</w:t>
      </w:r>
    </w:p>
    <w:p>
      <w:pPr>
        <w:spacing w:before="179" w:line="225" w:lineRule="auto"/>
        <w:ind w:left="1440"/>
        <w:rPr>
          <w:rFonts w:ascii="STXinwei" w:eastAsia="STXinwei" w:hAnsi="STXinwei" w:cs="STXinwei"/>
          <w:sz w:val="8"/>
          <w:szCs w:val="8"/>
        </w:rPr>
      </w:pPr>
      <w:r>
        <w:rPr>
          <w:rFonts w:ascii="STXinwei" w:eastAsia="STXinwei" w:hAnsi="STXinwei" w:cs="STXinwei"/>
          <w:spacing w:val="6"/>
          <w:sz w:val="8"/>
          <w:szCs w:val="8"/>
        </w:rPr>
        <w:t>一   定贵产经测(不告农户实成断制法业原计用比</w:t>
      </w:r>
    </w:p>
    <w:p>
      <w:pPr>
        <w:spacing w:before="39" w:line="2559" w:lineRule="exact"/>
      </w:pPr>
      <w:r>
        <w:rPr>
          <w:position w:val="-51"/>
        </w:rPr>
        <w:drawing>
          <wp:inline distT="0" distB="0" distL="0" distR="0">
            <wp:extent cx="2825783" cy="1624369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825783" cy="1624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98" w:lineRule="auto"/>
        <w:ind w:left="166"/>
      </w:pPr>
      <w:r>
        <w:rPr>
          <w:b/>
          <w:bCs/>
          <w:i/>
          <w:iCs/>
          <w:spacing w:val="-14"/>
          <w:w w:val="96"/>
        </w:rPr>
        <w:t>资料来源：</w:t>
      </w:r>
      <w:r>
        <w:rPr>
          <w:rFonts w:ascii="Times New Roman" w:eastAsia="Times New Roman" w:hAnsi="Times New Roman" w:cs="Times New Roman"/>
          <w:b/>
          <w:bCs/>
          <w:i/>
          <w:iCs/>
          <w:spacing w:val="-14"/>
          <w:w w:val="96"/>
          <w:sz w:val="20"/>
          <w:szCs w:val="20"/>
        </w:rPr>
        <w:t xml:space="preserve">iFinD,   </w:t>
      </w:r>
      <w:r>
        <w:rPr>
          <w:b/>
          <w:bCs/>
          <w:i/>
          <w:iCs/>
          <w:spacing w:val="-14"/>
          <w:w w:val="96"/>
        </w:rPr>
        <w:t>上海证券研究所</w:t>
      </w:r>
    </w:p>
    <w:p>
      <w:pPr>
        <w:spacing w:line="286" w:lineRule="auto"/>
        <w:rPr>
          <w:rFonts w:ascii="Arial"/>
          <w:sz w:val="21"/>
        </w:rPr>
      </w:pPr>
    </w:p>
    <w:p>
      <w:pPr>
        <w:pStyle w:val="BodyText"/>
        <w:spacing w:before="66" w:line="184" w:lineRule="auto"/>
        <w:ind w:left="172"/>
        <w:rPr>
          <w:sz w:val="20"/>
          <w:szCs w:val="20"/>
        </w:rPr>
      </w:pPr>
      <w:r>
        <w:rPr>
          <w:b/>
          <w:bCs/>
          <w:spacing w:val="31"/>
          <w:sz w:val="20"/>
          <w:szCs w:val="20"/>
        </w:rPr>
        <w:t>图7:叉车销售数据跟踪(台，%)</w:t>
      </w:r>
    </w:p>
    <w:tbl>
      <w:tblPr>
        <w:tblStyle w:val="TableNormal2"/>
        <w:tblW w:w="4410" w:type="dxa"/>
        <w:tblInd w:w="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310"/>
        <w:gridCol w:w="2100"/>
      </w:tblGrid>
      <w:tr>
        <w:tblPrEx>
          <w:tblW w:w="4410" w:type="dxa"/>
          <w:tblInd w:w="1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470"/>
        </w:trPr>
        <w:tc>
          <w:tcPr>
            <w:tcW w:w="2310" w:type="dxa"/>
            <w:tcBorders>
              <w:top w:val="single" w:sz="4" w:space="0" w:color="000000"/>
            </w:tcBorders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before="27" w:line="190" w:lineRule="auto"/>
              <w:ind w:left="1360"/>
              <w:rPr>
                <w:rFonts w:ascii="STXinwei" w:eastAsia="STXinwei" w:hAnsi="STXinwei" w:cs="STXinwei"/>
                <w:sz w:val="8"/>
                <w:szCs w:val="8"/>
              </w:rPr>
            </w:pPr>
            <w:r>
              <w:rPr>
                <w:rFonts w:ascii="STXinwei" w:eastAsia="STXinwei" w:hAnsi="STXinwei" w:cs="STXinwei"/>
                <w:spacing w:val="-6"/>
                <w:sz w:val="8"/>
                <w:szCs w:val="8"/>
              </w:rPr>
              <w:t>制受：又车合计备月像</w:t>
            </w:r>
          </w:p>
        </w:tc>
        <w:tc>
          <w:tcPr>
            <w:tcW w:w="2100" w:type="dxa"/>
            <w:tcBorders>
              <w:top w:val="single" w:sz="4" w:space="0" w:color="000000"/>
            </w:tcBorders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</w:p>
          <w:p>
            <w:pPr>
              <w:spacing w:before="27" w:line="190" w:lineRule="auto"/>
              <w:ind w:left="220"/>
              <w:rPr>
                <w:rFonts w:ascii="STXinwei" w:eastAsia="STXinwei" w:hAnsi="STXinwei" w:cs="STXinwei"/>
                <w:sz w:val="8"/>
                <w:szCs w:val="8"/>
              </w:rPr>
            </w:pPr>
            <w:r>
              <w:rPr>
                <w:rFonts w:ascii="STXinwei" w:eastAsia="STXinwei" w:hAnsi="STXinwei" w:cs="STXinwei"/>
                <w:spacing w:val="-12"/>
                <w:sz w:val="8"/>
                <w:szCs w:val="8"/>
              </w:rPr>
              <w:t>制登又车：合计：当月阴此</w:t>
            </w:r>
          </w:p>
        </w:tc>
      </w:tr>
      <w:tr>
        <w:tblPrEx>
          <w:tblW w:w="4410" w:type="dxa"/>
          <w:tblInd w:w="10" w:type="dxa"/>
          <w:tblLayout w:type="fixed"/>
        </w:tblPrEx>
        <w:trPr>
          <w:trHeight w:val="2422"/>
        </w:trPr>
        <w:tc>
          <w:tcPr>
            <w:tcW w:w="4410" w:type="dxa"/>
            <w:gridSpan w:val="2"/>
            <w:tcBorders>
              <w:bottom w:val="single" w:sz="2" w:space="0" w:color="FF0000"/>
            </w:tcBorders>
            <w:vAlign w:val="top"/>
          </w:tcPr>
          <w:p>
            <w:pPr>
              <w:spacing w:line="2183" w:lineRule="exact"/>
              <w:ind w:firstLine="80"/>
            </w:pPr>
            <w:r>
              <w:rPr>
                <w:position w:val="-43"/>
              </w:rPr>
              <w:drawing>
                <wp:inline distT="0" distB="0" distL="0" distR="0">
                  <wp:extent cx="2686022" cy="1386590"/>
                  <wp:effectExtent l="0" t="0" r="0" b="0"/>
                  <wp:docPr id="54" name="IM 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 54"/>
                          <pic:cNvPicPr/>
                        </pic:nvPicPr>
                        <pic:blipFill>
                          <a:blip xmlns:r="http://schemas.openxmlformats.org/officeDocument/2006/relationships"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22" cy="1386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4410" w:type="dxa"/>
          <w:tblInd w:w="10" w:type="dxa"/>
          <w:tblLayout w:type="fixed"/>
        </w:tblPrEx>
        <w:trPr>
          <w:trHeight w:val="743"/>
        </w:trPr>
        <w:tc>
          <w:tcPr>
            <w:tcW w:w="4410" w:type="dxa"/>
            <w:gridSpan w:val="2"/>
            <w:tcBorders>
              <w:top w:val="single" w:sz="2" w:space="0" w:color="FF0000"/>
              <w:bottom w:val="single" w:sz="4" w:space="0" w:color="000000"/>
            </w:tcBorders>
            <w:vAlign w:val="top"/>
          </w:tcPr>
          <w:p>
            <w:pPr>
              <w:spacing w:before="2" w:line="209" w:lineRule="auto"/>
              <w:ind w:left="156"/>
              <w:rPr>
                <w:rFonts w:ascii="KaiTi" w:eastAsia="KaiTi" w:hAnsi="KaiTi" w:cs="KaiTi"/>
                <w:sz w:val="21"/>
                <w:szCs w:val="21"/>
              </w:rPr>
            </w:pPr>
            <w:r>
              <w:rPr>
                <w:rFonts w:ascii="KaiTi" w:eastAsia="KaiTi" w:hAnsi="KaiTi" w:cs="KaiTi"/>
                <w:b/>
                <w:bCs/>
                <w:i/>
                <w:iCs/>
                <w:spacing w:val="-14"/>
                <w:w w:val="96"/>
                <w:sz w:val="21"/>
                <w:szCs w:val="21"/>
              </w:rPr>
              <w:t>资料来源：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4"/>
                <w:w w:val="96"/>
                <w:sz w:val="20"/>
                <w:szCs w:val="20"/>
              </w:rPr>
              <w:t xml:space="preserve">iFinD,   </w:t>
            </w:r>
            <w:r>
              <w:rPr>
                <w:rFonts w:ascii="KaiTi" w:eastAsia="KaiTi" w:hAnsi="KaiTi" w:cs="KaiTi"/>
                <w:b/>
                <w:bCs/>
                <w:i/>
                <w:iCs/>
                <w:spacing w:val="-14"/>
                <w:w w:val="96"/>
                <w:sz w:val="21"/>
                <w:szCs w:val="21"/>
              </w:rPr>
              <w:t>上海证券研究所</w:t>
            </w:r>
          </w:p>
        </w:tc>
      </w:tr>
    </w:tbl>
    <w:p>
      <w:pPr>
        <w:spacing w:before="222" w:line="2320" w:lineRule="exact"/>
        <w:ind w:firstLine="50"/>
      </w:pPr>
      <w:r>
        <w:rPr>
          <w:position w:val="-46"/>
        </w:rPr>
        <w:drawing>
          <wp:inline distT="0" distB="0" distL="0" distR="0">
            <wp:extent cx="2755902" cy="1473229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55902" cy="147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93" w:line="183" w:lineRule="auto"/>
        <w:ind w:left="166"/>
      </w:pPr>
      <w:r>
        <w:rPr>
          <w:b/>
          <w:bCs/>
          <w:i/>
          <w:iCs/>
          <w:spacing w:val="-20"/>
        </w:rPr>
        <w:t>资料来源：</w:t>
      </w:r>
      <w:r>
        <w:rPr>
          <w:rFonts w:ascii="SimSun" w:eastAsia="SimSun" w:hAnsi="SimSun" w:cs="SimSun"/>
          <w:b/>
          <w:bCs/>
          <w:i/>
          <w:iCs/>
          <w:spacing w:val="-20"/>
        </w:rPr>
        <w:t>iFinD,</w:t>
      </w:r>
      <w:r>
        <w:rPr>
          <w:b/>
          <w:bCs/>
          <w:i/>
          <w:iCs/>
          <w:spacing w:val="-20"/>
        </w:rPr>
        <w:t>上海证券研究所</w:t>
      </w:r>
    </w:p>
    <w:p>
      <w:pPr>
        <w:spacing w:line="183" w:lineRule="auto"/>
        <w:sectPr>
          <w:headerReference w:type="default" r:id="rId45"/>
          <w:footerReference w:type="default" r:id="rId46"/>
          <w:type w:val="continuous"/>
          <w:pgSz w:w="11910" w:h="16840"/>
          <w:pgMar w:top="400" w:right="1170" w:bottom="400" w:left="739" w:header="0" w:footer="0" w:gutter="0"/>
          <w:pgNumType w:start="13"/>
          <w:cols w:num="2" w:space="708" w:equalWidth="0">
            <w:col w:w="5361" w:space="100"/>
            <w:col w:w="4540" w:space="0"/>
          </w:cols>
        </w:sectPr>
      </w:pPr>
    </w:p>
    <w:p>
      <w:pPr>
        <w:spacing w:line="294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spacing w:before="65" w:line="184" w:lineRule="auto"/>
        <w:ind w:left="379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5"/>
          <w:sz w:val="20"/>
          <w:szCs w:val="20"/>
        </w:rPr>
        <w:t>请务必阅读尾页重要声明7</w:t>
      </w:r>
    </w:p>
    <w:p>
      <w:pPr>
        <w:spacing w:line="184" w:lineRule="auto"/>
        <w:rPr>
          <w:rFonts w:ascii="SimSun" w:eastAsia="SimSun" w:hAnsi="SimSun" w:cs="SimSun"/>
          <w:sz w:val="20"/>
          <w:szCs w:val="20"/>
        </w:rPr>
        <w:sectPr>
          <w:headerReference w:type="default" r:id="rId47"/>
          <w:footerReference w:type="default" r:id="rId48"/>
          <w:type w:val="continuous"/>
          <w:pgSz w:w="11910" w:h="16840"/>
          <w:pgMar w:top="400" w:right="1170" w:bottom="400" w:left="739" w:header="0" w:footer="0" w:gutter="0"/>
          <w:pgNumType w:start="14"/>
          <w:cols w:num="1" w:space="708" w:equalWidth="0">
            <w:col w:w="10000" w:space="0"/>
          </w:cols>
        </w:sectPr>
      </w:pPr>
    </w:p>
    <w:p>
      <w:pPr>
        <w:spacing w:line="408" w:lineRule="auto"/>
        <w:rPr>
          <w:rFonts w:ascii="Arial"/>
          <w:sz w:val="21"/>
        </w:rPr>
      </w:pPr>
      <w:r>
        <w:pict>
          <v:rect id="_x0000_s1042" style="width:220.55pt;height:0.55pt;margin-top:592.5pt;margin-left:81.5pt;mso-position-horizontal-relative:page;mso-position-vertical-relative:page;position:absolute;z-index:251685888" o:allowincell="f" filled="t" fillcolor="red" stroked="f"/>
        </w:pict>
      </w:r>
      <w:r>
        <w:drawing>
          <wp:anchor distT="0" distB="0" distL="0" distR="0" simplePos="0" relativeHeight="251684864" behindDoc="0" locked="0" layoutInCell="0" allowOverlap="1">
            <wp:simplePos x="0" y="0"/>
            <wp:positionH relativeFrom="page">
              <wp:posOffset>3943346</wp:posOffset>
            </wp:positionH>
            <wp:positionV relativeFrom="page">
              <wp:posOffset>2901954</wp:posOffset>
            </wp:positionV>
            <wp:extent cx="2800371" cy="6350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80037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3949698</wp:posOffset>
            </wp:positionH>
            <wp:positionV relativeFrom="page">
              <wp:posOffset>7524732</wp:posOffset>
            </wp:positionV>
            <wp:extent cx="2794019" cy="6416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794019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0" locked="0" layoutInCell="0" allowOverlap="1">
            <wp:simplePos x="0" y="0"/>
            <wp:positionH relativeFrom="page">
              <wp:posOffset>2844765</wp:posOffset>
            </wp:positionH>
            <wp:positionV relativeFrom="page">
              <wp:posOffset>9747226</wp:posOffset>
            </wp:positionV>
            <wp:extent cx="3930715" cy="6350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3071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469879</wp:posOffset>
            </wp:positionH>
            <wp:positionV relativeFrom="page">
              <wp:posOffset>539802</wp:posOffset>
            </wp:positionV>
            <wp:extent cx="958893" cy="323796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93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75" w:line="219" w:lineRule="auto"/>
        <w:ind w:left="8923"/>
        <w:rPr>
          <w:rFonts w:ascii="SimSun" w:eastAsia="SimSun" w:hAnsi="SimSun" w:cs="SimSun"/>
          <w:sz w:val="23"/>
          <w:szCs w:val="23"/>
        </w:rPr>
      </w:pPr>
      <w:bookmarkStart w:id="19" w:name="bookmark24"/>
      <w:bookmarkEnd w:id="19"/>
      <w:bookmarkStart w:id="20" w:name="bookmark25"/>
      <w:bookmarkEnd w:id="20"/>
      <w:bookmarkStart w:id="21" w:name="bookmark26"/>
      <w:bookmarkEnd w:id="21"/>
      <w:bookmarkStart w:id="22" w:name="bookmark27"/>
      <w:bookmarkEnd w:id="22"/>
      <w:bookmarkStart w:id="23" w:name="bookmark6"/>
      <w:bookmarkEnd w:id="23"/>
      <w:r>
        <w:rPr>
          <w:rFonts w:ascii="SimSun" w:eastAsia="SimSun" w:hAnsi="SimSun" w:cs="SimSun"/>
          <w:b/>
          <w:bCs/>
          <w:spacing w:val="-5"/>
          <w:sz w:val="23"/>
          <w:szCs w:val="23"/>
        </w:rPr>
        <w:t>行业周报</w:t>
      </w:r>
    </w:p>
    <w:p>
      <w:pPr>
        <w:spacing w:before="90" w:line="20" w:lineRule="exact"/>
        <w:ind w:firstLine="1680"/>
      </w:pPr>
      <w:r>
        <w:drawing>
          <wp:inline distT="0" distB="0" distL="0" distR="0">
            <wp:extent cx="5283180" cy="1272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8318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4"/>
      </w:pPr>
    </w:p>
    <w:p>
      <w:pPr>
        <w:sectPr>
          <w:headerReference w:type="default" r:id="rId51"/>
          <w:footerReference w:type="default" r:id="rId52"/>
          <w:pgSz w:w="11910" w:h="16840"/>
          <w:pgMar w:top="400" w:right="1170" w:bottom="400" w:left="739" w:header="0" w:footer="0" w:gutter="0"/>
          <w:pgNumType w:start="15"/>
          <w:cols w:num="1" w:space="708" w:equalWidth="0">
            <w:col w:w="10000" w:space="0"/>
          </w:cols>
        </w:sectPr>
      </w:pPr>
    </w:p>
    <w:p>
      <w:pPr>
        <w:pStyle w:val="BodyText"/>
        <w:spacing w:before="47" w:line="225" w:lineRule="auto"/>
        <w:ind w:left="1032"/>
        <w:rPr>
          <w:sz w:val="20"/>
          <w:szCs w:val="20"/>
        </w:rPr>
      </w:pPr>
      <w:r>
        <w:rPr>
          <w:b/>
          <w:bCs/>
          <w:spacing w:val="27"/>
          <w:sz w:val="20"/>
          <w:szCs w:val="20"/>
          <w:u w:val="single" w:color="auto"/>
        </w:rPr>
        <w:t>图10:汽车起重机销售变动趋势(%)</w:t>
      </w:r>
      <w:r>
        <w:rPr>
          <w:spacing w:val="2"/>
          <w:sz w:val="20"/>
          <w:szCs w:val="20"/>
          <w:u w:val="single" w:color="auto"/>
        </w:rPr>
        <w:t xml:space="preserve">       </w:t>
      </w:r>
    </w:p>
    <w:p>
      <w:pPr>
        <w:pStyle w:val="BodyText"/>
        <w:spacing w:before="134" w:line="223" w:lineRule="auto"/>
        <w:ind w:left="2590"/>
        <w:rPr>
          <w:sz w:val="8"/>
          <w:szCs w:val="8"/>
        </w:rPr>
      </w:pPr>
      <w:r>
        <w:rPr>
          <w:color w:val="C00000"/>
          <w:spacing w:val="1"/>
          <w:sz w:val="8"/>
          <w:szCs w:val="8"/>
        </w:rPr>
        <w:t>——</w:t>
      </w:r>
      <w:r>
        <w:rPr>
          <w:color w:val="C00000"/>
          <w:spacing w:val="1"/>
          <w:sz w:val="8"/>
          <w:szCs w:val="8"/>
        </w:rPr>
        <w:t xml:space="preserve"> </w:t>
      </w:r>
      <w:r>
        <w:rPr>
          <w:spacing w:val="1"/>
          <w:sz w:val="8"/>
          <w:szCs w:val="8"/>
        </w:rPr>
        <w:t>销量：汽车起重机当月同此</w:t>
      </w:r>
    </w:p>
    <w:p>
      <w:pPr>
        <w:spacing w:before="32" w:line="2361" w:lineRule="exact"/>
        <w:ind w:firstLine="880"/>
      </w:pPr>
      <w:r>
        <w:rPr>
          <w:position w:val="-47"/>
        </w:rPr>
        <w:drawing>
          <wp:inline distT="0" distB="0" distL="0" distR="0">
            <wp:extent cx="2832136" cy="1499324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832136" cy="1499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" w:line="175" w:lineRule="auto"/>
        <w:ind w:left="1027"/>
      </w:pPr>
      <w:r>
        <w:rPr>
          <w:b/>
          <w:bCs/>
          <w:i/>
          <w:iCs/>
          <w:spacing w:val="-20"/>
        </w:rPr>
        <w:t>资料来源：</w:t>
      </w:r>
      <w:r>
        <w:rPr>
          <w:rFonts w:ascii="SimSun" w:eastAsia="SimSun" w:hAnsi="SimSun" w:cs="SimSun"/>
          <w:b/>
          <w:bCs/>
          <w:i/>
          <w:iCs/>
          <w:spacing w:val="-20"/>
        </w:rPr>
        <w:t>iFinD,</w:t>
      </w:r>
      <w:r>
        <w:rPr>
          <w:b/>
          <w:bCs/>
          <w:i/>
          <w:iCs/>
          <w:spacing w:val="-20"/>
        </w:rPr>
        <w:t>上海证券研究所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0" w:line="220" w:lineRule="auto"/>
        <w:ind w:left="162"/>
        <w:rPr>
          <w:sz w:val="20"/>
          <w:szCs w:val="20"/>
        </w:rPr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column">
              <wp:posOffset>83064</wp:posOffset>
            </wp:positionH>
            <wp:positionV relativeFrom="paragraph">
              <wp:posOffset>146157</wp:posOffset>
            </wp:positionV>
            <wp:extent cx="2691895" cy="6350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69189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27"/>
          <w:sz w:val="20"/>
          <w:szCs w:val="20"/>
        </w:rPr>
        <w:t>图11:装载机销售数据跟踪(台，%)</w:t>
      </w:r>
    </w:p>
    <w:p>
      <w:pPr>
        <w:pStyle w:val="BodyText"/>
        <w:spacing w:before="245" w:line="205" w:lineRule="auto"/>
        <w:ind w:left="1490"/>
        <w:rPr>
          <w:sz w:val="8"/>
          <w:szCs w:val="8"/>
        </w:rPr>
      </w:pPr>
      <w:r>
        <w:rPr>
          <w:spacing w:val="-9"/>
          <w:sz w:val="8"/>
          <w:szCs w:val="8"/>
        </w:rPr>
        <w:t>销量：装载权音月性</w:t>
      </w:r>
      <w:r>
        <w:rPr>
          <w:spacing w:val="-9"/>
          <w:sz w:val="8"/>
          <w:szCs w:val="8"/>
        </w:rPr>
        <w:t xml:space="preserve">    </w:t>
      </w:r>
      <w:r>
        <w:rPr>
          <w:color w:val="F3690D"/>
          <w:spacing w:val="-9"/>
          <w:sz w:val="8"/>
          <w:szCs w:val="8"/>
        </w:rPr>
        <w:t>——</w:t>
      </w:r>
      <w:r>
        <w:rPr>
          <w:color w:val="F3690D"/>
          <w:spacing w:val="-9"/>
          <w:sz w:val="8"/>
          <w:szCs w:val="8"/>
        </w:rPr>
        <w:t xml:space="preserve">  </w:t>
      </w:r>
      <w:r>
        <w:rPr>
          <w:spacing w:val="-9"/>
          <w:sz w:val="8"/>
          <w:szCs w:val="8"/>
        </w:rPr>
        <w:t>销量：装载机：当月同此</w:t>
      </w:r>
    </w:p>
    <w:p>
      <w:pPr>
        <w:spacing w:line="2110" w:lineRule="exact"/>
        <w:ind w:firstLine="70"/>
      </w:pPr>
      <w:r>
        <w:rPr>
          <w:position w:val="-42"/>
        </w:rPr>
        <w:drawing>
          <wp:inline distT="0" distB="0" distL="0" distR="0">
            <wp:extent cx="2692374" cy="1339776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692374" cy="133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7" w:line="188" w:lineRule="auto"/>
        <w:ind w:left="157"/>
      </w:pPr>
      <w:r>
        <w:rPr>
          <w:b/>
          <w:bCs/>
          <w:i/>
          <w:iCs/>
          <w:spacing w:val="-14"/>
          <w:w w:val="97"/>
        </w:rPr>
        <w:t>黄料来源：</w:t>
      </w:r>
      <w:r>
        <w:rPr>
          <w:rFonts w:ascii="Times New Roman" w:eastAsia="Times New Roman" w:hAnsi="Times New Roman" w:cs="Times New Roman"/>
          <w:b/>
          <w:bCs/>
          <w:i/>
          <w:iCs/>
          <w:spacing w:val="-14"/>
          <w:w w:val="97"/>
          <w:sz w:val="20"/>
          <w:szCs w:val="20"/>
        </w:rPr>
        <w:t xml:space="preserve">iFinD,  </w:t>
      </w:r>
      <w:r>
        <w:rPr>
          <w:b/>
          <w:bCs/>
          <w:i/>
          <w:iCs/>
          <w:spacing w:val="-14"/>
          <w:w w:val="97"/>
        </w:rPr>
        <w:t>上海证券研究所</w:t>
      </w:r>
    </w:p>
    <w:p>
      <w:pPr>
        <w:spacing w:line="188" w:lineRule="auto"/>
        <w:sectPr>
          <w:headerReference w:type="default" r:id="rId56"/>
          <w:footerReference w:type="default" r:id="rId57"/>
          <w:type w:val="continuous"/>
          <w:pgSz w:w="11910" w:h="16840"/>
          <w:pgMar w:top="400" w:right="1170" w:bottom="400" w:left="739" w:header="0" w:footer="0" w:gutter="0"/>
          <w:pgNumType w:start="16"/>
          <w:cols w:num="2" w:space="708" w:equalWidth="0">
            <w:col w:w="5371" w:space="100"/>
            <w:col w:w="4530" w:space="0"/>
          </w:cols>
        </w:sectPr>
      </w:pPr>
    </w:p>
    <w:p>
      <w:pPr>
        <w:spacing w:line="475" w:lineRule="auto"/>
        <w:rPr>
          <w:rFonts w:ascii="Arial"/>
          <w:sz w:val="21"/>
        </w:rPr>
      </w:pPr>
    </w:p>
    <w:p>
      <w:pPr>
        <w:pStyle w:val="BodyText"/>
        <w:spacing w:before="65" w:line="227" w:lineRule="auto"/>
        <w:ind w:left="3792"/>
        <w:outlineLvl w:val="1"/>
        <w:rPr>
          <w:sz w:val="20"/>
          <w:szCs w:val="20"/>
        </w:rPr>
      </w:pPr>
      <w:r>
        <w:rPr>
          <w:b/>
          <w:bCs/>
          <w:spacing w:val="-12"/>
          <w:sz w:val="20"/>
          <w:szCs w:val="20"/>
        </w:rPr>
        <w:t>2.2</w:t>
      </w:r>
      <w:r>
        <w:rPr>
          <w:spacing w:val="8"/>
          <w:sz w:val="20"/>
          <w:szCs w:val="20"/>
        </w:rPr>
        <w:t xml:space="preserve">  </w:t>
      </w:r>
      <w:r>
        <w:rPr>
          <w:b/>
          <w:bCs/>
          <w:spacing w:val="-12"/>
          <w:sz w:val="20"/>
          <w:szCs w:val="20"/>
        </w:rPr>
        <w:t>自</w:t>
      </w:r>
      <w:r>
        <w:rPr>
          <w:spacing w:val="-44"/>
          <w:sz w:val="20"/>
          <w:szCs w:val="20"/>
        </w:rPr>
        <w:t xml:space="preserve"> </w:t>
      </w:r>
      <w:r>
        <w:rPr>
          <w:b/>
          <w:bCs/>
          <w:spacing w:val="-12"/>
          <w:sz w:val="20"/>
          <w:szCs w:val="20"/>
        </w:rPr>
        <w:t>动</w:t>
      </w:r>
      <w:r>
        <w:rPr>
          <w:spacing w:val="-48"/>
          <w:sz w:val="20"/>
          <w:szCs w:val="20"/>
        </w:rPr>
        <w:t xml:space="preserve"> </w:t>
      </w:r>
      <w:r>
        <w:rPr>
          <w:b/>
          <w:bCs/>
          <w:spacing w:val="-12"/>
          <w:sz w:val="20"/>
          <w:szCs w:val="20"/>
        </w:rPr>
        <w:t>化</w:t>
      </w:r>
      <w:r>
        <w:rPr>
          <w:spacing w:val="-45"/>
          <w:sz w:val="20"/>
          <w:szCs w:val="20"/>
        </w:rPr>
        <w:t xml:space="preserve"> </w:t>
      </w:r>
      <w:r>
        <w:rPr>
          <w:b/>
          <w:bCs/>
          <w:spacing w:val="-12"/>
          <w:sz w:val="20"/>
          <w:szCs w:val="20"/>
        </w:rPr>
        <w:t>设</w:t>
      </w:r>
      <w:r>
        <w:rPr>
          <w:spacing w:val="-50"/>
          <w:sz w:val="20"/>
          <w:szCs w:val="20"/>
        </w:rPr>
        <w:t xml:space="preserve"> </w:t>
      </w:r>
      <w:r>
        <w:rPr>
          <w:b/>
          <w:bCs/>
          <w:spacing w:val="-12"/>
          <w:sz w:val="20"/>
          <w:szCs w:val="20"/>
        </w:rPr>
        <w:t>备</w:t>
      </w:r>
    </w:p>
    <w:p>
      <w:pPr>
        <w:pStyle w:val="BodyText"/>
        <w:spacing w:before="263" w:line="275" w:lineRule="auto"/>
        <w:ind w:left="3790" w:right="138" w:firstLine="410"/>
        <w:rPr>
          <w:rFonts w:ascii="Arial" w:eastAsia="Arial" w:hAnsi="Arial" w:cs="Arial"/>
          <w:sz w:val="20"/>
          <w:szCs w:val="20"/>
        </w:rPr>
      </w:pPr>
      <w:r>
        <w:rPr>
          <w:spacing w:val="10"/>
          <w:sz w:val="20"/>
          <w:szCs w:val="20"/>
        </w:rPr>
        <w:t>1</w:t>
      </w:r>
      <w:r>
        <w:rPr>
          <w:spacing w:val="-41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)</w:t>
      </w:r>
      <w:r>
        <w:rPr>
          <w:spacing w:val="-39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2</w:t>
      </w:r>
      <w:r>
        <w:rPr>
          <w:spacing w:val="-40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0</w:t>
      </w:r>
      <w:r>
        <w:rPr>
          <w:spacing w:val="-39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2</w:t>
      </w:r>
      <w:r>
        <w:rPr>
          <w:spacing w:val="-43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4</w:t>
      </w:r>
      <w:r>
        <w:rPr>
          <w:spacing w:val="-37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年</w:t>
      </w:r>
      <w:r>
        <w:rPr>
          <w:spacing w:val="-28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1</w:t>
      </w:r>
      <w:r>
        <w:rPr>
          <w:spacing w:val="-29"/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月</w:t>
      </w:r>
      <w:r>
        <w:rPr>
          <w:rFonts w:ascii="SimSun" w:eastAsia="SimSun" w:hAnsi="SimSun" w:cs="SimSun"/>
          <w:spacing w:val="10"/>
          <w:sz w:val="20"/>
          <w:szCs w:val="20"/>
        </w:rPr>
        <w:t xml:space="preserve">M1、M2  </w:t>
      </w:r>
      <w:r>
        <w:rPr>
          <w:spacing w:val="10"/>
          <w:sz w:val="20"/>
          <w:szCs w:val="20"/>
        </w:rPr>
        <w:t>分别同比+5.9%、+8.7%</w:t>
      </w:r>
      <w:r>
        <w:rPr>
          <w:spacing w:val="9"/>
          <w:sz w:val="20"/>
          <w:szCs w:val="20"/>
        </w:rPr>
        <w:t>,增速分别</w:t>
      </w:r>
      <w:r>
        <w:rPr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较上月+4.6、</w:t>
      </w:r>
      <w:r>
        <w:rPr>
          <w:spacing w:val="-55"/>
          <w:sz w:val="20"/>
          <w:szCs w:val="20"/>
        </w:rPr>
        <w:t xml:space="preserve"> </w:t>
      </w:r>
      <w:r>
        <w:rPr>
          <w:spacing w:val="-6"/>
          <w:sz w:val="20"/>
          <w:szCs w:val="20"/>
        </w:rPr>
        <w:t>-1.0</w:t>
      </w:r>
      <w:r>
        <w:rPr>
          <w:rFonts w:ascii="Arial" w:eastAsia="Arial" w:hAnsi="Arial" w:cs="Arial"/>
          <w:spacing w:val="-6"/>
          <w:sz w:val="20"/>
          <w:szCs w:val="20"/>
        </w:rPr>
        <w:t>pct;</w:t>
      </w:r>
    </w:p>
    <w:p>
      <w:pPr>
        <w:pStyle w:val="BodyText"/>
        <w:spacing w:before="122" w:line="276" w:lineRule="auto"/>
        <w:ind w:left="3790" w:right="232" w:firstLine="410"/>
        <w:rPr>
          <w:rFonts w:ascii="Arial" w:eastAsia="Arial" w:hAnsi="Arial" w:cs="Arial"/>
          <w:sz w:val="20"/>
          <w:szCs w:val="20"/>
        </w:rPr>
      </w:pPr>
      <w:r>
        <w:rPr>
          <w:spacing w:val="23"/>
          <w:sz w:val="20"/>
          <w:szCs w:val="20"/>
        </w:rPr>
        <w:t>2)2023年12月工业机器人产量为4</w:t>
      </w:r>
      <w:r>
        <w:rPr>
          <w:spacing w:val="-55"/>
          <w:sz w:val="20"/>
          <w:szCs w:val="20"/>
        </w:rPr>
        <w:t xml:space="preserve"> </w:t>
      </w:r>
      <w:r>
        <w:rPr>
          <w:spacing w:val="23"/>
          <w:sz w:val="20"/>
          <w:szCs w:val="20"/>
        </w:rPr>
        <w:t>.2</w:t>
      </w:r>
      <w:r>
        <w:rPr>
          <w:spacing w:val="-12"/>
          <w:sz w:val="20"/>
          <w:szCs w:val="20"/>
        </w:rPr>
        <w:t xml:space="preserve"> </w:t>
      </w:r>
      <w:r>
        <w:rPr>
          <w:spacing w:val="23"/>
          <w:sz w:val="20"/>
          <w:szCs w:val="20"/>
        </w:rPr>
        <w:t>万台，同比+3.</w:t>
      </w:r>
      <w:r>
        <w:rPr>
          <w:spacing w:val="22"/>
          <w:sz w:val="20"/>
          <w:szCs w:val="20"/>
        </w:rPr>
        <w:t>8%,</w:t>
      </w:r>
      <w:r>
        <w:rPr>
          <w:sz w:val="20"/>
          <w:szCs w:val="20"/>
        </w:rPr>
        <w:t xml:space="preserve"> </w:t>
      </w:r>
      <w:r>
        <w:rPr>
          <w:spacing w:val="14"/>
          <w:sz w:val="20"/>
          <w:szCs w:val="20"/>
        </w:rPr>
        <w:t>环比上月+15.5%,同比增速较上月+13</w:t>
      </w:r>
      <w:r>
        <w:rPr>
          <w:spacing w:val="13"/>
          <w:sz w:val="20"/>
          <w:szCs w:val="20"/>
        </w:rPr>
        <w:t>.1</w:t>
      </w:r>
      <w:r>
        <w:rPr>
          <w:rFonts w:ascii="Arial" w:eastAsia="Arial" w:hAnsi="Arial" w:cs="Arial"/>
          <w:sz w:val="20"/>
          <w:szCs w:val="20"/>
        </w:rPr>
        <w:t>pct</w:t>
      </w:r>
      <w:r>
        <w:rPr>
          <w:rFonts w:ascii="Arial" w:eastAsia="Arial" w:hAnsi="Arial" w:cs="Arial"/>
          <w:spacing w:val="13"/>
          <w:sz w:val="20"/>
          <w:szCs w:val="20"/>
        </w:rPr>
        <w:t>;</w:t>
      </w:r>
    </w:p>
    <w:p>
      <w:pPr>
        <w:pStyle w:val="BodyText"/>
        <w:spacing w:before="136" w:line="279" w:lineRule="auto"/>
        <w:ind w:left="3790" w:right="142" w:firstLine="410"/>
        <w:rPr>
          <w:rFonts w:ascii="SimSun" w:eastAsia="SimSun" w:hAnsi="SimSun" w:cs="SimSun"/>
          <w:sz w:val="20"/>
          <w:szCs w:val="20"/>
        </w:rPr>
      </w:pPr>
      <w:r>
        <w:rPr>
          <w:spacing w:val="21"/>
          <w:sz w:val="20"/>
          <w:szCs w:val="20"/>
        </w:rPr>
        <w:t>3)2023年12月中国电梯、自动扶梯及升降机产量为14.0万</w:t>
      </w:r>
      <w:r>
        <w:rPr>
          <w:spacing w:val="5"/>
          <w:sz w:val="20"/>
          <w:szCs w:val="20"/>
        </w:rPr>
        <w:t xml:space="preserve"> </w:t>
      </w:r>
      <w:r>
        <w:rPr>
          <w:spacing w:val="17"/>
          <w:sz w:val="20"/>
          <w:szCs w:val="20"/>
        </w:rPr>
        <w:t>台，同比+10.2%,环比上月+4.5%,同比增速较上月+9.5</w:t>
      </w:r>
      <w:r>
        <w:rPr>
          <w:rFonts w:ascii="SimSun" w:eastAsia="SimSun" w:hAnsi="SimSun" w:cs="SimSun"/>
          <w:sz w:val="20"/>
          <w:szCs w:val="20"/>
        </w:rPr>
        <w:t>pct</w:t>
      </w:r>
      <w:r>
        <w:rPr>
          <w:rFonts w:ascii="SimSun" w:eastAsia="SimSun" w:hAnsi="SimSun" w:cs="SimSun"/>
          <w:spacing w:val="17"/>
          <w:sz w:val="20"/>
          <w:szCs w:val="20"/>
        </w:rPr>
        <w:t>;</w:t>
      </w:r>
    </w:p>
    <w:p>
      <w:pPr>
        <w:pStyle w:val="BodyText"/>
        <w:spacing w:before="110" w:line="278" w:lineRule="auto"/>
        <w:ind w:left="3790" w:right="147" w:firstLine="410"/>
        <w:rPr>
          <w:sz w:val="20"/>
          <w:szCs w:val="20"/>
        </w:rPr>
      </w:pPr>
      <w:r>
        <w:rPr>
          <w:spacing w:val="24"/>
          <w:sz w:val="20"/>
          <w:szCs w:val="20"/>
        </w:rPr>
        <w:t>4)2023年12月金属切削机床产量当月值</w:t>
      </w:r>
      <w:r>
        <w:rPr>
          <w:spacing w:val="23"/>
          <w:sz w:val="20"/>
          <w:szCs w:val="20"/>
        </w:rPr>
        <w:t>为5</w:t>
      </w:r>
      <w:r>
        <w:rPr>
          <w:spacing w:val="-60"/>
          <w:sz w:val="20"/>
          <w:szCs w:val="20"/>
        </w:rPr>
        <w:t xml:space="preserve"> </w:t>
      </w:r>
      <w:r>
        <w:rPr>
          <w:spacing w:val="23"/>
          <w:sz w:val="20"/>
          <w:szCs w:val="20"/>
        </w:rPr>
        <w:t>.9万台，同比</w:t>
      </w:r>
      <w:r>
        <w:rPr>
          <w:sz w:val="20"/>
          <w:szCs w:val="20"/>
        </w:rPr>
        <w:t xml:space="preserve"> </w:t>
      </w:r>
      <w:r>
        <w:rPr>
          <w:spacing w:val="19"/>
          <w:sz w:val="20"/>
          <w:szCs w:val="20"/>
        </w:rPr>
        <w:t>+11.3%,环比上月+3.5%。</w:t>
      </w:r>
    </w:p>
    <w:p>
      <w:pPr>
        <w:spacing w:before="83"/>
      </w:pPr>
    </w:p>
    <w:p>
      <w:pPr>
        <w:sectPr>
          <w:headerReference w:type="default" r:id="rId58"/>
          <w:footerReference w:type="default" r:id="rId59"/>
          <w:type w:val="continuous"/>
          <w:pgSz w:w="11910" w:h="16840"/>
          <w:pgMar w:top="400" w:right="1170" w:bottom="400" w:left="739" w:header="0" w:footer="0" w:gutter="0"/>
          <w:pgNumType w:start="17"/>
          <w:cols w:num="1" w:space="708" w:equalWidth="0">
            <w:col w:w="10000" w:space="0"/>
          </w:cols>
        </w:sectPr>
      </w:pPr>
    </w:p>
    <w:p>
      <w:pPr>
        <w:pStyle w:val="BodyText"/>
        <w:spacing w:before="45" w:line="223" w:lineRule="auto"/>
        <w:ind w:left="1032"/>
        <w:rPr>
          <w:sz w:val="20"/>
          <w:szCs w:val="20"/>
        </w:rPr>
      </w:pPr>
      <w:r>
        <w:rPr>
          <w:b/>
          <w:bCs/>
          <w:sz w:val="20"/>
          <w:szCs w:val="20"/>
        </w:rPr>
        <w:t>图12:</w:t>
      </w:r>
      <w:r>
        <w:rPr>
          <w:spacing w:val="-29"/>
          <w:sz w:val="20"/>
          <w:szCs w:val="20"/>
        </w:rPr>
        <w:t xml:space="preserve"> </w:t>
      </w:r>
      <w:r>
        <w:rPr>
          <w:rFonts w:ascii="SimSun" w:eastAsia="SimSun" w:hAnsi="SimSun" w:cs="SimSun"/>
          <w:b/>
          <w:bCs/>
          <w:sz w:val="20"/>
          <w:szCs w:val="20"/>
        </w:rPr>
        <w:t>M1、M2</w:t>
      </w:r>
      <w:r>
        <w:rPr>
          <w:rFonts w:ascii="SimSun" w:eastAsia="SimSun" w:hAnsi="SimSun" w:cs="SimSun"/>
          <w:spacing w:val="5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当月同比变动(%)</w:t>
      </w:r>
    </w:p>
    <w:p>
      <w:pPr>
        <w:pStyle w:val="BodyText"/>
        <w:spacing w:before="149" w:line="223" w:lineRule="auto"/>
        <w:ind w:left="2240"/>
        <w:rPr>
          <w:sz w:val="8"/>
          <w:szCs w:val="8"/>
        </w:rPr>
      </w:pPr>
      <w:r>
        <w:rPr>
          <w:color w:val="F06000"/>
          <w:spacing w:val="5"/>
          <w:sz w:val="8"/>
          <w:szCs w:val="8"/>
        </w:rPr>
        <w:t>—</w:t>
      </w:r>
      <w:r>
        <w:rPr>
          <w:rFonts w:ascii="Times New Roman" w:eastAsia="Times New Roman" w:hAnsi="Times New Roman" w:cs="Times New Roman"/>
          <w:spacing w:val="5"/>
          <w:sz w:val="8"/>
          <w:szCs w:val="8"/>
        </w:rPr>
        <w:t>M1</w:t>
      </w:r>
      <w:r>
        <w:rPr>
          <w:spacing w:val="5"/>
          <w:sz w:val="8"/>
          <w:szCs w:val="8"/>
        </w:rPr>
        <w:t>(货币)同比</w:t>
      </w:r>
      <w:r>
        <w:rPr>
          <w:spacing w:val="5"/>
          <w:sz w:val="8"/>
          <w:szCs w:val="8"/>
        </w:rPr>
        <w:t xml:space="preserve">    </w:t>
      </w:r>
      <w:r>
        <w:rPr>
          <w:color w:val="F06000"/>
          <w:spacing w:val="5"/>
          <w:sz w:val="8"/>
          <w:szCs w:val="8"/>
        </w:rPr>
        <w:t>——</w:t>
      </w:r>
      <w:r>
        <w:rPr>
          <w:color w:val="F06000"/>
          <w:spacing w:val="36"/>
          <w:w w:val="101"/>
          <w:sz w:val="8"/>
          <w:szCs w:val="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8"/>
          <w:szCs w:val="8"/>
        </w:rPr>
        <w:t>M2</w:t>
      </w:r>
      <w:r>
        <w:rPr>
          <w:spacing w:val="5"/>
          <w:sz w:val="8"/>
          <w:szCs w:val="8"/>
        </w:rPr>
        <w:t>(货市和准货币)网比</w:t>
      </w:r>
    </w:p>
    <w:p>
      <w:pPr>
        <w:spacing w:before="2" w:line="2330" w:lineRule="exact"/>
        <w:ind w:firstLine="900"/>
      </w:pPr>
      <w:r>
        <w:rPr>
          <w:position w:val="-46"/>
        </w:rPr>
        <w:drawing>
          <wp:inline distT="0" distB="0" distL="0" distR="0">
            <wp:extent cx="2736843" cy="1479538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736843" cy="1479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46" w:line="183" w:lineRule="auto"/>
        <w:ind w:left="1026"/>
      </w:pPr>
      <w:r>
        <w:rPr>
          <w:b/>
          <w:bCs/>
          <w:i/>
          <w:iCs/>
          <w:spacing w:val="-11"/>
          <w:w w:val="94"/>
        </w:rPr>
        <w:t>黄料来源：</w:t>
      </w:r>
      <w:r>
        <w:rPr>
          <w:rFonts w:ascii="Times New Roman" w:eastAsia="Times New Roman" w:hAnsi="Times New Roman" w:cs="Times New Roman"/>
          <w:b/>
          <w:bCs/>
          <w:i/>
          <w:iCs/>
          <w:spacing w:val="-11"/>
          <w:w w:val="94"/>
          <w:sz w:val="20"/>
          <w:szCs w:val="20"/>
        </w:rPr>
        <w:t>iFinD,</w:t>
      </w:r>
      <w:r>
        <w:rPr>
          <w:rFonts w:ascii="Times New Roman" w:eastAsia="Times New Roman" w:hAnsi="Times New Roman" w:cs="Times New Roman"/>
          <w:b/>
          <w:bCs/>
          <w:i/>
          <w:iCs/>
          <w:spacing w:val="15"/>
          <w:w w:val="101"/>
          <w:sz w:val="20"/>
          <w:szCs w:val="20"/>
        </w:rPr>
        <w:t xml:space="preserve">  </w:t>
      </w:r>
      <w:r>
        <w:rPr>
          <w:b/>
          <w:bCs/>
          <w:i/>
          <w:iCs/>
          <w:spacing w:val="-11"/>
          <w:w w:val="94"/>
        </w:rPr>
        <w:t>上海证券研究所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0" w:line="220" w:lineRule="auto"/>
        <w:ind w:left="152"/>
        <w:rPr>
          <w:sz w:val="20"/>
          <w:szCs w:val="20"/>
        </w:rPr>
      </w:pPr>
      <w:r>
        <w:rPr>
          <w:b/>
          <w:bCs/>
          <w:spacing w:val="6"/>
          <w:sz w:val="20"/>
          <w:szCs w:val="20"/>
          <w:u w:val="single" w:color="auto"/>
        </w:rPr>
        <w:t>图13;工业机器人产量以及同比变动(台，%)</w:t>
      </w:r>
      <w:r>
        <w:rPr>
          <w:spacing w:val="2"/>
          <w:sz w:val="20"/>
          <w:szCs w:val="20"/>
          <w:u w:val="single" w:color="auto"/>
        </w:rPr>
        <w:t xml:space="preserve">   </w:t>
      </w:r>
    </w:p>
    <w:p>
      <w:pPr>
        <w:pStyle w:val="BodyText"/>
        <w:spacing w:before="227" w:line="207" w:lineRule="auto"/>
        <w:ind w:left="1279"/>
        <w:rPr>
          <w:rFonts w:ascii="STXinwei" w:eastAsia="STXinwei" w:hAnsi="STXinwei" w:cs="STXinwei"/>
          <w:sz w:val="8"/>
          <w:szCs w:val="8"/>
        </w:rPr>
      </w:pPr>
      <w:r>
        <w:rPr>
          <w:spacing w:val="-9"/>
          <w:sz w:val="8"/>
          <w:szCs w:val="8"/>
        </w:rPr>
        <w:t>工业机医人：产量：当月值</w:t>
      </w:r>
      <w:r>
        <w:rPr>
          <w:spacing w:val="7"/>
          <w:sz w:val="8"/>
          <w:szCs w:val="8"/>
        </w:rPr>
        <w:t xml:space="preserve">       </w:t>
      </w:r>
      <w:r>
        <w:rPr>
          <w:rFonts w:ascii="STXinwei" w:eastAsia="STXinwei" w:hAnsi="STXinwei" w:cs="STXinwei"/>
          <w:spacing w:val="-9"/>
          <w:sz w:val="8"/>
          <w:szCs w:val="8"/>
        </w:rPr>
        <w:t>一工业机器人：产量车月两比</w:t>
      </w:r>
    </w:p>
    <w:p>
      <w:pPr>
        <w:spacing w:line="2130" w:lineRule="exact"/>
        <w:ind w:firstLine="110"/>
      </w:pPr>
      <w:r>
        <w:rPr>
          <w:position w:val="-42"/>
        </w:rPr>
        <w:drawing>
          <wp:inline distT="0" distB="0" distL="0" distR="0">
            <wp:extent cx="2622494" cy="1352501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622494" cy="135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7" w:line="183" w:lineRule="auto"/>
        <w:ind w:left="146"/>
      </w:pPr>
      <w:r>
        <w:rPr>
          <w:b/>
          <w:bCs/>
          <w:i/>
          <w:iCs/>
          <w:spacing w:val="-15"/>
          <w:w w:val="96"/>
        </w:rPr>
        <w:t>资料来源：</w:t>
      </w:r>
      <w:r>
        <w:rPr>
          <w:rFonts w:ascii="Times New Roman" w:eastAsia="Times New Roman" w:hAnsi="Times New Roman" w:cs="Times New Roman"/>
          <w:b/>
          <w:bCs/>
          <w:i/>
          <w:iCs/>
          <w:spacing w:val="-15"/>
          <w:w w:val="96"/>
          <w:sz w:val="20"/>
          <w:szCs w:val="20"/>
        </w:rPr>
        <w:t xml:space="preserve">iFinD,   </w:t>
      </w:r>
      <w:r>
        <w:rPr>
          <w:b/>
          <w:bCs/>
          <w:i/>
          <w:iCs/>
          <w:spacing w:val="-15"/>
          <w:w w:val="96"/>
        </w:rPr>
        <w:t>上海证券研究所</w:t>
      </w:r>
    </w:p>
    <w:p>
      <w:pPr>
        <w:spacing w:line="183" w:lineRule="auto"/>
        <w:sectPr>
          <w:headerReference w:type="default" r:id="rId62"/>
          <w:footerReference w:type="default" r:id="rId63"/>
          <w:type w:val="continuous"/>
          <w:pgSz w:w="11910" w:h="16840"/>
          <w:pgMar w:top="400" w:right="1170" w:bottom="400" w:left="739" w:header="0" w:footer="0" w:gutter="0"/>
          <w:pgNumType w:start="18"/>
          <w:cols w:num="2" w:space="708" w:equalWidth="0">
            <w:col w:w="5381" w:space="100"/>
            <w:col w:w="4520" w:space="0"/>
          </w:cols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  <w:sectPr>
          <w:headerReference w:type="default" r:id="rId64"/>
          <w:footerReference w:type="default" r:id="rId65"/>
          <w:type w:val="continuous"/>
          <w:pgSz w:w="11910" w:h="16840"/>
          <w:pgMar w:top="400" w:right="1170" w:bottom="400" w:left="739" w:header="0" w:footer="0" w:gutter="0"/>
          <w:pgNumType w:start="19"/>
          <w:cols w:num="1" w:space="708" w:equalWidth="0">
            <w:col w:w="10000" w:space="0"/>
          </w:cols>
        </w:sect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65" w:line="184" w:lineRule="auto"/>
        <w:ind w:left="379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7"/>
          <w:sz w:val="20"/>
          <w:szCs w:val="20"/>
        </w:rPr>
        <w:t>请务必阅读尾页重要声明8</w:t>
      </w:r>
    </w:p>
    <w:p>
      <w:pPr>
        <w:spacing w:line="184" w:lineRule="auto"/>
        <w:rPr>
          <w:rFonts w:ascii="SimSun" w:eastAsia="SimSun" w:hAnsi="SimSun" w:cs="SimSun"/>
          <w:sz w:val="20"/>
          <w:szCs w:val="20"/>
        </w:rPr>
        <w:sectPr>
          <w:headerReference w:type="default" r:id="rId66"/>
          <w:footerReference w:type="default" r:id="rId67"/>
          <w:type w:val="nextPage"/>
          <w:pgSz w:w="11910" w:h="16840"/>
          <w:pgMar w:top="400" w:right="1170" w:bottom="400" w:left="739" w:header="0" w:footer="0" w:gutter="0"/>
          <w:pgNumType w:start="20"/>
          <w:cols w:num="1" w:space="708" w:equalWidth="0">
            <w:col w:w="10000" w:space="0"/>
          </w:cols>
          <w:titlePg w:val="0"/>
        </w:sectPr>
      </w:pPr>
    </w:p>
    <w:p>
      <w:pPr>
        <w:spacing w:line="434" w:lineRule="auto"/>
        <w:rPr>
          <w:rFonts w:ascii="Arial"/>
          <w:sz w:val="21"/>
        </w:rPr>
      </w:pPr>
      <w:r>
        <w:pict>
          <v:rect id="_x0000_s1043" style="width:309.55pt;height:0.5pt;margin-top:767.5pt;margin-left:224pt;mso-position-horizontal-relative:page;mso-position-vertical-relative:page;position:absolute;z-index:251688960" o:allowincell="f" filled="t" fillcolor="black" stroked="f"/>
        </w:pict>
      </w:r>
      <w:r>
        <w:drawing>
          <wp:anchor distT="0" distB="0" distL="0" distR="0" simplePos="0" relativeHeight="251687936" behindDoc="0" locked="0" layoutInCell="0" allowOverlap="1">
            <wp:simplePos x="0" y="0"/>
            <wp:positionH relativeFrom="page">
              <wp:posOffset>469879</wp:posOffset>
            </wp:positionH>
            <wp:positionV relativeFrom="page">
              <wp:posOffset>539802</wp:posOffset>
            </wp:positionV>
            <wp:extent cx="958893" cy="323796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93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9" w:line="219" w:lineRule="auto"/>
        <w:ind w:left="892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b/>
          <w:bCs/>
          <w:spacing w:val="18"/>
          <w:sz w:val="21"/>
          <w:szCs w:val="21"/>
        </w:rPr>
        <w:t>行业周报</w:t>
      </w:r>
    </w:p>
    <w:p>
      <w:pPr>
        <w:spacing w:before="95" w:line="20" w:lineRule="exact"/>
        <w:ind w:firstLine="1680"/>
      </w:pPr>
      <w:r>
        <w:drawing>
          <wp:inline distT="0" distB="0" distL="0" distR="0">
            <wp:extent cx="5283180" cy="1272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83180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85"/>
      </w:pPr>
    </w:p>
    <w:p>
      <w:pPr>
        <w:sectPr>
          <w:headerReference w:type="default" r:id="rId68"/>
          <w:footerReference w:type="default" r:id="rId69"/>
          <w:pgSz w:w="11910" w:h="16840"/>
          <w:pgMar w:top="400" w:right="1170" w:bottom="400" w:left="739" w:header="0" w:footer="0" w:gutter="0"/>
          <w:pgNumType w:start="21"/>
          <w:cols w:num="1" w:space="708" w:equalWidth="0">
            <w:col w:w="10000" w:space="0"/>
          </w:cols>
        </w:sectPr>
      </w:pPr>
    </w:p>
    <w:p>
      <w:pPr>
        <w:pStyle w:val="BodyText"/>
        <w:spacing w:before="43" w:line="201" w:lineRule="auto"/>
        <w:ind w:left="1032" w:right="340"/>
      </w:pPr>
      <w:bookmarkStart w:id="24" w:name="bookmark28"/>
      <w:bookmarkEnd w:id="24"/>
      <w:bookmarkStart w:id="25" w:name="bookmark29"/>
      <w:bookmarkEnd w:id="25"/>
      <w:bookmarkStart w:id="26" w:name="bookmark30"/>
      <w:bookmarkEnd w:id="26"/>
      <w:bookmarkStart w:id="27" w:name="bookmark31"/>
      <w:bookmarkEnd w:id="27"/>
      <w:bookmarkStart w:id="28" w:name="bookmark7"/>
      <w:bookmarkEnd w:id="28"/>
      <w:bookmarkStart w:id="29" w:name="bookmark8"/>
      <w:bookmarkEnd w:id="29"/>
      <w:r>
        <w:rPr>
          <w:b/>
          <w:bCs/>
          <w:spacing w:val="-25"/>
        </w:rPr>
        <w:t>图14:中国电梯、自动扶梯及升降机产量以及同比</w:t>
      </w:r>
      <w:r>
        <w:rPr>
          <w:spacing w:val="14"/>
        </w:rPr>
        <w:t xml:space="preserve"> </w:t>
      </w:r>
      <w:r>
        <w:rPr>
          <w:b/>
          <w:bCs/>
          <w:spacing w:val="-3"/>
        </w:rPr>
        <w:t>变动(万台，%)</w:t>
      </w:r>
    </w:p>
    <w:p>
      <w:pPr>
        <w:spacing w:before="143" w:line="227" w:lineRule="auto"/>
        <w:ind w:left="1599"/>
        <w:rPr>
          <w:rFonts w:ascii="STXinwei" w:eastAsia="STXinwei" w:hAnsi="STXinwei" w:cs="STXinwei"/>
          <w:sz w:val="8"/>
          <w:szCs w:val="8"/>
        </w:rPr>
      </w:pPr>
      <w:r>
        <w:rPr>
          <w:rFonts w:ascii="STXinwei" w:eastAsia="STXinwei" w:hAnsi="STXinwei" w:cs="STXinwei"/>
          <w:sz w:val="8"/>
          <w:szCs w:val="8"/>
        </w:rPr>
        <w:t>■电梯，自动扶梯及升降机产量；当月值                一电样，自动扶</w:t>
      </w:r>
      <w:r>
        <w:rPr>
          <w:rFonts w:ascii="STXinwei" w:eastAsia="STXinwei" w:hAnsi="STXinwei" w:cs="STXinwei"/>
          <w:spacing w:val="-1"/>
          <w:sz w:val="8"/>
          <w:szCs w:val="8"/>
        </w:rPr>
        <w:t>梯及升降机产量：当月同比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BodyText"/>
        <w:spacing w:before="71" w:line="189" w:lineRule="auto"/>
        <w:ind w:left="1026"/>
        <w:rPr>
          <w:sz w:val="22"/>
          <w:szCs w:val="22"/>
        </w:rPr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column">
              <wp:posOffset>552466</wp:posOffset>
            </wp:positionH>
            <wp:positionV relativeFrom="paragraph">
              <wp:posOffset>-1469661</wp:posOffset>
            </wp:positionV>
            <wp:extent cx="2838488" cy="1543056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838488" cy="1543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spacing w:val="-14"/>
          <w:w w:val="93"/>
          <w:sz w:val="22"/>
          <w:szCs w:val="22"/>
        </w:rPr>
        <w:t>资料来源：</w:t>
      </w:r>
      <w:r>
        <w:rPr>
          <w:rFonts w:ascii="Times New Roman" w:eastAsia="Times New Roman" w:hAnsi="Times New Roman" w:cs="Times New Roman"/>
          <w:b/>
          <w:bCs/>
          <w:i/>
          <w:iCs/>
          <w:spacing w:val="-14"/>
          <w:w w:val="93"/>
        </w:rPr>
        <w:t xml:space="preserve">iFinD,  </w:t>
      </w:r>
      <w:r>
        <w:rPr>
          <w:b/>
          <w:bCs/>
          <w:i/>
          <w:iCs/>
          <w:spacing w:val="-14"/>
          <w:w w:val="93"/>
          <w:sz w:val="22"/>
          <w:szCs w:val="22"/>
        </w:rPr>
        <w:t>上海证券研究所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1" w:line="183" w:lineRule="auto"/>
        <w:ind w:left="152" w:right="254"/>
      </w:pPr>
      <w:r>
        <w:rPr>
          <w:b/>
          <w:bCs/>
          <w:spacing w:val="8"/>
        </w:rPr>
        <w:t>图</w:t>
      </w:r>
      <w:r>
        <w:rPr>
          <w:spacing w:val="8"/>
        </w:rPr>
        <w:t xml:space="preserve"> </w:t>
      </w:r>
      <w:r>
        <w:rPr>
          <w:b/>
          <w:bCs/>
          <w:spacing w:val="8"/>
        </w:rPr>
        <w:t>15:金属切削机床产量以及同比变动(万</w:t>
      </w:r>
      <w:r>
        <w:rPr>
          <w:spacing w:val="14"/>
        </w:rPr>
        <w:t xml:space="preserve"> </w:t>
      </w:r>
      <w:r>
        <w:rPr>
          <w:b/>
          <w:bCs/>
          <w:spacing w:val="-15"/>
        </w:rPr>
        <w:t>台</w:t>
      </w:r>
      <w:r>
        <w:rPr>
          <w:spacing w:val="10"/>
        </w:rPr>
        <w:t xml:space="preserve"> </w:t>
      </w:r>
      <w:r>
        <w:rPr>
          <w:b/>
          <w:bCs/>
          <w:spacing w:val="-15"/>
        </w:rPr>
        <w:t>，</w:t>
      </w:r>
      <w:r>
        <w:rPr>
          <w:spacing w:val="-15"/>
        </w:rPr>
        <w:t xml:space="preserve"> </w:t>
      </w:r>
      <w:r>
        <w:rPr>
          <w:b/>
          <w:bCs/>
          <w:spacing w:val="-15"/>
        </w:rPr>
        <w:t>%</w:t>
      </w:r>
      <w:r>
        <w:rPr>
          <w:spacing w:val="-15"/>
        </w:rPr>
        <w:t xml:space="preserve"> </w:t>
      </w:r>
      <w:r>
        <w:rPr>
          <w:b/>
          <w:bCs/>
          <w:spacing w:val="-15"/>
        </w:rPr>
        <w:t>)</w:t>
      </w:r>
    </w:p>
    <w:p>
      <w:pPr>
        <w:pStyle w:val="BodyText"/>
        <w:spacing w:line="2653" w:lineRule="exact"/>
      </w:pPr>
      <w:r>
        <w:rPr>
          <w:position w:val="-53"/>
        </w:rPr>
        <w:pict>
          <v:group id="_x0000_i1044" style="width:220.05pt;height:132.7pt;mso-position-horizontal-relative:char;mso-position-vertical-relative:line" coordorigin="0,0" coordsize="4401,2653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width:4200;height:2200;left:90;position:absolute;top:363" filled="f" stroked="f">
              <v:imagedata r:id="rId71" o:title=""/>
            </v:shape>
            <v:shape id="_x0000_s1046" type="#_x0000_t202" style="width:4441;height:2703;left:-20;position:absolute;top:-29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3"/>
                      <w:tblW w:w="4400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2375"/>
                      <w:gridCol w:w="2025"/>
                    </w:tblGrid>
                    <w:tr>
                      <w:tblPrEx>
                        <w:tblW w:w="4400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2648"/>
                      </w:trPr>
                      <w:tc>
                        <w:tcPr>
                          <w:tcW w:w="2375" w:type="dxa"/>
                          <w:tcBorders>
                            <w:top w:val="single" w:sz="4" w:space="0" w:color="000000"/>
                            <w:bottom w:val="single" w:sz="2" w:space="0" w:color="FF0000"/>
                          </w:tcBorders>
                          <w:vAlign w:val="top"/>
                        </w:tcPr>
                        <w:p>
                          <w:pPr>
                            <w:spacing w:line="249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26" w:line="231" w:lineRule="auto"/>
                            <w:ind w:left="1430"/>
                            <w:rPr>
                              <w:rFonts w:ascii="STXinwei" w:eastAsia="STXinwei" w:hAnsi="STXinwei" w:cs="STXinwei"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STXinwei" w:eastAsia="STXinwei" w:hAnsi="STXinwei" w:cs="STXinwei"/>
                              <w:spacing w:val="-13"/>
                              <w:sz w:val="8"/>
                              <w:szCs w:val="8"/>
                            </w:rPr>
                            <w:t>切刷机来产量：当月性</w:t>
                          </w:r>
                        </w:p>
                      </w:tc>
                      <w:tc>
                        <w:tcPr>
                          <w:tcW w:w="2025" w:type="dxa"/>
                          <w:tcBorders>
                            <w:top w:val="single" w:sz="4" w:space="0" w:color="000000"/>
                            <w:bottom w:val="single" w:sz="2" w:space="0" w:color="FF0000"/>
                          </w:tcBorders>
                          <w:vAlign w:val="top"/>
                        </w:tcPr>
                        <w:p>
                          <w:pPr>
                            <w:spacing w:line="25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26" w:line="223" w:lineRule="auto"/>
                            <w:ind w:left="294"/>
                            <w:rPr>
                              <w:rFonts w:ascii="KaiTi" w:eastAsia="KaiTi" w:hAnsi="KaiTi" w:cs="KaiTi"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KaiTi" w:eastAsia="KaiTi" w:hAnsi="KaiTi" w:cs="KaiTi"/>
                              <w:spacing w:val="-9"/>
                              <w:sz w:val="8"/>
                              <w:szCs w:val="8"/>
                            </w:rPr>
                            <w:t>切别机康产量</w:t>
                          </w:r>
                          <w:r>
                            <w:rPr>
                              <w:rFonts w:ascii="SimSun" w:eastAsia="SimSun" w:hAnsi="SimSun" w:cs="SimSun"/>
                              <w:spacing w:val="-9"/>
                              <w:sz w:val="8"/>
                              <w:szCs w:val="8"/>
                            </w:rPr>
                            <w:t>：</w:t>
                          </w:r>
                          <w:r>
                            <w:rPr>
                              <w:rFonts w:ascii="KaiTi" w:eastAsia="KaiTi" w:hAnsi="KaiTi" w:cs="KaiTi"/>
                              <w:spacing w:val="-9"/>
                              <w:sz w:val="8"/>
                              <w:szCs w:val="8"/>
                            </w:rPr>
                            <w:t>当月同比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11" w:line="184" w:lineRule="auto"/>
        <w:ind w:left="146"/>
        <w:rPr>
          <w:sz w:val="22"/>
          <w:szCs w:val="22"/>
        </w:rPr>
      </w:pPr>
      <w:r>
        <w:rPr>
          <w:b/>
          <w:bCs/>
          <w:i/>
          <w:iCs/>
          <w:spacing w:val="-21"/>
          <w:w w:val="96"/>
          <w:sz w:val="22"/>
          <w:szCs w:val="22"/>
        </w:rPr>
        <w:t>资料来源：</w:t>
      </w:r>
      <w:r>
        <w:rPr>
          <w:rFonts w:ascii="SimSun" w:eastAsia="SimSun" w:hAnsi="SimSun" w:cs="SimSun"/>
          <w:b/>
          <w:bCs/>
          <w:i/>
          <w:iCs/>
          <w:spacing w:val="-21"/>
          <w:w w:val="96"/>
          <w:sz w:val="22"/>
          <w:szCs w:val="22"/>
        </w:rPr>
        <w:t>iFinD,</w:t>
      </w:r>
      <w:r>
        <w:rPr>
          <w:b/>
          <w:bCs/>
          <w:i/>
          <w:iCs/>
          <w:spacing w:val="-21"/>
          <w:w w:val="96"/>
          <w:sz w:val="22"/>
          <w:szCs w:val="22"/>
        </w:rPr>
        <w:t>上海证券研究所</w:t>
      </w:r>
    </w:p>
    <w:p>
      <w:pPr>
        <w:spacing w:line="184" w:lineRule="auto"/>
        <w:rPr>
          <w:sz w:val="22"/>
          <w:szCs w:val="22"/>
        </w:rPr>
        <w:sectPr>
          <w:headerReference w:type="default" r:id="rId72"/>
          <w:footerReference w:type="default" r:id="rId73"/>
          <w:type w:val="continuous"/>
          <w:pgSz w:w="11910" w:h="16840"/>
          <w:pgMar w:top="400" w:right="1170" w:bottom="400" w:left="739" w:header="0" w:footer="0" w:gutter="0"/>
          <w:pgNumType w:start="22"/>
          <w:cols w:num="2" w:space="708" w:equalWidth="0">
            <w:col w:w="5381" w:space="100"/>
            <w:col w:w="4520" w:space="0"/>
          </w:cols>
        </w:sectPr>
      </w:pPr>
    </w:p>
    <w:p>
      <w:pPr>
        <w:spacing w:line="433" w:lineRule="auto"/>
        <w:rPr>
          <w:rFonts w:ascii="Arial"/>
          <w:sz w:val="21"/>
        </w:rPr>
      </w:pPr>
    </w:p>
    <w:p>
      <w:pPr>
        <w:pStyle w:val="BodyText"/>
        <w:spacing w:before="78" w:line="227" w:lineRule="auto"/>
        <w:ind w:left="3783"/>
        <w:outlineLvl w:val="0"/>
        <w:rPr>
          <w:sz w:val="24"/>
          <w:szCs w:val="24"/>
        </w:rPr>
      </w:pPr>
      <w:r>
        <w:rPr>
          <w:b/>
          <w:bCs/>
          <w:spacing w:val="-10"/>
          <w:sz w:val="24"/>
          <w:szCs w:val="24"/>
        </w:rPr>
        <w:t>2.3</w:t>
      </w:r>
      <w:r>
        <w:rPr>
          <w:spacing w:val="38"/>
          <w:sz w:val="24"/>
          <w:szCs w:val="24"/>
        </w:rPr>
        <w:t xml:space="preserve"> </w:t>
      </w:r>
      <w:r>
        <w:rPr>
          <w:b/>
          <w:bCs/>
          <w:spacing w:val="-10"/>
          <w:sz w:val="24"/>
          <w:szCs w:val="24"/>
        </w:rPr>
        <w:t>锂电设备</w:t>
      </w:r>
    </w:p>
    <w:p>
      <w:pPr>
        <w:pStyle w:val="BodyText"/>
        <w:spacing w:before="231" w:line="270" w:lineRule="auto"/>
        <w:ind w:left="3779" w:right="239" w:firstLine="440"/>
      </w:pPr>
      <w:r>
        <w:rPr>
          <w:spacing w:val="15"/>
        </w:rPr>
        <w:t>1)2024年1月新能源汽车销量为72.9万辆，同比+78.7%,</w:t>
      </w:r>
      <w:r>
        <w:rPr>
          <w:spacing w:val="4"/>
        </w:rPr>
        <w:t xml:space="preserve"> </w:t>
      </w:r>
      <w:r>
        <w:rPr>
          <w:spacing w:val="5"/>
        </w:rPr>
        <w:t>环比上月-38.8%;</w:t>
      </w:r>
    </w:p>
    <w:p>
      <w:pPr>
        <w:pStyle w:val="BodyText"/>
        <w:spacing w:before="104" w:line="270" w:lineRule="auto"/>
        <w:ind w:left="3779" w:right="126" w:firstLine="440"/>
      </w:pPr>
      <w:r>
        <w:rPr>
          <w:spacing w:val="13"/>
        </w:rPr>
        <w:t>2</w:t>
      </w:r>
      <w:r>
        <w:rPr>
          <w:spacing w:val="-44"/>
        </w:rPr>
        <w:t xml:space="preserve"> </w:t>
      </w:r>
      <w:r>
        <w:rPr>
          <w:spacing w:val="13"/>
        </w:rPr>
        <w:t>)</w:t>
      </w:r>
      <w:r>
        <w:rPr>
          <w:spacing w:val="-42"/>
        </w:rPr>
        <w:t xml:space="preserve"> </w:t>
      </w:r>
      <w:r>
        <w:rPr>
          <w:spacing w:val="13"/>
        </w:rPr>
        <w:t>2</w:t>
      </w:r>
      <w:r>
        <w:rPr>
          <w:spacing w:val="-43"/>
        </w:rPr>
        <w:t xml:space="preserve"> </w:t>
      </w:r>
      <w:r>
        <w:rPr>
          <w:spacing w:val="13"/>
        </w:rPr>
        <w:t>0</w:t>
      </w:r>
      <w:r>
        <w:rPr>
          <w:spacing w:val="-42"/>
        </w:rPr>
        <w:t xml:space="preserve"> </w:t>
      </w:r>
      <w:r>
        <w:rPr>
          <w:spacing w:val="13"/>
        </w:rPr>
        <w:t>2</w:t>
      </w:r>
      <w:r>
        <w:rPr>
          <w:spacing w:val="-46"/>
        </w:rPr>
        <w:t xml:space="preserve"> </w:t>
      </w:r>
      <w:r>
        <w:rPr>
          <w:spacing w:val="13"/>
        </w:rPr>
        <w:t>4</w:t>
      </w:r>
      <w:r>
        <w:rPr>
          <w:spacing w:val="-40"/>
        </w:rPr>
        <w:t xml:space="preserve"> </w:t>
      </w:r>
      <w:r>
        <w:rPr>
          <w:spacing w:val="13"/>
        </w:rPr>
        <w:t>年</w:t>
      </w:r>
      <w:r>
        <w:rPr>
          <w:spacing w:val="-30"/>
        </w:rPr>
        <w:t xml:space="preserve"> </w:t>
      </w:r>
      <w:r>
        <w:rPr>
          <w:spacing w:val="13"/>
        </w:rPr>
        <w:t>1</w:t>
      </w:r>
      <w:r>
        <w:rPr>
          <w:spacing w:val="13"/>
        </w:rPr>
        <w:t xml:space="preserve"> </w:t>
      </w:r>
      <w:r>
        <w:rPr>
          <w:spacing w:val="13"/>
        </w:rPr>
        <w:t>月动力电池装车量为3.2</w:t>
      </w:r>
      <w:r>
        <w:rPr>
          <w:spacing w:val="13"/>
        </w:rPr>
        <w:t xml:space="preserve"> </w:t>
      </w:r>
      <w:r>
        <w:rPr>
          <w:spacing w:val="13"/>
        </w:rPr>
        <w:t>万兆瓦</w:t>
      </w:r>
      <w:r>
        <w:rPr>
          <w:spacing w:val="12"/>
        </w:rPr>
        <w:t>时，同比</w:t>
      </w:r>
      <w:r>
        <w:t xml:space="preserve"> </w:t>
      </w:r>
      <w:r>
        <w:rPr>
          <w:spacing w:val="9"/>
        </w:rPr>
        <w:t>+100.2%,环比上月-32.6%。</w:t>
      </w:r>
    </w:p>
    <w:p>
      <w:pPr>
        <w:spacing w:line="303" w:lineRule="auto"/>
        <w:rPr>
          <w:rFonts w:ascii="Arial"/>
          <w:sz w:val="21"/>
        </w:rPr>
      </w:pPr>
    </w:p>
    <w:p>
      <w:pPr>
        <w:pStyle w:val="BodyText"/>
        <w:spacing w:before="69" w:line="203" w:lineRule="auto"/>
        <w:ind w:left="1032"/>
      </w:pPr>
      <w:r>
        <w:rPr>
          <w:b/>
          <w:bCs/>
          <w:spacing w:val="-2"/>
        </w:rPr>
        <w:t>图16:新能源汽车销量以及同比变动(辆，%)</w:t>
      </w:r>
      <w:r>
        <w:rPr>
          <w:spacing w:val="-2"/>
        </w:rPr>
        <w:t xml:space="preserve">        </w:t>
      </w:r>
      <w:r>
        <w:rPr>
          <w:b/>
          <w:bCs/>
          <w:spacing w:val="-2"/>
        </w:rPr>
        <w:t>图</w:t>
      </w:r>
      <w:r>
        <w:rPr>
          <w:spacing w:val="-2"/>
        </w:rPr>
        <w:t xml:space="preserve"> </w:t>
      </w:r>
      <w:r>
        <w:rPr>
          <w:b/>
          <w:bCs/>
          <w:spacing w:val="-2"/>
        </w:rPr>
        <w:t>17:动力电池装车量以及同比变动(兆瓦</w:t>
      </w:r>
    </w:p>
    <w:p>
      <w:pPr>
        <w:pStyle w:val="BodyText"/>
        <w:spacing w:line="174" w:lineRule="auto"/>
        <w:ind w:left="5632"/>
      </w:pPr>
      <w:r>
        <w:rPr>
          <w:b/>
          <w:bCs/>
          <w:spacing w:val="-15"/>
        </w:rPr>
        <w:t>时</w:t>
      </w:r>
      <w:r>
        <w:t xml:space="preserve"> </w:t>
      </w:r>
      <w:r>
        <w:rPr>
          <w:b/>
          <w:bCs/>
          <w:spacing w:val="-15"/>
        </w:rPr>
        <w:t>，</w:t>
      </w:r>
      <w:r>
        <w:rPr>
          <w:spacing w:val="-19"/>
        </w:rPr>
        <w:t xml:space="preserve"> </w:t>
      </w:r>
      <w:r>
        <w:rPr>
          <w:b/>
          <w:bCs/>
          <w:spacing w:val="-15"/>
        </w:rPr>
        <w:t>%</w:t>
      </w:r>
      <w:r>
        <w:rPr>
          <w:spacing w:val="-19"/>
        </w:rPr>
        <w:t xml:space="preserve"> </w:t>
      </w:r>
      <w:r>
        <w:rPr>
          <w:b/>
          <w:bCs/>
          <w:spacing w:val="-15"/>
        </w:rPr>
        <w:t>)</w:t>
      </w:r>
    </w:p>
    <w:p>
      <w:pPr>
        <w:spacing w:line="174" w:lineRule="auto"/>
        <w:sectPr>
          <w:headerReference w:type="default" r:id="rId74"/>
          <w:footerReference w:type="default" r:id="rId75"/>
          <w:type w:val="continuous"/>
          <w:pgSz w:w="11910" w:h="16840"/>
          <w:pgMar w:top="400" w:right="1170" w:bottom="400" w:left="739" w:header="0" w:footer="0" w:gutter="0"/>
          <w:pgNumType w:start="23"/>
          <w:cols w:num="1" w:space="708" w:equalWidth="0">
            <w:col w:w="10000" w:space="0"/>
          </w:cols>
        </w:sectPr>
      </w:pPr>
    </w:p>
    <w:p>
      <w:pPr>
        <w:spacing w:line="34" w:lineRule="exact"/>
      </w:pPr>
    </w:p>
    <w:tbl>
      <w:tblPr>
        <w:tblStyle w:val="TableNormal3"/>
        <w:tblW w:w="4410" w:type="dxa"/>
        <w:tblInd w:w="8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410"/>
      </w:tblGrid>
      <w:tr>
        <w:tblPrEx>
          <w:tblW w:w="4410" w:type="dxa"/>
          <w:tblInd w:w="89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668"/>
        </w:trPr>
        <w:tc>
          <w:tcPr>
            <w:tcW w:w="4410" w:type="dxa"/>
            <w:tcBorders>
              <w:top w:val="single" w:sz="2" w:space="0" w:color="FF0000"/>
              <w:bottom w:val="single" w:sz="2" w:space="0" w:color="FF0000"/>
            </w:tcBorders>
            <w:vAlign w:val="top"/>
          </w:tcPr>
          <w:p>
            <w:pPr>
              <w:spacing w:before="206" w:line="225" w:lineRule="auto"/>
              <w:ind w:left="1160"/>
              <w:rPr>
                <w:rFonts w:ascii="KaiTi" w:eastAsia="KaiTi" w:hAnsi="KaiTi" w:cs="KaiTi"/>
                <w:sz w:val="8"/>
                <w:szCs w:val="8"/>
              </w:rPr>
            </w:pPr>
            <w:r>
              <w:rPr>
                <w:rFonts w:ascii="KaiTi" w:eastAsia="KaiTi" w:hAnsi="KaiTi" w:cs="KaiTi"/>
                <w:spacing w:val="-4"/>
                <w:sz w:val="8"/>
                <w:szCs w:val="8"/>
              </w:rPr>
              <w:t>■新能源汽车：销量当月值</w:t>
            </w:r>
            <w:r>
              <w:rPr>
                <w:rFonts w:ascii="KaiTi" w:eastAsia="KaiTi" w:hAnsi="KaiTi" w:cs="KaiTi"/>
                <w:sz w:val="8"/>
                <w:szCs w:val="8"/>
              </w:rPr>
              <w:t xml:space="preserve">         </w:t>
            </w:r>
            <w:r>
              <w:rPr>
                <w:rFonts w:ascii="KaiTi" w:eastAsia="KaiTi" w:hAnsi="KaiTi" w:cs="KaiTi"/>
                <w:spacing w:val="-4"/>
                <w:sz w:val="8"/>
                <w:szCs w:val="8"/>
              </w:rPr>
              <w:t>一新能源汽车：销量：当</w:t>
            </w:r>
            <w:r>
              <w:rPr>
                <w:rFonts w:ascii="KaiTi" w:eastAsia="KaiTi" w:hAnsi="KaiTi" w:cs="KaiTi"/>
                <w:spacing w:val="-5"/>
                <w:sz w:val="8"/>
                <w:szCs w:val="8"/>
              </w:rPr>
              <w:t>月同此</w:t>
            </w:r>
          </w:p>
          <w:p>
            <w:pPr>
              <w:spacing w:before="1" w:line="2330" w:lineRule="exact"/>
              <w:ind w:firstLine="60"/>
            </w:pPr>
            <w:r>
              <w:rPr>
                <w:position w:val="-46"/>
              </w:rPr>
              <w:drawing>
                <wp:inline distT="0" distB="0" distL="0" distR="0">
                  <wp:extent cx="2730491" cy="1479538"/>
                  <wp:effectExtent l="0" t="0" r="0" b="0"/>
                  <wp:docPr id="84" name="IM 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 84"/>
                          <pic:cNvPicPr/>
                        </pic:nvPicPr>
                        <pic:blipFill>
                          <a:blip xmlns:r="http://schemas.openxmlformats.org/officeDocument/2006/relationships"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491" cy="1479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4410" w:type="dxa"/>
          <w:tblInd w:w="890" w:type="dxa"/>
          <w:tblLayout w:type="fixed"/>
        </w:tblPrEx>
        <w:trPr>
          <w:trHeight w:val="235"/>
        </w:trPr>
        <w:tc>
          <w:tcPr>
            <w:tcW w:w="4410" w:type="dxa"/>
            <w:tcBorders>
              <w:top w:val="single" w:sz="2" w:space="0" w:color="FF0000"/>
            </w:tcBorders>
            <w:vAlign w:val="top"/>
          </w:tcPr>
          <w:p>
            <w:pPr>
              <w:spacing w:before="17" w:line="174" w:lineRule="auto"/>
              <w:ind w:left="135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b/>
                <w:bCs/>
                <w:i/>
                <w:iCs/>
                <w:spacing w:val="-10"/>
                <w:w w:val="91"/>
                <w:sz w:val="22"/>
                <w:szCs w:val="22"/>
              </w:rPr>
              <w:t>黄料米源：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10"/>
                <w:w w:val="91"/>
                <w:sz w:val="21"/>
                <w:szCs w:val="21"/>
              </w:rPr>
              <w:t>iFinD,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KaiTi" w:eastAsia="KaiTi" w:hAnsi="KaiTi" w:cs="KaiTi"/>
                <w:b/>
                <w:bCs/>
                <w:i/>
                <w:iCs/>
                <w:spacing w:val="-10"/>
                <w:w w:val="91"/>
                <w:sz w:val="22"/>
                <w:szCs w:val="22"/>
              </w:rPr>
              <w:t>上海证券研究所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tbl>
      <w:tblPr>
        <w:tblStyle w:val="TableNormal3"/>
        <w:tblW w:w="44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410"/>
      </w:tblGrid>
      <w:tr>
        <w:tblPrEx>
          <w:tblW w:w="441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51"/>
        </w:trPr>
        <w:tc>
          <w:tcPr>
            <w:tcW w:w="4410" w:type="dxa"/>
            <w:tcBorders>
              <w:top w:val="single" w:sz="4" w:space="0" w:color="000000"/>
            </w:tcBorders>
            <w:vAlign w:val="top"/>
          </w:tcPr>
          <w:p>
            <w:pPr>
              <w:spacing w:before="253" w:line="185" w:lineRule="auto"/>
              <w:ind w:left="1120"/>
              <w:rPr>
                <w:rFonts w:ascii="KaiTi" w:eastAsia="KaiTi" w:hAnsi="KaiTi" w:cs="KaiTi"/>
                <w:sz w:val="8"/>
                <w:szCs w:val="8"/>
              </w:rPr>
            </w:pPr>
            <w:r>
              <w:rPr>
                <w:rFonts w:ascii="STXinwei" w:eastAsia="STXinwei" w:hAnsi="STXinwei" w:cs="STXinwei"/>
                <w:spacing w:val="-1"/>
                <w:sz w:val="8"/>
                <w:szCs w:val="8"/>
              </w:rPr>
              <w:t xml:space="preserve">动力电池装车量：合计：当月值                  </w:t>
            </w:r>
            <w:r>
              <w:rPr>
                <w:rFonts w:ascii="KaiTi" w:eastAsia="KaiTi" w:hAnsi="KaiTi" w:cs="KaiTi"/>
                <w:spacing w:val="-1"/>
                <w:sz w:val="8"/>
                <w:szCs w:val="8"/>
              </w:rPr>
              <w:t>一动力电池装车量合计当月同此</w:t>
            </w:r>
          </w:p>
        </w:tc>
      </w:tr>
      <w:tr>
        <w:tblPrEx>
          <w:tblW w:w="4410" w:type="dxa"/>
          <w:tblInd w:w="0" w:type="dxa"/>
          <w:tblLayout w:type="fixed"/>
        </w:tblPrEx>
        <w:trPr>
          <w:trHeight w:val="2356"/>
        </w:trPr>
        <w:tc>
          <w:tcPr>
            <w:tcW w:w="4410" w:type="dxa"/>
            <w:tcBorders>
              <w:bottom w:val="single" w:sz="4" w:space="0" w:color="FF0000"/>
            </w:tcBorders>
            <w:vAlign w:val="top"/>
          </w:tcPr>
          <w:p>
            <w:pPr>
              <w:spacing w:before="11" w:line="2250" w:lineRule="exact"/>
              <w:ind w:firstLine="10"/>
            </w:pPr>
            <w:r>
              <w:rPr>
                <w:position w:val="-44"/>
              </w:rPr>
              <w:drawing>
                <wp:inline distT="0" distB="0" distL="0" distR="0">
                  <wp:extent cx="2762255" cy="1428745"/>
                  <wp:effectExtent l="0" t="0" r="0" b="0"/>
                  <wp:docPr id="86" name="IM 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 86"/>
                          <pic:cNvPicPr/>
                        </pic:nvPicPr>
                        <pic:blipFill>
                          <a:blip xmlns:r="http://schemas.openxmlformats.org/officeDocument/2006/relationships"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5" cy="142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4410" w:type="dxa"/>
          <w:tblInd w:w="0" w:type="dxa"/>
          <w:tblLayout w:type="fixed"/>
        </w:tblPrEx>
        <w:trPr>
          <w:trHeight w:val="211"/>
        </w:trPr>
        <w:tc>
          <w:tcPr>
            <w:tcW w:w="4410" w:type="dxa"/>
            <w:tcBorders>
              <w:top w:val="single" w:sz="4" w:space="0" w:color="FF0000"/>
            </w:tcBorders>
            <w:vAlign w:val="top"/>
          </w:tcPr>
          <w:p>
            <w:pPr>
              <w:pStyle w:val="TableText"/>
              <w:spacing w:line="168" w:lineRule="auto"/>
              <w:ind w:left="158"/>
              <w:rPr>
                <w:rFonts w:ascii="FangSong" w:eastAsia="FangSong" w:hAnsi="FangSong" w:cs="FangSong"/>
                <w:sz w:val="22"/>
                <w:szCs w:val="22"/>
              </w:rPr>
            </w:pPr>
            <w:r>
              <w:rPr>
                <w:rFonts w:ascii="FangSong" w:eastAsia="FangSong" w:hAnsi="FangSong" w:cs="FangSong"/>
                <w:b/>
                <w:bCs/>
                <w:i/>
                <w:iCs/>
                <w:spacing w:val="-28"/>
                <w:sz w:val="22"/>
                <w:szCs w:val="22"/>
              </w:rPr>
              <w:t>黄料来源：</w:t>
            </w:r>
            <w:r>
              <w:rPr>
                <w:b/>
                <w:bCs/>
                <w:i/>
                <w:iCs/>
                <w:spacing w:val="-28"/>
                <w:sz w:val="22"/>
                <w:szCs w:val="22"/>
              </w:rPr>
              <w:t>iFinD,</w:t>
            </w:r>
            <w:r>
              <w:rPr>
                <w:rFonts w:ascii="FangSong" w:eastAsia="FangSong" w:hAnsi="FangSong" w:cs="FangSong"/>
                <w:b/>
                <w:bCs/>
                <w:i/>
                <w:iCs/>
                <w:spacing w:val="-28"/>
                <w:sz w:val="22"/>
                <w:szCs w:val="22"/>
              </w:rPr>
              <w:t>上海证券研究所</w:t>
            </w:r>
          </w:p>
        </w:tc>
      </w:tr>
    </w:tbl>
    <w:p>
      <w:pPr>
        <w:spacing w:line="89" w:lineRule="auto"/>
        <w:rPr>
          <w:rFonts w:ascii="Arial"/>
          <w:sz w:val="2"/>
        </w:rPr>
      </w:pPr>
    </w:p>
    <w:p>
      <w:pPr>
        <w:spacing w:line="89" w:lineRule="auto"/>
        <w:rPr>
          <w:rFonts w:ascii="Arial" w:eastAsia="Arial" w:hAnsi="Arial" w:cs="Arial"/>
          <w:sz w:val="2"/>
          <w:szCs w:val="2"/>
        </w:rPr>
        <w:sectPr>
          <w:headerReference w:type="default" r:id="rId78"/>
          <w:footerReference w:type="default" r:id="rId79"/>
          <w:type w:val="continuous"/>
          <w:pgSz w:w="11910" w:h="16840"/>
          <w:pgMar w:top="400" w:right="1170" w:bottom="400" w:left="739" w:header="0" w:footer="0" w:gutter="0"/>
          <w:pgNumType w:start="24"/>
          <w:cols w:num="2" w:space="708" w:equalWidth="0">
            <w:col w:w="5371" w:space="100"/>
            <w:col w:w="4530" w:space="0"/>
          </w:cols>
        </w:sectPr>
      </w:pPr>
    </w:p>
    <w:p>
      <w:pPr>
        <w:spacing w:line="475" w:lineRule="auto"/>
        <w:rPr>
          <w:rFonts w:ascii="Arial"/>
          <w:sz w:val="21"/>
        </w:rPr>
      </w:pPr>
    </w:p>
    <w:p>
      <w:pPr>
        <w:pStyle w:val="BodyText"/>
        <w:spacing w:before="68" w:line="224" w:lineRule="auto"/>
        <w:ind w:left="3782"/>
        <w:outlineLvl w:val="1"/>
      </w:pPr>
      <w:r>
        <w:rPr>
          <w:b/>
          <w:bCs/>
          <w:spacing w:val="14"/>
        </w:rPr>
        <w:t>2.4</w:t>
      </w:r>
      <w:r>
        <w:rPr>
          <w:spacing w:val="47"/>
        </w:rPr>
        <w:t xml:space="preserve"> </w:t>
      </w:r>
      <w:r>
        <w:rPr>
          <w:b/>
          <w:bCs/>
          <w:spacing w:val="14"/>
        </w:rPr>
        <w:t>半导体设备</w:t>
      </w:r>
    </w:p>
    <w:p>
      <w:pPr>
        <w:pStyle w:val="BodyText"/>
        <w:spacing w:before="234" w:line="270" w:lineRule="auto"/>
        <w:ind w:left="3779" w:right="166" w:firstLine="440"/>
        <w:sectPr>
          <w:headerReference w:type="default" r:id="rId80"/>
          <w:footerReference w:type="default" r:id="rId81"/>
          <w:type w:val="continuous"/>
          <w:pgSz w:w="11910" w:h="16840"/>
          <w:pgMar w:top="400" w:right="1170" w:bottom="400" w:left="739" w:header="0" w:footer="0" w:gutter="0"/>
          <w:pgNumType w:start="25"/>
          <w:cols w:num="1" w:space="708" w:equalWidth="0">
            <w:col w:w="10000" w:space="0"/>
          </w:cols>
        </w:sectPr>
      </w:pPr>
      <w:r>
        <w:rPr>
          <w:spacing w:val="11"/>
        </w:rPr>
        <w:t>1)2024</w:t>
      </w:r>
      <w:r>
        <w:rPr>
          <w:spacing w:val="43"/>
        </w:rPr>
        <w:t xml:space="preserve">  </w:t>
      </w:r>
      <w:r>
        <w:rPr>
          <w:spacing w:val="11"/>
        </w:rPr>
        <w:t>年</w:t>
      </w:r>
      <w:r>
        <w:rPr>
          <w:spacing w:val="50"/>
        </w:rPr>
        <w:t xml:space="preserve"> </w:t>
      </w:r>
      <w:r>
        <w:rPr>
          <w:spacing w:val="11"/>
        </w:rPr>
        <w:t>1</w:t>
      </w:r>
      <w:r>
        <w:rPr>
          <w:spacing w:val="11"/>
        </w:rPr>
        <w:t xml:space="preserve"> </w:t>
      </w:r>
      <w:r>
        <w:rPr>
          <w:spacing w:val="11"/>
        </w:rPr>
        <w:t>全球半导体销售额为476.3</w:t>
      </w:r>
      <w:r>
        <w:rPr>
          <w:spacing w:val="11"/>
        </w:rPr>
        <w:t xml:space="preserve"> </w:t>
      </w:r>
      <w:r>
        <w:rPr>
          <w:spacing w:val="11"/>
        </w:rPr>
        <w:t>亿美元，同比</w:t>
      </w:r>
      <w:r>
        <w:t xml:space="preserve"> </w:t>
      </w:r>
      <w:r>
        <w:rPr>
          <w:spacing w:val="10"/>
        </w:rPr>
        <w:t>+15.2%,环比上月-2.1%。</w:t>
      </w:r>
    </w:p>
    <w:p>
      <w:pPr>
        <w:pStyle w:val="BodyText"/>
        <w:spacing w:before="105" w:line="270" w:lineRule="auto"/>
        <w:ind w:left="3779" w:right="146" w:firstLine="440"/>
      </w:pPr>
      <w:r>
        <w:rPr>
          <w:spacing w:val="13"/>
        </w:rPr>
        <w:t>2)2024</w:t>
      </w:r>
      <w:r>
        <w:rPr>
          <w:spacing w:val="33"/>
        </w:rPr>
        <w:t xml:space="preserve">  </w:t>
      </w:r>
      <w:r>
        <w:rPr>
          <w:spacing w:val="13"/>
        </w:rPr>
        <w:t>年</w:t>
      </w:r>
      <w:r>
        <w:rPr>
          <w:spacing w:val="41"/>
        </w:rPr>
        <w:t xml:space="preserve"> </w:t>
      </w:r>
      <w:r>
        <w:rPr>
          <w:spacing w:val="13"/>
        </w:rPr>
        <w:t>1</w:t>
      </w:r>
      <w:r>
        <w:rPr>
          <w:spacing w:val="13"/>
        </w:rPr>
        <w:t xml:space="preserve"> </w:t>
      </w:r>
      <w:r>
        <w:rPr>
          <w:spacing w:val="13"/>
        </w:rPr>
        <w:t>中国半导体销售额为1</w:t>
      </w:r>
      <w:r>
        <w:rPr>
          <w:spacing w:val="12"/>
        </w:rPr>
        <w:t>47.6</w:t>
      </w:r>
      <w:r>
        <w:rPr>
          <w:spacing w:val="12"/>
        </w:rPr>
        <w:t xml:space="preserve"> </w:t>
      </w:r>
      <w:r>
        <w:rPr>
          <w:spacing w:val="12"/>
        </w:rPr>
        <w:t>亿美元，同比</w:t>
      </w:r>
      <w:r>
        <w:t xml:space="preserve"> </w:t>
      </w:r>
      <w:r>
        <w:rPr>
          <w:spacing w:val="10"/>
        </w:rPr>
        <w:t>+26.6%,环比上月-2.5%。</w:t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before="69" w:line="184" w:lineRule="auto"/>
        <w:ind w:left="3782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b/>
          <w:bCs/>
          <w:spacing w:val="-3"/>
          <w:sz w:val="21"/>
          <w:szCs w:val="21"/>
        </w:rPr>
        <w:t>请务必阅读尾页重要声明9</w:t>
      </w:r>
    </w:p>
    <w:p>
      <w:pPr>
        <w:spacing w:line="184" w:lineRule="auto"/>
        <w:rPr>
          <w:rFonts w:ascii="SimSun" w:eastAsia="SimSun" w:hAnsi="SimSun" w:cs="SimSun"/>
          <w:sz w:val="21"/>
          <w:szCs w:val="21"/>
        </w:rPr>
        <w:sectPr>
          <w:headerReference w:type="default" r:id="rId82"/>
          <w:footerReference w:type="default" r:id="rId83"/>
          <w:type w:val="nextPage"/>
          <w:pgSz w:w="11910" w:h="16840"/>
          <w:pgMar w:top="400" w:right="1170" w:bottom="400" w:left="739" w:header="0" w:footer="0" w:gutter="0"/>
          <w:pgNumType w:start="26"/>
          <w:cols w:num="1" w:space="708" w:equalWidth="0">
            <w:col w:w="10000" w:space="0"/>
          </w:cols>
          <w:titlePg w:val="0"/>
        </w:sectPr>
      </w:pPr>
    </w:p>
    <w:p>
      <w:pPr>
        <w:spacing w:line="447" w:lineRule="auto"/>
        <w:rPr>
          <w:rFonts w:ascii="Arial"/>
          <w:sz w:val="21"/>
        </w:rPr>
      </w:pPr>
      <w:r>
        <w:pict>
          <v:rect id="_x0000_s1047" style="width:416pt;height:1.05pt;margin-top:62.5pt;margin-left:121pt;mso-position-horizontal-relative:page;mso-position-vertical-relative:page;position:absolute;z-index:251692032" o:allowincell="f" filled="t" fillcolor="black" stroked="f"/>
        </w:pict>
      </w:r>
      <w:r>
        <w:pict>
          <v:rect id="_x0000_s1048" style="width:220.05pt;height:0.5pt;margin-top:253.5pt;margin-left:311pt;mso-position-horizontal-relative:page;mso-position-vertical-relative:page;position:absolute;z-index:251693056" o:allowincell="f" filled="t" fillcolor="red" stroked="f"/>
        </w:pict>
      </w:r>
      <w:r>
        <w:drawing>
          <wp:anchor distT="0" distB="0" distL="0" distR="0" simplePos="0" relativeHeight="251691008" behindDoc="0" locked="0" layoutInCell="0" allowOverlap="1">
            <wp:simplePos x="0" y="0"/>
            <wp:positionH relativeFrom="page">
              <wp:posOffset>469879</wp:posOffset>
            </wp:positionH>
            <wp:positionV relativeFrom="page">
              <wp:posOffset>539802</wp:posOffset>
            </wp:positionV>
            <wp:extent cx="958893" cy="323796"/>
            <wp:effectExtent l="0" t="0" r="0" b="0"/>
            <wp:wrapNone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93" cy="3237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65" w:line="219" w:lineRule="auto"/>
        <w:ind w:left="8922"/>
        <w:rPr>
          <w:rFonts w:ascii="SimSun" w:eastAsia="SimSun" w:hAnsi="SimSun" w:cs="SimSun"/>
          <w:sz w:val="20"/>
          <w:szCs w:val="20"/>
        </w:rPr>
      </w:pPr>
      <w:bookmarkStart w:id="30" w:name="bookmark32"/>
      <w:bookmarkEnd w:id="30"/>
      <w:bookmarkStart w:id="31" w:name="bookmark33"/>
      <w:bookmarkEnd w:id="31"/>
      <w:bookmarkStart w:id="32" w:name="bookmark9"/>
      <w:bookmarkEnd w:id="32"/>
      <w:r>
        <w:rPr>
          <w:rFonts w:ascii="SimSun" w:eastAsia="SimSun" w:hAnsi="SimSun" w:cs="SimSun"/>
          <w:b/>
          <w:bCs/>
          <w:spacing w:val="32"/>
          <w:sz w:val="20"/>
          <w:szCs w:val="20"/>
        </w:rPr>
        <w:t>行业周报</w:t>
      </w:r>
    </w:p>
    <w:p>
      <w:pPr>
        <w:spacing w:before="57"/>
      </w:pPr>
    </w:p>
    <w:p>
      <w:pPr>
        <w:spacing w:before="56"/>
      </w:pPr>
    </w:p>
    <w:p>
      <w:pPr>
        <w:sectPr>
          <w:headerReference w:type="default" r:id="rId84"/>
          <w:footerReference w:type="default" r:id="rId85"/>
          <w:pgSz w:w="11910" w:h="16840"/>
          <w:pgMar w:top="400" w:right="1170" w:bottom="1490" w:left="739" w:header="0" w:footer="1207" w:gutter="0"/>
          <w:pgNumType w:start="27"/>
          <w:cols w:num="1" w:space="708" w:equalWidth="0">
            <w:col w:w="10000" w:space="0"/>
          </w:cols>
        </w:sectPr>
      </w:pPr>
    </w:p>
    <w:p>
      <w:pPr>
        <w:pStyle w:val="BodyText"/>
        <w:spacing w:before="41" w:line="223" w:lineRule="auto"/>
        <w:ind w:left="1032"/>
        <w:rPr>
          <w:sz w:val="20"/>
          <w:szCs w:val="20"/>
        </w:rPr>
      </w:pPr>
      <w:r>
        <w:rPr>
          <w:b/>
          <w:bCs/>
          <w:spacing w:val="-10"/>
          <w:sz w:val="20"/>
          <w:szCs w:val="20"/>
        </w:rPr>
        <w:t>图18:全球半导体销售额以及同比变动(十亿美</w:t>
      </w:r>
    </w:p>
    <w:p>
      <w:pPr>
        <w:pStyle w:val="BodyText"/>
        <w:spacing w:before="5" w:line="3273" w:lineRule="exact"/>
        <w:ind w:firstLine="830"/>
      </w:pPr>
      <w:r>
        <w:rPr>
          <w:position w:val="-65"/>
        </w:rPr>
        <w:pict>
          <v:group id="_x0000_i1049" style="width:225.55pt;height:163.7pt;mso-position-horizontal-relative:char;mso-position-vertical-relative:line" coordorigin="0,0" coordsize="4511,3273" filled="f" stroked="f">
            <v:shape id="_x0000_s1050" type="#_x0000_t75" style="width:4511;height:2880;position:absolute;top:202" filled="f" stroked="f">
              <v:imagedata r:id="rId86" o:title=""/>
            </v:shape>
            <v:shape id="_x0000_s1051" type="#_x0000_t202" style="width:2852;height:3313;left:176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11" w:lineRule="auto"/>
                      <w:ind w:left="23"/>
                      <w:rPr>
                        <w:rFonts w:ascii="KaiTi" w:eastAsia="KaiTi" w:hAnsi="KaiTi" w:cs="KaiTi"/>
                        <w:sz w:val="21"/>
                        <w:szCs w:val="21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i/>
                        <w:iCs/>
                        <w:spacing w:val="-15"/>
                        <w:sz w:val="21"/>
                        <w:szCs w:val="21"/>
                      </w:rPr>
                      <w:t>元，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i/>
                        <w:iCs/>
                        <w:color w:val="FF0000"/>
                        <w:spacing w:val="-15"/>
                        <w:sz w:val="21"/>
                        <w:szCs w:val="21"/>
                      </w:rPr>
                      <w:t>%</w:t>
                    </w:r>
                    <w:r>
                      <w:rPr>
                        <w:rFonts w:ascii="KaiTi" w:eastAsia="KaiTi" w:hAnsi="KaiTi" w:cs="KaiTi"/>
                        <w:color w:val="FF0000"/>
                        <w:spacing w:val="-34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i/>
                        <w:iCs/>
                        <w:spacing w:val="-15"/>
                        <w:sz w:val="21"/>
                        <w:szCs w:val="21"/>
                      </w:rPr>
                      <w:t>)</w:t>
                    </w: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8" w:line="215" w:lineRule="auto"/>
                      <w:ind w:right="2"/>
                      <w:jc w:val="right"/>
                      <w:rPr>
                        <w:rFonts w:ascii="KaiTi" w:eastAsia="KaiTi" w:hAnsi="KaiTi" w:cs="KaiTi"/>
                        <w:sz w:val="21"/>
                        <w:szCs w:val="21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i/>
                        <w:iCs/>
                        <w:spacing w:val="-24"/>
                        <w:sz w:val="21"/>
                        <w:szCs w:val="21"/>
                      </w:rPr>
                      <w:t>资料来源：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i/>
                        <w:iCs/>
                        <w:spacing w:val="-24"/>
                        <w:sz w:val="21"/>
                        <w:szCs w:val="21"/>
                      </w:rPr>
                      <w:t>iFinD,</w:t>
                    </w:r>
                    <w:r>
                      <w:rPr>
                        <w:rFonts w:ascii="SimSun" w:eastAsia="SimSun" w:hAnsi="SimSun" w:cs="SimSun"/>
                        <w:spacing w:val="-54"/>
                        <w:sz w:val="21"/>
                        <w:szCs w:val="21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i/>
                        <w:iCs/>
                        <w:spacing w:val="-24"/>
                        <w:sz w:val="21"/>
                        <w:szCs w:val="21"/>
                      </w:rPr>
                      <w:t>上海证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i/>
                        <w:iCs/>
                        <w:spacing w:val="-23"/>
                        <w:sz w:val="21"/>
                        <w:szCs w:val="21"/>
                      </w:rPr>
                      <w:t>券研究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i/>
                        <w:iCs/>
                        <w:spacing w:val="-9"/>
                        <w:sz w:val="21"/>
                        <w:szCs w:val="21"/>
                      </w:rPr>
                      <w:t>所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0" w:line="223" w:lineRule="auto"/>
        <w:ind w:left="142"/>
        <w:rPr>
          <w:sz w:val="20"/>
          <w:szCs w:val="20"/>
        </w:rPr>
      </w:pPr>
      <w:r>
        <w:rPr>
          <w:b/>
          <w:bCs/>
          <w:spacing w:val="3"/>
          <w:sz w:val="20"/>
          <w:szCs w:val="20"/>
        </w:rPr>
        <w:t>图19:中国半导体销售额以及同比变动(十亿美</w:t>
      </w:r>
    </w:p>
    <w:p>
      <w:pPr>
        <w:pStyle w:val="BodyText"/>
        <w:spacing w:before="5" w:line="211" w:lineRule="auto"/>
        <w:ind w:left="150"/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85102</wp:posOffset>
            </wp:positionH>
            <wp:positionV relativeFrom="paragraph">
              <wp:posOffset>123849</wp:posOffset>
            </wp:positionV>
            <wp:extent cx="2689857" cy="6350"/>
            <wp:effectExtent l="0" t="0" r="0" b="0"/>
            <wp:wrapNone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689857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spacing w:val="30"/>
        </w:rPr>
        <w:t>元</w:t>
      </w:r>
      <w:r>
        <w:rPr>
          <w:spacing w:val="-33"/>
        </w:rPr>
        <w:t xml:space="preserve"> </w:t>
      </w:r>
      <w:r>
        <w:rPr>
          <w:b/>
          <w:bCs/>
          <w:i/>
          <w:iCs/>
          <w:spacing w:val="30"/>
        </w:rPr>
        <w:t>，</w:t>
      </w:r>
      <w:r>
        <w:rPr>
          <w:spacing w:val="-21"/>
        </w:rPr>
        <w:t xml:space="preserve"> </w:t>
      </w:r>
      <w:r>
        <w:rPr>
          <w:b/>
          <w:bCs/>
          <w:i/>
          <w:iCs/>
          <w:spacing w:val="30"/>
        </w:rPr>
        <w:t>%</w:t>
      </w:r>
      <w:r>
        <w:rPr>
          <w:spacing w:val="-61"/>
        </w:rPr>
        <w:t xml:space="preserve"> </w:t>
      </w:r>
      <w:r>
        <w:rPr>
          <w:b/>
          <w:bCs/>
          <w:i/>
          <w:iCs/>
          <w:spacing w:val="30"/>
        </w:rPr>
        <w:t>)</w:t>
      </w:r>
    </w:p>
    <w:p>
      <w:pPr>
        <w:pStyle w:val="BodyText"/>
        <w:spacing w:before="165" w:line="224" w:lineRule="auto"/>
        <w:ind w:left="1499"/>
        <w:rPr>
          <w:sz w:val="14"/>
          <w:szCs w:val="14"/>
        </w:rPr>
      </w:pPr>
      <w:r>
        <w:rPr>
          <w:spacing w:val="1"/>
          <w:sz w:val="14"/>
          <w:szCs w:val="14"/>
        </w:rPr>
        <w:t>中国半导体销售额：当月值</w:t>
      </w:r>
    </w:p>
    <w:p>
      <w:pPr>
        <w:pStyle w:val="BodyText"/>
        <w:spacing w:before="89" w:line="223" w:lineRule="auto"/>
        <w:ind w:left="1470"/>
        <w:rPr>
          <w:sz w:val="14"/>
          <w:szCs w:val="14"/>
        </w:rPr>
      </w:pPr>
      <w:r>
        <w:rPr>
          <w:spacing w:val="-3"/>
          <w:sz w:val="14"/>
          <w:szCs w:val="14"/>
        </w:rPr>
        <w:t>●中国半导体销售额：当月同比</w:t>
      </w:r>
    </w:p>
    <w:p>
      <w:pPr>
        <w:spacing w:before="59" w:line="2120" w:lineRule="exact"/>
        <w:ind w:firstLine="100"/>
      </w:pPr>
      <w:r>
        <w:rPr>
          <w:position w:val="-42"/>
        </w:rPr>
        <w:drawing>
          <wp:inline distT="0" distB="0" distL="0" distR="0">
            <wp:extent cx="2654258" cy="1346192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654258" cy="134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52" w:line="183" w:lineRule="auto"/>
        <w:ind w:left="137"/>
      </w:pPr>
      <w:r>
        <w:rPr>
          <w:b/>
          <w:bCs/>
          <w:i/>
          <w:iCs/>
          <w:spacing w:val="-23"/>
        </w:rPr>
        <w:t>资料来源：</w:t>
      </w:r>
      <w:r>
        <w:rPr>
          <w:rFonts w:ascii="SimSun" w:eastAsia="SimSun" w:hAnsi="SimSun" w:cs="SimSun"/>
          <w:b/>
          <w:bCs/>
          <w:i/>
          <w:iCs/>
          <w:spacing w:val="-23"/>
        </w:rPr>
        <w:t>iFinD,</w:t>
      </w:r>
      <w:r>
        <w:rPr>
          <w:rFonts w:ascii="SimSun" w:eastAsia="SimSun" w:hAnsi="SimSun" w:cs="SimSun"/>
          <w:spacing w:val="-62"/>
        </w:rPr>
        <w:t xml:space="preserve"> </w:t>
      </w:r>
      <w:r>
        <w:rPr>
          <w:b/>
          <w:bCs/>
          <w:i/>
          <w:iCs/>
          <w:spacing w:val="-23"/>
        </w:rPr>
        <w:t>上海证券研究所</w:t>
      </w:r>
    </w:p>
    <w:p>
      <w:pPr>
        <w:spacing w:line="183" w:lineRule="auto"/>
        <w:sectPr>
          <w:headerReference w:type="default" r:id="rId88"/>
          <w:footerReference w:type="default" r:id="rId89"/>
          <w:type w:val="continuous"/>
          <w:pgSz w:w="11910" w:h="16840"/>
          <w:pgMar w:top="400" w:right="1170" w:bottom="1490" w:left="739" w:header="0" w:footer="1207" w:gutter="0"/>
          <w:pgNumType w:start="28"/>
          <w:cols w:num="2" w:space="708" w:equalWidth="0">
            <w:col w:w="5381" w:space="100"/>
            <w:col w:w="4520" w:space="0"/>
          </w:cols>
        </w:sect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pStyle w:val="BodyText"/>
        <w:spacing w:before="65" w:line="227" w:lineRule="auto"/>
        <w:ind w:left="3792"/>
        <w:outlineLvl w:val="1"/>
        <w:rPr>
          <w:sz w:val="20"/>
          <w:szCs w:val="20"/>
        </w:rPr>
      </w:pPr>
      <w:r>
        <w:rPr>
          <w:b/>
          <w:bCs/>
          <w:spacing w:val="-6"/>
          <w:sz w:val="20"/>
          <w:szCs w:val="20"/>
        </w:rPr>
        <w:t>2.5</w:t>
      </w:r>
      <w:r>
        <w:rPr>
          <w:spacing w:val="79"/>
          <w:sz w:val="20"/>
          <w:szCs w:val="20"/>
        </w:rPr>
        <w:t xml:space="preserve"> </w:t>
      </w:r>
      <w:r>
        <w:rPr>
          <w:b/>
          <w:bCs/>
          <w:spacing w:val="-6"/>
          <w:sz w:val="20"/>
          <w:szCs w:val="20"/>
        </w:rPr>
        <w:t>光</w:t>
      </w:r>
      <w:r>
        <w:rPr>
          <w:spacing w:val="-47"/>
          <w:sz w:val="20"/>
          <w:szCs w:val="20"/>
        </w:rPr>
        <w:t xml:space="preserve"> </w:t>
      </w:r>
      <w:r>
        <w:rPr>
          <w:b/>
          <w:bCs/>
          <w:spacing w:val="-6"/>
          <w:sz w:val="20"/>
          <w:szCs w:val="20"/>
        </w:rPr>
        <w:t>伏</w:t>
      </w:r>
      <w:r>
        <w:rPr>
          <w:spacing w:val="-40"/>
          <w:sz w:val="20"/>
          <w:szCs w:val="20"/>
        </w:rPr>
        <w:t xml:space="preserve"> </w:t>
      </w:r>
      <w:r>
        <w:rPr>
          <w:b/>
          <w:bCs/>
          <w:spacing w:val="-6"/>
          <w:sz w:val="20"/>
          <w:szCs w:val="20"/>
        </w:rPr>
        <w:t>设</w:t>
      </w:r>
      <w:r>
        <w:rPr>
          <w:spacing w:val="-45"/>
          <w:sz w:val="20"/>
          <w:szCs w:val="20"/>
        </w:rPr>
        <w:t xml:space="preserve"> </w:t>
      </w:r>
      <w:r>
        <w:rPr>
          <w:b/>
          <w:bCs/>
          <w:spacing w:val="-6"/>
          <w:sz w:val="20"/>
          <w:szCs w:val="20"/>
        </w:rPr>
        <w:t>备</w:t>
      </w:r>
    </w:p>
    <w:p>
      <w:pPr>
        <w:pStyle w:val="BodyText"/>
        <w:spacing w:before="260" w:line="220" w:lineRule="auto"/>
        <w:ind w:left="4200"/>
        <w:rPr>
          <w:sz w:val="20"/>
          <w:szCs w:val="20"/>
        </w:rPr>
      </w:pPr>
      <w:r>
        <w:rPr>
          <w:spacing w:val="5"/>
          <w:sz w:val="20"/>
          <w:szCs w:val="20"/>
        </w:rPr>
        <w:t>截</w:t>
      </w:r>
      <w:r>
        <w:rPr>
          <w:spacing w:val="-20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至</w:t>
      </w:r>
      <w:r>
        <w:rPr>
          <w:spacing w:val="-40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3</w:t>
      </w:r>
      <w:r>
        <w:rPr>
          <w:spacing w:val="-31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月</w:t>
      </w:r>
      <w:r>
        <w:rPr>
          <w:spacing w:val="-31"/>
          <w:sz w:val="20"/>
          <w:szCs w:val="20"/>
        </w:rPr>
        <w:t xml:space="preserve"> </w:t>
      </w:r>
      <w:r>
        <w:rPr>
          <w:spacing w:val="5"/>
          <w:sz w:val="20"/>
          <w:szCs w:val="20"/>
        </w:rPr>
        <w:t>1日，硅料、硅片、组件、电池片价格变化如下：</w:t>
      </w:r>
    </w:p>
    <w:p>
      <w:pPr>
        <w:pStyle w:val="BodyText"/>
        <w:spacing w:before="133" w:line="222" w:lineRule="auto"/>
        <w:ind w:left="4200"/>
        <w:rPr>
          <w:sz w:val="20"/>
          <w:szCs w:val="20"/>
        </w:rPr>
      </w:pPr>
      <w:r>
        <w:rPr>
          <w:spacing w:val="17"/>
          <w:sz w:val="20"/>
          <w:szCs w:val="20"/>
        </w:rPr>
        <w:t>1)致密料均价为61.00元</w:t>
      </w:r>
      <w:r>
        <w:rPr>
          <w:rFonts w:ascii="SimSun" w:eastAsia="SimSun" w:hAnsi="SimSun" w:cs="SimSun"/>
          <w:sz w:val="20"/>
          <w:szCs w:val="20"/>
        </w:rPr>
        <w:t>kg</w:t>
      </w:r>
      <w:r>
        <w:rPr>
          <w:rFonts w:ascii="SimSun" w:eastAsia="SimSun" w:hAnsi="SimSun" w:cs="SimSun"/>
          <w:spacing w:val="17"/>
          <w:sz w:val="20"/>
          <w:szCs w:val="20"/>
        </w:rPr>
        <w:t>,</w:t>
      </w:r>
      <w:r>
        <w:rPr>
          <w:rFonts w:ascii="SimSun" w:eastAsia="SimSun" w:hAnsi="SimSun" w:cs="SimSun"/>
          <w:spacing w:val="96"/>
          <w:sz w:val="20"/>
          <w:szCs w:val="20"/>
        </w:rPr>
        <w:t xml:space="preserve"> </w:t>
      </w:r>
      <w:r>
        <w:rPr>
          <w:spacing w:val="17"/>
          <w:sz w:val="20"/>
          <w:szCs w:val="20"/>
        </w:rPr>
        <w:t>环比-10.</w:t>
      </w:r>
      <w:r>
        <w:rPr>
          <w:spacing w:val="16"/>
          <w:sz w:val="20"/>
          <w:szCs w:val="20"/>
        </w:rPr>
        <w:t>29%;</w:t>
      </w:r>
    </w:p>
    <w:p>
      <w:pPr>
        <w:pStyle w:val="BodyText"/>
        <w:spacing w:before="88" w:line="374" w:lineRule="exact"/>
        <w:ind w:left="4200"/>
        <w:rPr>
          <w:sz w:val="20"/>
          <w:szCs w:val="20"/>
        </w:rPr>
      </w:pPr>
      <w:r>
        <w:rPr>
          <w:spacing w:val="16"/>
          <w:position w:val="12"/>
          <w:sz w:val="20"/>
          <w:szCs w:val="20"/>
        </w:rPr>
        <w:t>2)单晶182/210尺寸硅片价格分别为2.05/2.80元</w:t>
      </w:r>
      <w:r>
        <w:rPr>
          <w:spacing w:val="15"/>
          <w:position w:val="12"/>
          <w:sz w:val="20"/>
          <w:szCs w:val="20"/>
        </w:rPr>
        <w:t>/片，与上</w:t>
      </w:r>
    </w:p>
    <w:p>
      <w:pPr>
        <w:pStyle w:val="BodyText"/>
        <w:spacing w:before="1" w:line="223" w:lineRule="auto"/>
        <w:ind w:left="3790"/>
        <w:rPr>
          <w:sz w:val="20"/>
          <w:szCs w:val="20"/>
        </w:rPr>
      </w:pPr>
      <w:r>
        <w:rPr>
          <w:spacing w:val="-2"/>
          <w:sz w:val="20"/>
          <w:szCs w:val="20"/>
        </w:rPr>
        <w:t>周持平；</w:t>
      </w:r>
    </w:p>
    <w:p>
      <w:pPr>
        <w:pStyle w:val="BodyText"/>
        <w:spacing w:before="127" w:line="278" w:lineRule="auto"/>
        <w:ind w:left="3790" w:right="157" w:firstLine="410"/>
        <w:rPr>
          <w:sz w:val="20"/>
          <w:szCs w:val="20"/>
        </w:rPr>
      </w:pPr>
      <w:r>
        <w:rPr>
          <w:spacing w:val="3"/>
          <w:sz w:val="20"/>
          <w:szCs w:val="20"/>
        </w:rPr>
        <w:t>3</w:t>
      </w:r>
      <w:r>
        <w:rPr>
          <w:spacing w:val="-35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)</w:t>
      </w:r>
      <w:r>
        <w:rPr>
          <w:spacing w:val="-42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单</w:t>
      </w:r>
      <w:r>
        <w:rPr>
          <w:spacing w:val="-32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晶</w:t>
      </w:r>
      <w:r>
        <w:rPr>
          <w:spacing w:val="3"/>
          <w:sz w:val="20"/>
          <w:szCs w:val="20"/>
        </w:rPr>
        <w:t xml:space="preserve"> </w:t>
      </w:r>
      <w:r>
        <w:rPr>
          <w:sz w:val="20"/>
          <w:szCs w:val="20"/>
        </w:rPr>
        <w:t>PERC</w:t>
      </w:r>
      <w:r>
        <w:rPr>
          <w:spacing w:val="3"/>
          <w:sz w:val="20"/>
          <w:szCs w:val="20"/>
        </w:rPr>
        <w:t>182/210</w:t>
      </w:r>
      <w:r>
        <w:rPr>
          <w:spacing w:val="17"/>
          <w:sz w:val="20"/>
          <w:szCs w:val="20"/>
        </w:rPr>
        <w:t xml:space="preserve">   </w:t>
      </w:r>
      <w:r>
        <w:rPr>
          <w:spacing w:val="3"/>
          <w:sz w:val="20"/>
          <w:szCs w:val="20"/>
        </w:rPr>
        <w:t>尺寸电池片价格分别为0.39/0.38</w:t>
      </w:r>
      <w:r>
        <w:rPr>
          <w:spacing w:val="3"/>
          <w:sz w:val="20"/>
          <w:szCs w:val="20"/>
        </w:rPr>
        <w:t xml:space="preserve"> </w:t>
      </w:r>
      <w:r>
        <w:rPr>
          <w:spacing w:val="3"/>
          <w:sz w:val="20"/>
          <w:szCs w:val="20"/>
        </w:rPr>
        <w:t>元</w:t>
      </w:r>
      <w:r>
        <w:rPr>
          <w:sz w:val="20"/>
          <w:szCs w:val="20"/>
        </w:rPr>
        <w:t xml:space="preserve"> </w:t>
      </w:r>
      <w:r>
        <w:rPr>
          <w:rFonts w:ascii="SimSun" w:eastAsia="SimSun" w:hAnsi="SimSun" w:cs="SimSun"/>
          <w:spacing w:val="7"/>
          <w:sz w:val="20"/>
          <w:szCs w:val="20"/>
        </w:rPr>
        <w:t>/W,</w:t>
      </w:r>
      <w:r>
        <w:rPr>
          <w:rFonts w:ascii="SimSun" w:eastAsia="SimSun" w:hAnsi="SimSun" w:cs="SimSun"/>
          <w:spacing w:val="69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分别环比+2.63%/与上周持平；</w:t>
      </w:r>
    </w:p>
    <w:p>
      <w:pPr>
        <w:pStyle w:val="BodyText"/>
        <w:spacing w:before="104" w:line="374" w:lineRule="exact"/>
        <w:ind w:left="4200"/>
        <w:rPr>
          <w:rFonts w:ascii="Arial" w:eastAsia="Arial" w:hAnsi="Arial" w:cs="Arial"/>
          <w:sz w:val="20"/>
          <w:szCs w:val="20"/>
        </w:rPr>
      </w:pPr>
      <w:r>
        <w:rPr>
          <w:spacing w:val="8"/>
          <w:position w:val="13"/>
          <w:sz w:val="20"/>
          <w:szCs w:val="20"/>
        </w:rPr>
        <w:t>4)单晶</w:t>
      </w:r>
      <w:r>
        <w:rPr>
          <w:position w:val="13"/>
          <w:sz w:val="20"/>
          <w:szCs w:val="20"/>
        </w:rPr>
        <w:t>PERC</w:t>
      </w:r>
      <w:r>
        <w:rPr>
          <w:spacing w:val="8"/>
          <w:position w:val="13"/>
          <w:sz w:val="20"/>
          <w:szCs w:val="20"/>
        </w:rPr>
        <w:t>182/210</w:t>
      </w:r>
      <w:r>
        <w:rPr>
          <w:spacing w:val="40"/>
          <w:position w:val="13"/>
          <w:sz w:val="20"/>
          <w:szCs w:val="20"/>
        </w:rPr>
        <w:t xml:space="preserve">  </w:t>
      </w:r>
      <w:r>
        <w:rPr>
          <w:spacing w:val="8"/>
          <w:position w:val="13"/>
          <w:sz w:val="20"/>
          <w:szCs w:val="20"/>
        </w:rPr>
        <w:t>尺寸组件价格分别为0.90/0.</w:t>
      </w:r>
      <w:r>
        <w:rPr>
          <w:spacing w:val="7"/>
          <w:position w:val="13"/>
          <w:sz w:val="20"/>
          <w:szCs w:val="20"/>
        </w:rPr>
        <w:t>93元/</w:t>
      </w:r>
      <w:r>
        <w:rPr>
          <w:rFonts w:ascii="Arial" w:eastAsia="Arial" w:hAnsi="Arial" w:cs="Arial"/>
          <w:spacing w:val="7"/>
          <w:position w:val="13"/>
          <w:sz w:val="20"/>
          <w:szCs w:val="20"/>
        </w:rPr>
        <w:t>W,</w:t>
      </w:r>
    </w:p>
    <w:p>
      <w:pPr>
        <w:pStyle w:val="BodyText"/>
        <w:spacing w:before="1" w:line="223" w:lineRule="auto"/>
        <w:ind w:left="3790"/>
        <w:rPr>
          <w:sz w:val="20"/>
          <w:szCs w:val="20"/>
        </w:rPr>
      </w:pPr>
      <w:r>
        <w:rPr>
          <w:sz w:val="20"/>
          <w:szCs w:val="20"/>
        </w:rPr>
        <w:t>与上周持平。</w:t>
      </w:r>
    </w:p>
    <w:p>
      <w:pPr>
        <w:spacing w:before="81"/>
      </w:pPr>
    </w:p>
    <w:p>
      <w:pPr>
        <w:sectPr>
          <w:headerReference w:type="default" r:id="rId90"/>
          <w:footerReference w:type="default" r:id="rId91"/>
          <w:type w:val="continuous"/>
          <w:pgSz w:w="11910" w:h="16840"/>
          <w:pgMar w:top="400" w:right="1170" w:bottom="1490" w:left="739" w:header="0" w:footer="1207" w:gutter="0"/>
          <w:pgNumType w:start="29"/>
          <w:cols w:num="1" w:space="708" w:equalWidth="0">
            <w:col w:w="10000" w:space="0"/>
          </w:cols>
        </w:sectPr>
      </w:pPr>
    </w:p>
    <w:p>
      <w:pPr>
        <w:pStyle w:val="BodyText"/>
        <w:spacing w:before="41" w:line="223" w:lineRule="auto"/>
        <w:ind w:left="1032"/>
        <w:rPr>
          <w:sz w:val="20"/>
          <w:szCs w:val="20"/>
        </w:rPr>
      </w:pPr>
      <w:r>
        <w:rPr>
          <w:b/>
          <w:bCs/>
          <w:spacing w:val="-13"/>
          <w:sz w:val="20"/>
          <w:szCs w:val="20"/>
          <w:u w:val="single" w:color="auto"/>
        </w:rPr>
        <w:t>图</w:t>
      </w:r>
      <w:r>
        <w:rPr>
          <w:spacing w:val="-45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2</w:t>
      </w:r>
      <w:r>
        <w:rPr>
          <w:spacing w:val="-44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0</w:t>
      </w:r>
      <w:r>
        <w:rPr>
          <w:spacing w:val="-13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:</w:t>
      </w:r>
      <w:r>
        <w:rPr>
          <w:spacing w:val="-38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致</w:t>
      </w:r>
      <w:r>
        <w:rPr>
          <w:spacing w:val="-34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密</w:t>
      </w:r>
      <w:r>
        <w:rPr>
          <w:spacing w:val="-46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料</w:t>
      </w:r>
      <w:r>
        <w:rPr>
          <w:spacing w:val="-37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均</w:t>
      </w:r>
      <w:r>
        <w:rPr>
          <w:spacing w:val="-47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价</w:t>
      </w:r>
      <w:r>
        <w:rPr>
          <w:spacing w:val="-13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(</w:t>
      </w:r>
      <w:r>
        <w:rPr>
          <w:spacing w:val="-32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元</w:t>
      </w:r>
      <w:r>
        <w:rPr>
          <w:spacing w:val="-48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/</w:t>
      </w:r>
      <w:r>
        <w:rPr>
          <w:spacing w:val="-38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k</w:t>
      </w:r>
      <w:r>
        <w:rPr>
          <w:spacing w:val="-43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g</w:t>
      </w:r>
      <w:r>
        <w:rPr>
          <w:spacing w:val="-46"/>
          <w:sz w:val="20"/>
          <w:szCs w:val="20"/>
          <w:u w:val="single" w:color="auto"/>
        </w:rPr>
        <w:t xml:space="preserve"> </w:t>
      </w:r>
      <w:r>
        <w:rPr>
          <w:b/>
          <w:bCs/>
          <w:spacing w:val="-13"/>
          <w:sz w:val="20"/>
          <w:szCs w:val="20"/>
          <w:u w:val="single" w:color="auto"/>
        </w:rPr>
        <w:t>)</w:t>
      </w:r>
      <w:r>
        <w:rPr>
          <w:spacing w:val="-13"/>
          <w:sz w:val="20"/>
          <w:szCs w:val="20"/>
          <w:u w:val="single" w:color="auto"/>
        </w:rPr>
        <w:t xml:space="preserve">   </w:t>
      </w:r>
      <w:r>
        <w:rPr>
          <w:spacing w:val="-14"/>
          <w:sz w:val="20"/>
          <w:szCs w:val="20"/>
          <w:u w:val="single" w:color="auto"/>
        </w:rPr>
        <w:t xml:space="preserve">            </w:t>
      </w:r>
    </w:p>
    <w:p>
      <w:pPr>
        <w:spacing w:before="150" w:line="198" w:lineRule="auto"/>
        <w:ind w:left="3050"/>
        <w:rPr>
          <w:rFonts w:ascii="FangSong" w:eastAsia="FangSong" w:hAnsi="FangSong" w:cs="FangSong"/>
          <w:sz w:val="11"/>
          <w:szCs w:val="11"/>
        </w:rPr>
      </w:pPr>
      <w:r>
        <w:rPr>
          <w:rFonts w:ascii="FangSong" w:eastAsia="FangSong" w:hAnsi="FangSong" w:cs="FangSong"/>
          <w:color w:val="E93131"/>
          <w:spacing w:val="1"/>
          <w:sz w:val="11"/>
          <w:szCs w:val="11"/>
        </w:rPr>
        <w:t>一</w:t>
      </w:r>
      <w:r>
        <w:rPr>
          <w:rFonts w:ascii="FangSong" w:eastAsia="FangSong" w:hAnsi="FangSong" w:cs="FangSong"/>
          <w:spacing w:val="1"/>
          <w:sz w:val="11"/>
          <w:szCs w:val="11"/>
        </w:rPr>
        <w:t>致害料</w:t>
      </w:r>
    </w:p>
    <w:p>
      <w:pPr>
        <w:spacing w:line="2410" w:lineRule="exact"/>
        <w:ind w:firstLine="880"/>
      </w:pPr>
      <w:r>
        <w:rPr>
          <w:position w:val="-48"/>
        </w:rPr>
        <w:drawing>
          <wp:inline distT="0" distB="0" distL="0" distR="0">
            <wp:extent cx="2832136" cy="1530332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832136" cy="153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8" w:line="213" w:lineRule="auto"/>
        <w:ind w:left="1027"/>
      </w:pPr>
      <w:r>
        <w:rPr>
          <w:b/>
          <w:bCs/>
          <w:i/>
          <w:iCs/>
          <w:spacing w:val="-12"/>
          <w:w w:val="96"/>
        </w:rPr>
        <w:t>资料来源：</w:t>
      </w:r>
      <w:r>
        <w:rPr>
          <w:rFonts w:ascii="Arial" w:eastAsia="Arial" w:hAnsi="Arial" w:cs="Arial"/>
          <w:b/>
          <w:bCs/>
          <w:i/>
          <w:iCs/>
          <w:spacing w:val="-12"/>
          <w:w w:val="96"/>
          <w:sz w:val="20"/>
          <w:szCs w:val="20"/>
        </w:rPr>
        <w:t xml:space="preserve">PVInfolink,  </w:t>
      </w:r>
      <w:r>
        <w:rPr>
          <w:b/>
          <w:bCs/>
          <w:i/>
          <w:iCs/>
          <w:spacing w:val="-12"/>
          <w:w w:val="96"/>
        </w:rPr>
        <w:t>上海证券研完所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tabs>
          <w:tab w:val="left" w:pos="1858"/>
        </w:tabs>
        <w:spacing w:before="41" w:line="251" w:lineRule="auto"/>
        <w:ind w:left="1409" w:right="865" w:hanging="1237"/>
        <w:rPr>
          <w:rFonts w:ascii="STXinwei" w:eastAsia="STXinwei" w:hAnsi="STXinwei" w:cs="STXinwei"/>
          <w:sz w:val="14"/>
          <w:szCs w:val="14"/>
        </w:rPr>
      </w:pPr>
      <w:r>
        <w:rPr>
          <w:b/>
          <w:bCs/>
          <w:spacing w:val="-2"/>
          <w:sz w:val="20"/>
          <w:szCs w:val="20"/>
        </w:rPr>
        <w:t>图21:单晶182/210尺寸硅片价格(元/片)</w:t>
      </w:r>
      <w:r>
        <w:rPr>
          <w:spacing w:val="8"/>
          <w:sz w:val="20"/>
          <w:szCs w:val="20"/>
        </w:rPr>
        <w:t xml:space="preserve"> </w:t>
      </w:r>
      <w:r>
        <w:rPr>
          <w:rFonts w:ascii="STXinwei" w:eastAsia="STXinwei" w:hAnsi="STXinwei" w:cs="STXinwei"/>
          <w:sz w:val="14"/>
          <w:szCs w:val="14"/>
          <w:u w:val="single" w:color="auto"/>
        </w:rPr>
        <w:tab/>
      </w:r>
      <w:r>
        <w:rPr>
          <w:rFonts w:ascii="STXinwei" w:eastAsia="STXinwei" w:hAnsi="STXinwei" w:cs="STXinwei"/>
          <w:spacing w:val="-21"/>
          <w:sz w:val="14"/>
          <w:szCs w:val="14"/>
        </w:rPr>
        <w:t xml:space="preserve"> </w:t>
      </w:r>
      <w:r>
        <w:rPr>
          <w:rFonts w:ascii="STXinwei" w:eastAsia="STXinwei" w:hAnsi="STXinwei" w:cs="STXinwei"/>
          <w:b/>
          <w:bCs/>
          <w:spacing w:val="-6"/>
          <w:sz w:val="14"/>
          <w:szCs w:val="14"/>
        </w:rPr>
        <w:t>单品182</w:t>
      </w:r>
      <w:r>
        <w:rPr>
          <w:rFonts w:ascii="STXinwei" w:eastAsia="STXinwei" w:hAnsi="STXinwei" w:cs="STXinwei"/>
          <w:spacing w:val="-6"/>
          <w:sz w:val="14"/>
          <w:szCs w:val="14"/>
        </w:rPr>
        <w:t xml:space="preserve">            </w:t>
      </w:r>
      <w:r>
        <w:rPr>
          <w:rFonts w:ascii="STXinwei" w:eastAsia="STXinwei" w:hAnsi="STXinwei" w:cs="STXinwei"/>
          <w:color w:val="F36202"/>
          <w:spacing w:val="-6"/>
          <w:sz w:val="14"/>
          <w:szCs w:val="14"/>
        </w:rPr>
        <w:t xml:space="preserve">— </w:t>
      </w:r>
      <w:r>
        <w:rPr>
          <w:rFonts w:ascii="STXinwei" w:eastAsia="STXinwei" w:hAnsi="STXinwei" w:cs="STXinwei"/>
          <w:spacing w:val="-6"/>
          <w:sz w:val="14"/>
          <w:szCs w:val="14"/>
        </w:rPr>
        <w:t>单是210</w:t>
      </w:r>
    </w:p>
    <w:p>
      <w:pPr>
        <w:spacing w:before="53" w:line="2650" w:lineRule="exact"/>
      </w:pPr>
      <w:r>
        <w:rPr>
          <w:position w:val="-52"/>
        </w:rPr>
        <w:drawing>
          <wp:inline distT="0" distB="0" distL="0" distR="0">
            <wp:extent cx="2838488" cy="1682713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838488" cy="168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50" w:lineRule="exact"/>
      </w:pPr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https://d.book118.com/218105125110006043</w:t>
        </w:r>
      </w:hyperlink>
    </w:p>
    <w:p>
      <w:pPr>
        <w:spacing w:line="2650" w:lineRule="exact"/>
      </w:pPr>
    </w:p>
    <w:sectPr>
      <w:headerReference w:type="default" r:id="rId95"/>
      <w:footerReference w:type="default" r:id="rId96"/>
      <w:type w:val="continuous"/>
      <w:pgSz w:w="11910" w:h="16840"/>
      <w:pgMar w:top="400" w:right="1170" w:bottom="1490" w:left="739" w:header="0" w:footer="1207" w:gutter="0"/>
      <w:pgNumType w:start="30"/>
      <w:cols w:num="2" w:space="708" w:equalWidth="0">
        <w:col w:w="5351" w:space="100"/>
        <w:col w:w="455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7" w:line="212" w:lineRule="auto"/>
      <w:ind w:left="3704"/>
      <w:rPr>
        <w:rFonts w:ascii="SimSun" w:eastAsia="SimSun" w:hAnsi="SimSun" w:cs="SimSun"/>
        <w:sz w:val="21"/>
        <w:szCs w:val="21"/>
      </w:rPr>
    </w:pPr>
    <w:r>
      <w:pict>
        <v:shape id="_x0000_s2051" style="width:307.15pt;height:0.5pt;margin-top:767.86pt;margin-left:225.41pt;mso-position-horizontal-relative:page;mso-position-vertical-relative:page;position:absolute;z-index:251658240" coordorigin="0,0" coordsize="6142,10" o:allowincell="f" path="m,9l6142,9l6142,l,l,9xe" filled="t" fillcolor="black" stroked="f"/>
      </w:pict>
    </w:r>
    <w:r>
      <w:rPr>
        <w:rFonts w:ascii="SimSun" w:eastAsia="SimSun" w:hAnsi="SimSun" w:cs="SimSun"/>
        <w:b/>
        <w:bCs/>
        <w:spacing w:val="-2"/>
        <w:sz w:val="21"/>
        <w:szCs w:val="21"/>
      </w:rPr>
      <w:t>请务必阅读尾页重要声明</w:t>
    </w:r>
    <w:r>
      <w:rPr>
        <w:rFonts w:ascii="SimSun" w:eastAsia="SimSun" w:hAnsi="SimSun" w:cs="SimSun"/>
        <w:spacing w:val="-2"/>
        <w:sz w:val="21"/>
        <w:szCs w:val="21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7" w:line="212" w:lineRule="auto"/>
      <w:ind w:left="3704"/>
      <w:rPr>
        <w:rFonts w:ascii="SimSun" w:eastAsia="SimSun" w:hAnsi="SimSun" w:cs="SimSun"/>
        <w:sz w:val="21"/>
        <w:szCs w:val="21"/>
      </w:rPr>
    </w:pPr>
    <w:r>
      <w:pict>
        <v:shape id="_x0000_s2053" style="width:307.15pt;height:0.5pt;margin-top:767.86pt;margin-left:225.41pt;mso-position-horizontal-relative:page;mso-position-vertical-relative:page;position:absolute;z-index:251659264" coordorigin="0,0" coordsize="6142,10" o:allowincell="f" path="m,9l6142,9l6142,l,l,9xe" filled="t" fillcolor="black" stroked="f"/>
      </w:pict>
    </w:r>
    <w:r>
      <w:rPr>
        <w:rFonts w:ascii="SimSun" w:eastAsia="SimSun" w:hAnsi="SimSun" w:cs="SimSun"/>
        <w:b/>
        <w:bCs/>
        <w:spacing w:val="-2"/>
        <w:sz w:val="21"/>
        <w:szCs w:val="21"/>
      </w:rPr>
      <w:t>请务必阅读尾页重要声明</w:t>
    </w:r>
    <w:r>
      <w:rPr>
        <w:rFonts w:ascii="SimSun" w:eastAsia="SimSun" w:hAnsi="SimSun" w:cs="SimSun"/>
        <w:spacing w:val="-2"/>
        <w:sz w:val="21"/>
        <w:szCs w:val="21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7" w:line="212" w:lineRule="auto"/>
      <w:ind w:left="3704"/>
      <w:rPr>
        <w:rFonts w:ascii="SimSun" w:eastAsia="SimSun" w:hAnsi="SimSun" w:cs="SimSun"/>
        <w:sz w:val="21"/>
        <w:szCs w:val="21"/>
      </w:rPr>
    </w:pPr>
    <w:r>
      <w:pict>
        <v:shape id="_x0000_s2054" style="width:307.15pt;height:0.5pt;margin-top:767.86pt;margin-left:225.41pt;mso-position-horizontal-relative:page;mso-position-vertical-relative:page;position:absolute;z-index:251660288" coordorigin="0,0" coordsize="6142,10" o:allowincell="f" path="m,9l6142,9l6142,l,l,9xe" filled="t" fillcolor="black" stroked="f"/>
      </w:pict>
    </w:r>
    <w:r>
      <w:rPr>
        <w:rFonts w:ascii="SimSun" w:eastAsia="SimSun" w:hAnsi="SimSun" w:cs="SimSun"/>
        <w:b/>
        <w:bCs/>
        <w:spacing w:val="-2"/>
        <w:sz w:val="21"/>
        <w:szCs w:val="21"/>
      </w:rPr>
      <w:t>请务必阅读尾页重要声明</w:t>
    </w:r>
    <w:r>
      <w:rPr>
        <w:rFonts w:ascii="SimSun" w:eastAsia="SimSun" w:hAnsi="SimSun" w:cs="SimSun"/>
        <w:spacing w:val="-2"/>
        <w:sz w:val="21"/>
        <w:szCs w:val="21"/>
      </w:rPr>
      <w:t>4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7" w:line="212" w:lineRule="auto"/>
      <w:ind w:left="3704"/>
      <w:rPr>
        <w:rFonts w:ascii="SimSun" w:eastAsia="SimSun" w:hAnsi="SimSun" w:cs="SimSun"/>
        <w:sz w:val="21"/>
        <w:szCs w:val="21"/>
      </w:rPr>
    </w:pPr>
    <w:r>
      <w:pict>
        <v:shape id="_x0000_s2057" style="width:307.15pt;height:0.5pt;margin-top:767.86pt;margin-left:225.41pt;mso-position-horizontal-relative:page;mso-position-vertical-relative:page;position:absolute;z-index:251661312" coordorigin="0,0" coordsize="6142,10" o:allowincell="f" path="m,9l6142,9l6142,l,l,9xe" filled="t" fillcolor="black" stroked="f"/>
      </w:pict>
    </w:r>
    <w:r>
      <w:rPr>
        <w:rFonts w:ascii="SimSun" w:eastAsia="SimSun" w:hAnsi="SimSun" w:cs="SimSun"/>
        <w:b/>
        <w:bCs/>
        <w:spacing w:val="-2"/>
        <w:sz w:val="21"/>
        <w:szCs w:val="21"/>
      </w:rPr>
      <w:t>请务必阅读尾页重要声明</w:t>
    </w:r>
    <w:r>
      <w:rPr>
        <w:rFonts w:ascii="SimSun" w:eastAsia="SimSun" w:hAnsi="SimSun" w:cs="SimSun"/>
        <w:spacing w:val="-2"/>
        <w:sz w:val="21"/>
        <w:szCs w:val="21"/>
      </w:rPr>
      <w:t>6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7" w:line="212" w:lineRule="auto"/>
      <w:ind w:left="3704"/>
      <w:rPr>
        <w:rFonts w:ascii="SimSun" w:eastAsia="SimSun" w:hAnsi="SimSun" w:cs="SimSun"/>
        <w:sz w:val="21"/>
        <w:szCs w:val="21"/>
      </w:rPr>
    </w:pPr>
    <w:r>
      <w:pict>
        <v:shape id="_x0000_s2059" style="width:307.15pt;height:0.5pt;margin-top:767.86pt;margin-left:225.41pt;mso-position-horizontal-relative:page;mso-position-vertical-relative:page;position:absolute;z-index:251662336" coordorigin="0,0" coordsize="6142,10" o:allowincell="f" path="m,9l6142,9l6142,l,l,9xe" filled="t" fillcolor="black" stroked="f"/>
      </w:pict>
    </w:r>
    <w:r>
      <w:rPr>
        <w:rFonts w:ascii="SimSun" w:eastAsia="SimSun" w:hAnsi="SimSun" w:cs="SimSun"/>
        <w:b/>
        <w:bCs/>
        <w:spacing w:val="-2"/>
        <w:sz w:val="21"/>
        <w:szCs w:val="21"/>
      </w:rPr>
      <w:t>请务必阅读尾页重要声明</w:t>
    </w:r>
    <w:r>
      <w:rPr>
        <w:rFonts w:ascii="SimSun" w:eastAsia="SimSun" w:hAnsi="SimSun" w:cs="SimSun"/>
        <w:spacing w:val="-2"/>
        <w:sz w:val="21"/>
        <w:szCs w:val="21"/>
      </w:rPr>
      <w:t>6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45" w:line="210" w:lineRule="auto"/>
      <w:ind w:left="3792"/>
      <w:rPr>
        <w:rFonts w:ascii="SimSun" w:eastAsia="SimSun" w:hAnsi="SimSun" w:cs="SimSun"/>
        <w:sz w:val="20"/>
        <w:szCs w:val="20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2844765</wp:posOffset>
          </wp:positionH>
          <wp:positionV relativeFrom="page">
            <wp:posOffset>9747226</wp:posOffset>
          </wp:positionV>
          <wp:extent cx="3930715" cy="6350"/>
          <wp:effectExtent l="0" t="0" r="0" b="0"/>
          <wp:wrapNone/>
          <wp:docPr id="88" name="IM 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" name="IM 8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3930715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b/>
        <w:bCs/>
        <w:spacing w:val="6"/>
        <w:sz w:val="20"/>
        <w:szCs w:val="20"/>
      </w:rPr>
      <w:t>请务必阅读尾页重要声明1</w:t>
    </w:r>
    <w:r>
      <w:rPr>
        <w:rFonts w:ascii="SimSun" w:eastAsia="SimSun" w:hAnsi="SimSun" w:cs="SimSun"/>
        <w:color w:val="EFA038"/>
        <w:spacing w:val="6"/>
        <w:sz w:val="20"/>
        <w:szCs w:val="20"/>
      </w:rPr>
      <w:t>0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45" w:line="210" w:lineRule="auto"/>
      <w:ind w:left="3792"/>
      <w:rPr>
        <w:rFonts w:ascii="SimSun" w:eastAsia="SimSun" w:hAnsi="SimSun" w:cs="SimSun"/>
        <w:sz w:val="20"/>
        <w:szCs w:val="20"/>
      </w:rPr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2844765</wp:posOffset>
          </wp:positionH>
          <wp:positionV relativeFrom="page">
            <wp:posOffset>9747226</wp:posOffset>
          </wp:positionV>
          <wp:extent cx="3930715" cy="6350"/>
          <wp:effectExtent l="0" t="0" r="0" b="0"/>
          <wp:wrapNone/>
          <wp:docPr id="1700060868" name="IM 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0060868" name="IM 8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3930715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b/>
        <w:bCs/>
        <w:spacing w:val="6"/>
        <w:sz w:val="20"/>
        <w:szCs w:val="20"/>
      </w:rPr>
      <w:t>请务必阅读尾页重要声明1</w:t>
    </w:r>
    <w:r>
      <w:rPr>
        <w:rFonts w:ascii="SimSun" w:eastAsia="SimSun" w:hAnsi="SimSun" w:cs="SimSun"/>
        <w:color w:val="EFA038"/>
        <w:spacing w:val="6"/>
        <w:sz w:val="20"/>
        <w:szCs w:val="20"/>
      </w:rPr>
      <w:t>0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45" w:line="210" w:lineRule="auto"/>
      <w:ind w:left="3792"/>
      <w:rPr>
        <w:rFonts w:ascii="SimSun" w:eastAsia="SimSun" w:hAnsi="SimSun" w:cs="SimSun"/>
        <w:sz w:val="20"/>
        <w:szCs w:val="20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2844765</wp:posOffset>
          </wp:positionH>
          <wp:positionV relativeFrom="page">
            <wp:posOffset>9747226</wp:posOffset>
          </wp:positionV>
          <wp:extent cx="3930715" cy="6350"/>
          <wp:effectExtent l="0" t="0" r="0" b="0"/>
          <wp:wrapNone/>
          <wp:docPr id="1447239359" name="IM 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239359" name="IM 8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3930715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b/>
        <w:bCs/>
        <w:spacing w:val="6"/>
        <w:sz w:val="20"/>
        <w:szCs w:val="20"/>
      </w:rPr>
      <w:t>请务必阅读尾页重要声明1</w:t>
    </w:r>
    <w:r>
      <w:rPr>
        <w:rFonts w:ascii="SimSun" w:eastAsia="SimSun" w:hAnsi="SimSun" w:cs="SimSun"/>
        <w:color w:val="EFA038"/>
        <w:spacing w:val="6"/>
        <w:sz w:val="20"/>
        <w:szCs w:val="20"/>
      </w:rPr>
      <w:t>0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45" w:line="210" w:lineRule="auto"/>
      <w:ind w:left="3792"/>
      <w:rPr>
        <w:rFonts w:ascii="SimSun" w:eastAsia="SimSun" w:hAnsi="SimSun" w:cs="SimSun"/>
        <w:sz w:val="20"/>
        <w:szCs w:val="20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2844765</wp:posOffset>
          </wp:positionH>
          <wp:positionV relativeFrom="page">
            <wp:posOffset>9747226</wp:posOffset>
          </wp:positionV>
          <wp:extent cx="3930715" cy="6350"/>
          <wp:effectExtent l="0" t="0" r="0" b="0"/>
          <wp:wrapNone/>
          <wp:docPr id="718326401" name="IM 8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326401" name="IM 8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3930715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b/>
        <w:bCs/>
        <w:spacing w:val="6"/>
        <w:sz w:val="20"/>
        <w:szCs w:val="20"/>
      </w:rPr>
      <w:t>请务必阅读尾页重要声明1</w:t>
    </w:r>
    <w:r>
      <w:rPr>
        <w:rFonts w:ascii="SimSun" w:eastAsia="SimSun" w:hAnsi="SimSun" w:cs="SimSun"/>
        <w:color w:val="EFA038"/>
        <w:spacing w:val="6"/>
        <w:sz w:val="20"/>
        <w:szCs w:val="20"/>
      </w:rPr>
      <w:t>0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8782"/>
      <w:rPr>
        <w:rFonts w:ascii="SimSun" w:eastAsia="SimSun" w:hAnsi="SimSun" w:cs="SimSun"/>
        <w:sz w:val="24"/>
        <w:szCs w:val="24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912876</wp:posOffset>
          </wp:positionH>
          <wp:positionV relativeFrom="page">
            <wp:posOffset>589189</wp:posOffset>
          </wp:positionV>
          <wp:extent cx="908557" cy="257175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08557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SimSun" w:eastAsia="SimSun" w:hAnsi="SimSun" w:cs="SimSun"/>
        <w:b/>
        <w:bCs/>
        <w:spacing w:val="-5"/>
        <w:sz w:val="24"/>
        <w:szCs w:val="24"/>
      </w:rPr>
      <w:t>行业周报</w:t>
    </w:r>
  </w:p>
  <w:p>
    <w:pPr>
      <w:spacing w:before="101" w:line="30" w:lineRule="exact"/>
      <w:ind w:firstLine="1587"/>
    </w:pPr>
    <w:r>
      <w:pict>
        <v:shape id="_x0000_i2049" style="width:414pt;height:1.5pt;mso-position-horizontal-relative:char;mso-position-vertical-relative:line" coordorigin="0,0" coordsize="8280,30" path="m,15l8280,15e" filled="f" strokecolor="black" strokeweight="1.5pt">
          <w10:wrap type="non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8831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b/>
        <w:bCs/>
        <w:spacing w:val="-5"/>
        <w:sz w:val="24"/>
        <w:szCs w:val="24"/>
      </w:rPr>
      <w:t>行业周报</w:t>
    </w:r>
  </w:p>
  <w:p>
    <w:pPr>
      <w:spacing w:before="71" w:line="20" w:lineRule="exact"/>
      <w:ind w:firstLine="1599"/>
    </w:pPr>
    <w:r>
      <w:rPr>
        <w:position w:val="-1"/>
      </w:rPr>
      <w:pict>
        <v:shape id="_x0000_i2050" style="width:414.05pt;height:1.5pt;mso-position-horizontal-relative:char;mso-position-vertical-relative:line" coordorigin="0,0" coordsize="8280,30" path="m,15l8280,15e" filled="f" strokecolor="black" strokeweight="1.5pt">
          <w10:wrap type="non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8831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b/>
        <w:bCs/>
        <w:spacing w:val="-5"/>
        <w:sz w:val="24"/>
        <w:szCs w:val="24"/>
      </w:rPr>
      <w:t>行业周报</w:t>
    </w:r>
  </w:p>
  <w:p>
    <w:pPr>
      <w:spacing w:before="71" w:line="20" w:lineRule="exact"/>
      <w:ind w:firstLine="1599"/>
    </w:pPr>
    <w:r>
      <w:rPr>
        <w:position w:val="-1"/>
      </w:rPr>
      <w:pict>
        <v:shape id="_x0000_i2052" style="width:414.05pt;height:1.5pt;mso-position-horizontal-relative:char;mso-position-vertical-relative:line" coordorigin="0,0" coordsize="8280,30" path="m,15l8280,15e" filled="f" strokecolor="black" strokeweight="1.5pt">
          <w10:wrap type="non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8831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b/>
        <w:bCs/>
        <w:spacing w:val="-5"/>
        <w:sz w:val="24"/>
        <w:szCs w:val="24"/>
      </w:rPr>
      <w:t>行业周报</w:t>
    </w:r>
  </w:p>
  <w:p>
    <w:pPr>
      <w:spacing w:before="71" w:line="20" w:lineRule="exact"/>
      <w:ind w:firstLine="1599"/>
    </w:pPr>
    <w:r>
      <w:rPr>
        <w:position w:val="-1"/>
      </w:rPr>
      <w:pict>
        <v:shape id="_x0000_i2055" style="width:414.05pt;height:1.5pt;mso-position-horizontal-relative:char;mso-position-vertical-relative:line" coordorigin="0,0" coordsize="8280,30" path="m,15l8280,15e" filled="f" strokecolor="black" strokeweight="1.5pt">
          <w10:wrap type="non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8831"/>
      <w:rPr>
        <w:rFonts w:ascii="SimSun" w:eastAsia="SimSun" w:hAnsi="SimSun" w:cs="SimSun"/>
        <w:sz w:val="24"/>
        <w:szCs w:val="24"/>
      </w:rPr>
    </w:pPr>
    <w:bookmarkStart w:id="5" w:name="bookmark3"/>
    <w:bookmarkEnd w:id="5"/>
    <w:bookmarkStart w:id="6" w:name="bookmark4"/>
    <w:bookmarkEnd w:id="6"/>
    <w:bookmarkStart w:id="7" w:name="bookmark5"/>
    <w:bookmarkEnd w:id="7"/>
    <w:bookmarkStart w:id="8" w:name="bookmark44"/>
    <w:bookmarkEnd w:id="8"/>
    <w:r>
      <w:rPr>
        <w:rFonts w:ascii="SimSun" w:eastAsia="SimSun" w:hAnsi="SimSun" w:cs="SimSun"/>
        <w:b/>
        <w:bCs/>
        <w:spacing w:val="-5"/>
        <w:sz w:val="24"/>
        <w:szCs w:val="24"/>
      </w:rPr>
      <w:t>行业周报</w:t>
    </w:r>
  </w:p>
  <w:p>
    <w:pPr>
      <w:spacing w:before="71" w:line="20" w:lineRule="exact"/>
      <w:ind w:firstLine="1599"/>
    </w:pPr>
    <w:r>
      <w:rPr>
        <w:position w:val="-1"/>
      </w:rPr>
      <w:pict>
        <v:shape id="_x0000_i2056" style="width:414.05pt;height:1.5pt;mso-position-horizontal-relative:char;mso-position-vertical-relative:line" coordorigin="0,0" coordsize="8280,30" path="m,15l8280,15e" filled="f" strokecolor="black" strokeweight="1.5pt">
          <w10:wrap type="non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19" w:lineRule="auto"/>
      <w:ind w:left="8831"/>
      <w:rPr>
        <w:rFonts w:ascii="SimSun" w:eastAsia="SimSun" w:hAnsi="SimSun" w:cs="SimSun"/>
        <w:sz w:val="24"/>
        <w:szCs w:val="24"/>
      </w:rPr>
    </w:pPr>
    <w:bookmarkStart w:id="9" w:name="bookmark3_0"/>
    <w:bookmarkEnd w:id="9"/>
    <w:bookmarkStart w:id="10" w:name="bookmark4_0"/>
    <w:bookmarkEnd w:id="10"/>
    <w:bookmarkStart w:id="11" w:name="bookmark5_0"/>
    <w:bookmarkEnd w:id="11"/>
    <w:bookmarkStart w:id="12" w:name="bookmark44_0"/>
    <w:bookmarkEnd w:id="12"/>
    <w:r>
      <w:rPr>
        <w:rFonts w:ascii="SimSun" w:eastAsia="SimSun" w:hAnsi="SimSun" w:cs="SimSun"/>
        <w:b/>
        <w:bCs/>
        <w:spacing w:val="-5"/>
        <w:sz w:val="24"/>
        <w:szCs w:val="24"/>
      </w:rPr>
      <w:t>行业周报</w:t>
    </w:r>
  </w:p>
  <w:p>
    <w:pPr>
      <w:spacing w:before="71" w:line="20" w:lineRule="exact"/>
      <w:ind w:firstLine="1599"/>
    </w:pPr>
    <w:r>
      <w:rPr>
        <w:position w:val="-1"/>
      </w:rPr>
      <w:pict>
        <v:shape id="_x0000_i2058" style="width:414.05pt;height:1.5pt;mso-position-horizontal-relative:char;mso-position-vertical-relative:line" coordorigin="0,0" coordsize="8280,30" path="m,15l8280,15e" filled="f" strokecolor="black" strokeweight="1.5pt">
          <w10:wrap type="non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8"/>
      <w:szCs w:val="1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3.xml" /><Relationship Id="rId12" Type="http://schemas.openxmlformats.org/officeDocument/2006/relationships/footer" Target="footer2.xml" /><Relationship Id="rId13" Type="http://schemas.openxmlformats.org/officeDocument/2006/relationships/header" Target="header4.xml" /><Relationship Id="rId14" Type="http://schemas.openxmlformats.org/officeDocument/2006/relationships/footer" Target="footer3.xml" /><Relationship Id="rId15" Type="http://schemas.openxmlformats.org/officeDocument/2006/relationships/image" Target="media/image6.jpeg" /><Relationship Id="rId16" Type="http://schemas.openxmlformats.org/officeDocument/2006/relationships/image" Target="media/image7.png" /><Relationship Id="rId17" Type="http://schemas.openxmlformats.org/officeDocument/2006/relationships/image" Target="media/image8.jpeg" /><Relationship Id="rId18" Type="http://schemas.openxmlformats.org/officeDocument/2006/relationships/image" Target="media/image9.jpeg" /><Relationship Id="rId19" Type="http://schemas.openxmlformats.org/officeDocument/2006/relationships/image" Target="media/image10.jpeg" /><Relationship Id="rId2" Type="http://schemas.openxmlformats.org/officeDocument/2006/relationships/webSettings" Target="webSettings.xml" /><Relationship Id="rId20" Type="http://schemas.openxmlformats.org/officeDocument/2006/relationships/header" Target="header5.xml" /><Relationship Id="rId21" Type="http://schemas.openxmlformats.org/officeDocument/2006/relationships/footer" Target="footer4.xml" /><Relationship Id="rId22" Type="http://schemas.openxmlformats.org/officeDocument/2006/relationships/image" Target="media/image11.jpeg" /><Relationship Id="rId23" Type="http://schemas.openxmlformats.org/officeDocument/2006/relationships/header" Target="header6.xml" /><Relationship Id="rId24" Type="http://schemas.openxmlformats.org/officeDocument/2006/relationships/footer" Target="footer5.xml" /><Relationship Id="rId25" Type="http://schemas.openxmlformats.org/officeDocument/2006/relationships/image" Target="media/image12.jpeg" /><Relationship Id="rId26" Type="http://schemas.openxmlformats.org/officeDocument/2006/relationships/image" Target="media/image13.png" /><Relationship Id="rId27" Type="http://schemas.openxmlformats.org/officeDocument/2006/relationships/header" Target="header7.xml" /><Relationship Id="rId28" Type="http://schemas.openxmlformats.org/officeDocument/2006/relationships/footer" Target="footer6.xml" /><Relationship Id="rId29" Type="http://schemas.openxmlformats.org/officeDocument/2006/relationships/header" Target="header8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header" Target="header9.xml" /><Relationship Id="rId32" Type="http://schemas.openxmlformats.org/officeDocument/2006/relationships/footer" Target="footer8.xml" /><Relationship Id="rId33" Type="http://schemas.openxmlformats.org/officeDocument/2006/relationships/header" Target="header10.xml" /><Relationship Id="rId34" Type="http://schemas.openxmlformats.org/officeDocument/2006/relationships/footer" Target="footer9.xml" /><Relationship Id="rId35" Type="http://schemas.openxmlformats.org/officeDocument/2006/relationships/image" Target="media/image14.png" /><Relationship Id="rId36" Type="http://schemas.openxmlformats.org/officeDocument/2006/relationships/header" Target="header11.xml" /><Relationship Id="rId37" Type="http://schemas.openxmlformats.org/officeDocument/2006/relationships/footer" Target="footer10.xml" /><Relationship Id="rId38" Type="http://schemas.openxmlformats.org/officeDocument/2006/relationships/image" Target="media/image15.jpeg" /><Relationship Id="rId39" Type="http://schemas.openxmlformats.org/officeDocument/2006/relationships/image" Target="media/image16.png" /><Relationship Id="rId4" Type="http://schemas.openxmlformats.org/officeDocument/2006/relationships/image" Target="media/image1.jpeg" /><Relationship Id="rId40" Type="http://schemas.openxmlformats.org/officeDocument/2006/relationships/image" Target="media/image17.jpeg" /><Relationship Id="rId41" Type="http://schemas.openxmlformats.org/officeDocument/2006/relationships/image" Target="media/image18.jpeg" /><Relationship Id="rId42" Type="http://schemas.openxmlformats.org/officeDocument/2006/relationships/image" Target="media/image19.jpeg" /><Relationship Id="rId43" Type="http://schemas.openxmlformats.org/officeDocument/2006/relationships/image" Target="media/image20.jpeg" /><Relationship Id="rId44" Type="http://schemas.openxmlformats.org/officeDocument/2006/relationships/image" Target="media/image21.jpeg" /><Relationship Id="rId45" Type="http://schemas.openxmlformats.org/officeDocument/2006/relationships/header" Target="header12.xml" /><Relationship Id="rId46" Type="http://schemas.openxmlformats.org/officeDocument/2006/relationships/footer" Target="footer11.xml" /><Relationship Id="rId47" Type="http://schemas.openxmlformats.org/officeDocument/2006/relationships/header" Target="header13.xml" /><Relationship Id="rId48" Type="http://schemas.openxmlformats.org/officeDocument/2006/relationships/footer" Target="footer12.xml" /><Relationship Id="rId49" Type="http://schemas.openxmlformats.org/officeDocument/2006/relationships/image" Target="media/image22.jpeg" /><Relationship Id="rId5" Type="http://schemas.openxmlformats.org/officeDocument/2006/relationships/image" Target="media/image2.jpeg" /><Relationship Id="rId50" Type="http://schemas.openxmlformats.org/officeDocument/2006/relationships/image" Target="media/image23.png" /><Relationship Id="rId51" Type="http://schemas.openxmlformats.org/officeDocument/2006/relationships/header" Target="header14.xml" /><Relationship Id="rId52" Type="http://schemas.openxmlformats.org/officeDocument/2006/relationships/footer" Target="footer13.xml" /><Relationship Id="rId53" Type="http://schemas.openxmlformats.org/officeDocument/2006/relationships/image" Target="media/image24.jpeg" /><Relationship Id="rId54" Type="http://schemas.openxmlformats.org/officeDocument/2006/relationships/image" Target="media/image25.png" /><Relationship Id="rId55" Type="http://schemas.openxmlformats.org/officeDocument/2006/relationships/image" Target="media/image26.jpeg" /><Relationship Id="rId56" Type="http://schemas.openxmlformats.org/officeDocument/2006/relationships/header" Target="header15.xml" /><Relationship Id="rId57" Type="http://schemas.openxmlformats.org/officeDocument/2006/relationships/footer" Target="footer14.xml" /><Relationship Id="rId58" Type="http://schemas.openxmlformats.org/officeDocument/2006/relationships/header" Target="header16.xml" /><Relationship Id="rId59" Type="http://schemas.openxmlformats.org/officeDocument/2006/relationships/footer" Target="footer15.xml" /><Relationship Id="rId6" Type="http://schemas.openxmlformats.org/officeDocument/2006/relationships/image" Target="media/image3.jpeg" /><Relationship Id="rId60" Type="http://schemas.openxmlformats.org/officeDocument/2006/relationships/image" Target="media/image27.jpeg" /><Relationship Id="rId61" Type="http://schemas.openxmlformats.org/officeDocument/2006/relationships/image" Target="media/image28.jpeg" /><Relationship Id="rId62" Type="http://schemas.openxmlformats.org/officeDocument/2006/relationships/header" Target="header17.xml" /><Relationship Id="rId63" Type="http://schemas.openxmlformats.org/officeDocument/2006/relationships/footer" Target="footer16.xml" /><Relationship Id="rId64" Type="http://schemas.openxmlformats.org/officeDocument/2006/relationships/header" Target="header18.xml" /><Relationship Id="rId65" Type="http://schemas.openxmlformats.org/officeDocument/2006/relationships/footer" Target="footer17.xml" /><Relationship Id="rId66" Type="http://schemas.openxmlformats.org/officeDocument/2006/relationships/header" Target="header19.xml" /><Relationship Id="rId67" Type="http://schemas.openxmlformats.org/officeDocument/2006/relationships/footer" Target="footer18.xml" /><Relationship Id="rId68" Type="http://schemas.openxmlformats.org/officeDocument/2006/relationships/header" Target="header20.xml" /><Relationship Id="rId69" Type="http://schemas.openxmlformats.org/officeDocument/2006/relationships/footer" Target="footer19.xml" /><Relationship Id="rId7" Type="http://schemas.openxmlformats.org/officeDocument/2006/relationships/header" Target="header1.xml" /><Relationship Id="rId70" Type="http://schemas.openxmlformats.org/officeDocument/2006/relationships/image" Target="media/image29.jpeg" /><Relationship Id="rId71" Type="http://schemas.openxmlformats.org/officeDocument/2006/relationships/image" Target="media/image30.jpeg" /><Relationship Id="rId72" Type="http://schemas.openxmlformats.org/officeDocument/2006/relationships/header" Target="header21.xml" /><Relationship Id="rId73" Type="http://schemas.openxmlformats.org/officeDocument/2006/relationships/footer" Target="footer20.xml" /><Relationship Id="rId74" Type="http://schemas.openxmlformats.org/officeDocument/2006/relationships/header" Target="header22.xml" /><Relationship Id="rId75" Type="http://schemas.openxmlformats.org/officeDocument/2006/relationships/footer" Target="footer21.xml" /><Relationship Id="rId76" Type="http://schemas.openxmlformats.org/officeDocument/2006/relationships/image" Target="media/image31.jpeg" /><Relationship Id="rId77" Type="http://schemas.openxmlformats.org/officeDocument/2006/relationships/image" Target="media/image32.jpeg" /><Relationship Id="rId78" Type="http://schemas.openxmlformats.org/officeDocument/2006/relationships/header" Target="header23.xml" /><Relationship Id="rId79" Type="http://schemas.openxmlformats.org/officeDocument/2006/relationships/footer" Target="footer22.xml" /><Relationship Id="rId8" Type="http://schemas.openxmlformats.org/officeDocument/2006/relationships/image" Target="media/image5.png" /><Relationship Id="rId80" Type="http://schemas.openxmlformats.org/officeDocument/2006/relationships/header" Target="header24.xml" /><Relationship Id="rId81" Type="http://schemas.openxmlformats.org/officeDocument/2006/relationships/footer" Target="footer23.xml" /><Relationship Id="rId82" Type="http://schemas.openxmlformats.org/officeDocument/2006/relationships/header" Target="header25.xml" /><Relationship Id="rId83" Type="http://schemas.openxmlformats.org/officeDocument/2006/relationships/footer" Target="footer24.xml" /><Relationship Id="rId84" Type="http://schemas.openxmlformats.org/officeDocument/2006/relationships/header" Target="header26.xml" /><Relationship Id="rId85" Type="http://schemas.openxmlformats.org/officeDocument/2006/relationships/footer" Target="footer25.xml" /><Relationship Id="rId86" Type="http://schemas.openxmlformats.org/officeDocument/2006/relationships/image" Target="media/image33.jpeg" /><Relationship Id="rId87" Type="http://schemas.openxmlformats.org/officeDocument/2006/relationships/image" Target="media/image34.jpeg" /><Relationship Id="rId88" Type="http://schemas.openxmlformats.org/officeDocument/2006/relationships/header" Target="header27.xml" /><Relationship Id="rId89" Type="http://schemas.openxmlformats.org/officeDocument/2006/relationships/footer" Target="footer26.xml" /><Relationship Id="rId9" Type="http://schemas.openxmlformats.org/officeDocument/2006/relationships/header" Target="header2.xml" /><Relationship Id="rId90" Type="http://schemas.openxmlformats.org/officeDocument/2006/relationships/header" Target="header28.xml" /><Relationship Id="rId91" Type="http://schemas.openxmlformats.org/officeDocument/2006/relationships/footer" Target="footer27.xml" /><Relationship Id="rId92" Type="http://schemas.openxmlformats.org/officeDocument/2006/relationships/image" Target="media/image35.jpeg" /><Relationship Id="rId93" Type="http://schemas.openxmlformats.org/officeDocument/2006/relationships/image" Target="media/image36.jpeg" /><Relationship Id="rId94" Type="http://schemas.openxmlformats.org/officeDocument/2006/relationships/hyperlink" Target="https://d.book118.com/218105125110006043" TargetMode="External" /><Relationship Id="rId95" Type="http://schemas.openxmlformats.org/officeDocument/2006/relationships/header" Target="header29.xml" /><Relationship Id="rId96" Type="http://schemas.openxmlformats.org/officeDocument/2006/relationships/footer" Target="footer28.xml" /><Relationship Id="rId97" Type="http://schemas.openxmlformats.org/officeDocument/2006/relationships/theme" Target="theme/theme1.xml" /><Relationship Id="rId98" Type="http://schemas.openxmlformats.org/officeDocument/2006/relationships/styles" Target="styles.xml" /></Relationships>
</file>

<file path=word/_rels/footer25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26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27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footer28.xml.rels><?xml version="1.0" encoding="utf-8" standalone="yes"?><Relationships xmlns="http://schemas.openxmlformats.org/package/2006/relationships"><Relationship Id="rId1" Type="http://schemas.openxmlformats.org/officeDocument/2006/relationships/image" Target="media/image7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2024-03-08T22:57:23Z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2024-03-08T22:57:28Z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65eb274fec2aea001fd30700wl</vt:lpwstr>
  </property>
</Properties>
</file>