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>
      <v:fill color2="white"/>
    </v:background>
  </w:background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line="360" w:lineRule="auto"/>
        <w:ind w:right="0" w:rightChars="0"/>
        <w:jc w:val="center"/>
        <w:textAlignment w:val="auto"/>
        <w:outlineLvl w:val="1"/>
        <w:rPr>
          <w:rFonts w:ascii="宋体" w:hAnsi="宋体" w:hint="eastAsia"/>
          <w:b/>
          <w:bCs w:val="0"/>
          <w:color w:val="000000"/>
          <w:sz w:val="28"/>
        </w:rPr>
      </w:pPr>
      <w:bookmarkStart w:id="0" w:name="_Toc12622"/>
      <w:r>
        <w:rPr>
          <w:rFonts w:ascii="宋体" w:hAnsi="宋体" w:hint="eastAsia"/>
          <w:b/>
          <w:bCs w:val="0"/>
          <w:color w:val="000000"/>
          <w:sz w:val="28"/>
        </w:rPr>
        <w:t>目    录</w:t>
      </w:r>
      <w:bookmarkEnd w:id="0"/>
    </w:p>
    <w:p>
      <w:pPr>
        <w:pStyle w:val="TOC2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r>
        <w:rPr>
          <w:rFonts w:ascii="宋体" w:eastAsia="宋体" w:hAnsi="宋体" w:cs="宋体" w:hint="eastAsia"/>
          <w:b w:val="0"/>
          <w:bCs w:val="0"/>
          <w:caps/>
          <w:color w:val="000000"/>
          <w:sz w:val="21"/>
          <w:szCs w:val="21"/>
        </w:rPr>
        <w:fldChar w:fldCharType="begin"/>
      </w:r>
      <w:r>
        <w:rPr>
          <w:rFonts w:ascii="宋体" w:eastAsia="宋体" w:hAnsi="宋体" w:cs="宋体" w:hint="eastAsia"/>
          <w:b w:val="0"/>
          <w:bCs w:val="0"/>
          <w:caps/>
          <w:color w:val="000000"/>
          <w:sz w:val="21"/>
          <w:szCs w:val="21"/>
        </w:rPr>
        <w:instrText xml:space="preserve">TOC \o "1-3" \h \u </w:instrText>
      </w:r>
      <w:r>
        <w:rPr>
          <w:rFonts w:ascii="宋体" w:eastAsia="宋体" w:hAnsi="宋体" w:cs="宋体" w:hint="eastAsia"/>
          <w:b w:val="0"/>
          <w:bCs w:val="0"/>
          <w:caps/>
          <w:color w:val="000000"/>
          <w:sz w:val="21"/>
          <w:szCs w:val="21"/>
        </w:rPr>
        <w:fldChar w:fldCharType="separate"/>
      </w:r>
      <w:hyperlink w:anchor="_Toc12622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目    录</w:t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_Toc12622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1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1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24807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一、施工组织设计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_Toc24807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3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2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19965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一、工程概况</w:t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_Toc19965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3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2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15566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二、编制依据</w:t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_Toc15566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5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2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4366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三、总体施工部署</w:t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_Toc4366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5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2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10596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四、施工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方案及技术措施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_Toc10596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6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31637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（一）施工依次</w:t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_Toc31637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6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25621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（二）结构自防水施工工艺</w:t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_Toc25621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12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15180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（三）水泥砂浆防水层施工工艺</w:t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_Toc15180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13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14768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（四）防水涂料层施工工艺</w:t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_Toc14768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13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20442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（五）高分子弹性防水涂膜层施工工艺</w:t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_Toc20442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14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16650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（六）卷材防水工程施工工艺</w:t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_Toc16650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15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23393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（八）特殊部位做法</w:t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_Toc23393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17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2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26583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 xml:space="preserve">五、 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施工质量保证措施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和创优支配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_Toc26583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18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121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（一）质量保证措施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_Toc121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18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19255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（二）创优支配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_Toc19255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21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2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256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六、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施工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总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进度支配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及工期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保证措施</w:t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_Toc256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24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25036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一、工期目标</w:t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_Toc25036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24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11365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二、工期、进度编制依据</w:t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_Toc11365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24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27471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三、工期、进度编制原则</w:t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_Toc27471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24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24926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四、进度编制方法</w:t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_Toc24926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25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31231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五、进度支配的保证措施</w:t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_Toc31231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25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17952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六、成品爱护</w:t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_Toc17952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28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2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19556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七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、平安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、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文明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和环保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施工措施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支配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_Toc19556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28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13206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（一）平安保证措施</w:t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_Toc13206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28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8753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（二）文明施工保证措施</w:t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_Toc8753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29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29494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（三）环保措施支配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_Toc29494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29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2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  <w:sectPr>
          <w:type w:val="nextPage"/>
          <w:pgSz w:w="11906" w:h="16838"/>
          <w:pgMar w:top="1440" w:right="1797" w:bottom="1440" w:left="1797" w:header="935" w:footer="992" w:gutter="0"/>
          <w:cols w:space="708"/>
          <w:docGrid w:type="lines" w:linePitch="312"/>
        </w:sectPr>
      </w:pPr>
      <w:hyperlink w:anchor="_Toc19801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八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、主要施工机具配置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及劳动力支配支配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_Toc19801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31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11341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（一）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val="en-US" w:eastAsia="zh-CN"/>
          </w:rPr>
          <w:t xml:space="preserve"> 主要施工机具配置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_Toc11341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31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2183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（二）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、劳动力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支配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支配</w:t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_Toc2183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34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1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1290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二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、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项目管理机构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_Toc1290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37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2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9883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（一）项目管理机构组成表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_Toc9883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37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2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23697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（二） 主要人员简历表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_Toc23697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38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2782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val="en-US" w:eastAsia="zh-CN"/>
          </w:rPr>
          <w:t>附1.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项目经理简历表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_Toc2782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38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28372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val="en-US" w:eastAsia="zh-CN"/>
          </w:rPr>
          <w:t>附1.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技术负责人简历表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_Toc28372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46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6156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val="en-US" w:eastAsia="zh-CN"/>
          </w:rPr>
          <w:t>附1.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平安员简历表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_Toc6156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54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30727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val="en-US" w:eastAsia="zh-CN"/>
          </w:rPr>
          <w:t>附1.材料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员简历表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_Toc30727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59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29791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val="en-US" w:eastAsia="zh-CN"/>
          </w:rPr>
          <w:t>附1.施工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员简历表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_Toc29791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63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23787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val="en-US" w:eastAsia="zh-CN"/>
          </w:rPr>
          <w:t>附1.质量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员简历表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_Toc23787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67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13120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val="en-US" w:eastAsia="zh-CN"/>
          </w:rPr>
          <w:t>附1.资料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员简历表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_Toc13120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71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3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17990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val="en-US" w:eastAsia="zh-CN"/>
          </w:rPr>
          <w:t>附1.造价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eastAsia="zh-CN"/>
          </w:rPr>
          <w:t>员简历表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_Toc17990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75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1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14675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三、 其他材料</w:t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_Toc14675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79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2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20800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val="en-US" w:eastAsia="zh-CN"/>
          </w:rPr>
          <w:t>1.营业执照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_Toc20800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79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2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5612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val="en-US" w:eastAsia="zh-CN"/>
          </w:rPr>
          <w:t>2.资质证书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_Toc5612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84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2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17278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val="en-US" w:eastAsia="zh-CN"/>
          </w:rPr>
          <w:t>3.平安生产许可证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_Toc17278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86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2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9528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val="en-US" w:eastAsia="zh-CN"/>
          </w:rPr>
          <w:t>4.三体认证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_Toc9528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87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2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26923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val="en-US" w:eastAsia="zh-CN"/>
          </w:rPr>
          <w:t>5.外省入陕截图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_Toc26923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90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2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10395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val="en-US" w:eastAsia="zh-CN"/>
          </w:rPr>
          <w:t>6.开户许可证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_Toc10395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91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pStyle w:val="TOC2"/>
        <w:tabs>
          <w:tab w:val="right" w:leader="dot" w:pos="8312"/>
        </w:tabs>
        <w:spacing w:line="360" w:lineRule="auto"/>
        <w:rPr>
          <w:rFonts w:ascii="宋体" w:eastAsia="宋体" w:hAnsi="宋体" w:cs="宋体" w:hint="eastAsia"/>
          <w:b w:val="0"/>
          <w:bCs w:val="0"/>
          <w:sz w:val="21"/>
          <w:szCs w:val="21"/>
        </w:rPr>
      </w:pPr>
      <w:hyperlink w:anchor="_Toc13405" w:history="1">
        <w:r>
          <w:rPr>
            <w:rFonts w:ascii="宋体" w:eastAsia="宋体" w:hAnsi="宋体" w:cs="宋体" w:hint="eastAsia"/>
            <w:b w:val="0"/>
            <w:bCs w:val="0"/>
            <w:sz w:val="21"/>
            <w:szCs w:val="21"/>
            <w:lang w:val="en-US" w:eastAsia="zh-CN"/>
          </w:rPr>
          <w:t>7.</w:t>
        </w:r>
        <w:r>
          <w:rPr>
            <w:rFonts w:ascii="宋体" w:eastAsia="宋体" w:hAnsi="宋体" w:cs="宋体" w:hint="eastAsia"/>
            <w:b w:val="0"/>
            <w:bCs w:val="0"/>
            <w:kern w:val="2"/>
            <w:sz w:val="21"/>
            <w:szCs w:val="21"/>
            <w:lang w:val="en-US" w:eastAsia="zh-CN" w:bidi="ar"/>
          </w:rPr>
          <w:t>项目经理证件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ab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begin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instrText xml:space="preserve"> PAGEREF _Toc13405 </w:instrTex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separate"/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t>92</w:t>
        </w:r>
        <w:r>
          <w:rPr>
            <w:rFonts w:ascii="宋体" w:eastAsia="宋体" w:hAnsi="宋体" w:cs="宋体" w:hint="eastAsia"/>
            <w:b w:val="0"/>
            <w:bCs w:val="0"/>
            <w:sz w:val="21"/>
            <w:szCs w:val="21"/>
          </w:rPr>
          <w:fldChar w:fldCharType="end"/>
        </w:r>
      </w:hyperlink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line="360" w:lineRule="auto"/>
        <w:ind w:right="0" w:rightChars="0"/>
        <w:jc w:val="center"/>
        <w:textAlignment w:val="auto"/>
        <w:rPr>
          <w:rFonts w:ascii="宋体" w:hAnsi="宋体" w:hint="eastAsia"/>
          <w:bCs/>
          <w:caps/>
          <w:color w:val="000000"/>
          <w:sz w:val="24"/>
        </w:rPr>
      </w:pPr>
      <w:r>
        <w:rPr>
          <w:rFonts w:ascii="宋体" w:eastAsia="宋体" w:hAnsi="宋体" w:cs="宋体" w:hint="eastAsia"/>
          <w:b w:val="0"/>
          <w:bCs w:val="0"/>
          <w:caps/>
          <w:color w:val="000000"/>
          <w:sz w:val="21"/>
          <w:szCs w:val="21"/>
        </w:rPr>
        <w:fldChar w:fldCharType="end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line="360" w:lineRule="auto"/>
        <w:ind w:right="0" w:rightChars="0"/>
        <w:jc w:val="center"/>
        <w:textAlignment w:val="auto"/>
        <w:rPr>
          <w:rFonts w:ascii="宋体" w:hAnsi="宋体" w:hint="eastAsia"/>
          <w:bCs/>
          <w:caps/>
          <w:color w:val="000000"/>
          <w:sz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line="360" w:lineRule="auto"/>
        <w:ind w:right="0" w:rightChars="0"/>
        <w:jc w:val="center"/>
        <w:textAlignment w:val="auto"/>
        <w:rPr>
          <w:rFonts w:ascii="宋体" w:hAnsi="宋体" w:hint="eastAsia"/>
          <w:bCs/>
          <w:caps/>
          <w:color w:val="000000"/>
          <w:sz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line="360" w:lineRule="auto"/>
        <w:ind w:right="0" w:rightChars="0"/>
        <w:jc w:val="center"/>
        <w:textAlignment w:val="auto"/>
        <w:rPr>
          <w:rFonts w:ascii="宋体" w:hAnsi="宋体" w:hint="eastAsia"/>
          <w:bCs/>
          <w:caps/>
          <w:color w:val="000000"/>
          <w:sz w:val="24"/>
        </w:rPr>
        <w:sectPr>
          <w:type w:val="nextPage"/>
          <w:pgSz w:w="11906" w:h="16838"/>
          <w:pgMar w:top="1440" w:right="1797" w:bottom="1440" w:left="1797" w:header="935" w:footer="992" w:gutter="0"/>
          <w:pgNumType w:start="2"/>
          <w:cols w:space="708"/>
          <w:titlePg w:val="0"/>
          <w:docGrid w:type="lines" w:linePitch="312"/>
        </w:sectPr>
      </w:pPr>
    </w:p>
    <w:p>
      <w:pPr>
        <w:spacing w:line="360" w:lineRule="auto"/>
        <w:ind w:firstLine="600" w:firstLineChars="200"/>
        <w:jc w:val="center"/>
        <w:outlineLvl w:val="0"/>
        <w:rPr>
          <w:rFonts w:ascii="楷体_GB2312" w:eastAsia="楷体_GB2312" w:hAnsi="楷体_GB2312" w:hint="eastAsia"/>
          <w:b/>
          <w:color w:val="FF0000"/>
          <w:sz w:val="32"/>
          <w:szCs w:val="32"/>
        </w:rPr>
      </w:pPr>
      <w:bookmarkStart w:id="1" w:name="_Toc24807"/>
      <w:r>
        <w:rPr>
          <w:rFonts w:ascii="仿宋_GB2312" w:eastAsia="仿宋_GB2312" w:hint="eastAsia"/>
          <w:b/>
          <w:sz w:val="30"/>
          <w:szCs w:val="30"/>
          <w:lang w:eastAsia="zh-CN"/>
        </w:rPr>
        <w:t>一、施工组织设计</w:t>
      </w:r>
      <w:bookmarkEnd w:id="1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360" w:lineRule="auto"/>
        <w:ind w:right="0" w:rightChars="0"/>
        <w:jc w:val="center"/>
        <w:textAlignment w:val="auto"/>
        <w:outlineLvl w:val="1"/>
        <w:rPr>
          <w:rFonts w:ascii="宋体" w:hAnsi="宋体" w:hint="eastAsia"/>
          <w:b/>
          <w:sz w:val="28"/>
          <w:szCs w:val="28"/>
        </w:rPr>
      </w:pPr>
      <w:bookmarkStart w:id="2" w:name="_Toc282416612"/>
      <w:bookmarkStart w:id="3" w:name="_Toc288854824"/>
      <w:bookmarkStart w:id="4" w:name="_Toc318989068"/>
      <w:bookmarkStart w:id="5" w:name="_Toc19965"/>
      <w:r>
        <w:rPr>
          <w:rFonts w:ascii="宋体" w:hAnsi="宋体" w:hint="eastAsia"/>
          <w:b/>
          <w:sz w:val="28"/>
          <w:szCs w:val="28"/>
        </w:rPr>
        <w:t>一、工程概况</w:t>
      </w:r>
      <w:bookmarkEnd w:id="2"/>
      <w:bookmarkEnd w:id="3"/>
      <w:bookmarkEnd w:id="4"/>
      <w:bookmarkEnd w:id="5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ind w:right="0" w:firstLine="480" w:rightChars="0" w:firstLineChars="200"/>
        <w:textAlignment w:val="auto"/>
        <w:outlineLvl w:val="9"/>
        <w:rPr>
          <w:rFonts w:ascii="宋体" w:hAnsi="宋体" w:hint="eastAsia"/>
          <w:b/>
          <w:sz w:val="24"/>
        </w:rPr>
      </w:pPr>
      <w:bookmarkStart w:id="6" w:name="_Toc318989069"/>
      <w:r>
        <w:rPr>
          <w:rFonts w:ascii="宋体" w:hAnsi="宋体" w:hint="eastAsia"/>
          <w:b/>
          <w:sz w:val="24"/>
        </w:rPr>
        <w:t>（一）工程基本概况</w:t>
      </w:r>
      <w:bookmarkEnd w:id="6"/>
    </w:p>
    <w:p>
      <w:pPr>
        <w:spacing w:line="360" w:lineRule="auto"/>
        <w:ind w:firstLine="570"/>
        <w:jc w:val="center"/>
        <w:rPr>
          <w:rFonts w:ascii="宋体" w:eastAsia="宋体" w:hAnsi="宋体" w:cs="宋体" w:hint="eastAsia"/>
          <w:sz w:val="24"/>
        </w:rPr>
      </w:pPr>
      <w:bookmarkStart w:id="7" w:name="_Toc318989070"/>
      <w:r>
        <w:rPr>
          <w:rFonts w:ascii="宋体" w:eastAsia="宋体" w:hAnsi="宋体" w:cs="宋体" w:hint="eastAsia"/>
          <w:sz w:val="24"/>
          <w:szCs w:val="24"/>
        </w:rPr>
        <w:t>西安北方秦川集团有限公司</w:t>
      </w:r>
      <w:r>
        <w:rPr>
          <w:rFonts w:ascii="宋体" w:eastAsia="宋体" w:hAnsi="宋体" w:cs="宋体" w:hint="eastAsia"/>
          <w:sz w:val="24"/>
          <w:szCs w:val="24"/>
        </w:rPr>
        <w:t>“</w:t>
      </w:r>
      <w:r>
        <w:rPr>
          <w:rFonts w:ascii="宋体" w:eastAsia="宋体" w:hAnsi="宋体" w:cs="宋体" w:hint="eastAsia"/>
          <w:sz w:val="24"/>
          <w:szCs w:val="24"/>
        </w:rPr>
        <w:t>三供一业</w:t>
      </w:r>
      <w:r>
        <w:rPr>
          <w:rFonts w:ascii="宋体" w:eastAsia="宋体" w:hAnsi="宋体" w:cs="宋体" w:hint="eastAsia"/>
          <w:sz w:val="24"/>
          <w:szCs w:val="24"/>
        </w:rPr>
        <w:t>”</w:t>
      </w:r>
      <w:r>
        <w:rPr>
          <w:rFonts w:ascii="宋体" w:eastAsia="宋体" w:hAnsi="宋体" w:cs="宋体" w:hint="eastAsia"/>
          <w:sz w:val="24"/>
          <w:szCs w:val="24"/>
        </w:rPr>
        <w:t>分别移交改造项目五标段：21</w:t>
      </w:r>
    </w:p>
    <w:p>
      <w:pPr>
        <w:spacing w:line="360" w:lineRule="auto"/>
        <w:rPr>
          <w:rFonts w:ascii="仿宋_GB2312" w:eastAsia="仿宋_GB2312" w:hAnsi="宋体" w:hint="eastAsia"/>
          <w:sz w:val="28"/>
        </w:rPr>
      </w:pPr>
      <w:r>
        <w:rPr>
          <w:rFonts w:ascii="宋体" w:eastAsia="宋体" w:hAnsi="宋体" w:cs="宋体" w:hint="eastAsia"/>
          <w:sz w:val="24"/>
          <w:szCs w:val="24"/>
        </w:rPr>
        <w:t>邻居屋面修理及雨水管改造项目，共计改造25栋楼，主要工程内            容包含屋面修理及雨水管改造。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ind w:right="0" w:firstLine="480" w:rightChars="0" w:firstLineChars="200"/>
        <w:textAlignment w:val="auto"/>
        <w:outlineLvl w:val="9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t>（二）屋面做法设计概况</w:t>
      </w:r>
      <w:bookmarkEnd w:id="7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ind w:right="0" w:firstLine="480" w:rightChars="0" w:firstLineChars="200"/>
        <w:textAlignment w:val="auto"/>
        <w:rPr>
          <w:rFonts w:ascii="宋体" w:hAnsi="宋体" w:hint="eastAsia"/>
          <w:color w:val="000000"/>
          <w:sz w:val="24"/>
        </w:rPr>
      </w:pPr>
      <w:r>
        <w:rPr>
          <w:rFonts w:ascii="宋体" w:eastAsia="宋体" w:hAnsi="宋体" w:cs="宋体" w:hint="eastAsia"/>
          <w:b w:val="0"/>
          <w:bCs/>
          <w:sz w:val="24"/>
          <w:szCs w:val="24"/>
        </w:rPr>
        <w:t>21邻居屋面</w:t>
      </w:r>
      <w:r>
        <w:rPr>
          <w:rFonts w:ascii="宋体" w:hAnsi="宋体" w:hint="eastAsia"/>
          <w:sz w:val="24"/>
        </w:rPr>
        <w:t>工程防水等级均为</w:t>
      </w:r>
      <w:r>
        <w:rPr>
          <w:rFonts w:ascii="宋体" w:hAnsi="宋体" w:hint="eastAsia"/>
          <w:sz w:val="24"/>
        </w:rPr>
        <w:t>Ⅱ</w:t>
      </w:r>
      <w:r>
        <w:rPr>
          <w:rFonts w:ascii="宋体" w:hAnsi="宋体" w:hint="eastAsia"/>
          <w:sz w:val="24"/>
        </w:rPr>
        <w:t>级，二道防水设防</w:t>
      </w:r>
      <w:r>
        <w:rPr>
          <w:rFonts w:ascii="宋体" w:hAnsi="宋体" w:hint="eastAsia"/>
          <w:sz w:val="24"/>
          <w:lang w:eastAsia="zh-CN"/>
        </w:rPr>
        <w:t>合理运用年限为</w:t>
      </w:r>
      <w:r>
        <w:rPr>
          <w:rFonts w:ascii="宋体" w:hAnsi="宋体" w:hint="eastAsia"/>
          <w:sz w:val="24"/>
          <w:lang w:val="en-US" w:eastAsia="zh-CN"/>
        </w:rPr>
        <w:t>15年</w:t>
      </w:r>
      <w:r>
        <w:rPr>
          <w:rFonts w:ascii="宋体" w:hAnsi="宋体" w:hint="eastAsia"/>
          <w:sz w:val="24"/>
        </w:rPr>
        <w:t>。依据建筑及结构图纸设计要求，</w:t>
      </w:r>
      <w:r>
        <w:rPr>
          <w:rFonts w:ascii="宋体" w:hAnsi="宋体" w:hint="eastAsia"/>
          <w:color w:val="000000"/>
          <w:sz w:val="24"/>
        </w:rPr>
        <w:t>防水主要采纳钢筋混凝土结构自防水和建筑防水层相结合的形式。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ind w:right="0" w:firstLine="480" w:rightChars="0" w:firstLineChars="200"/>
        <w:textAlignment w:val="auto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屋面防水层做法采纳氯化聚乙烯防水卷材，聚氨酯防水涂料。防水材料，采纳3mm厚自粘聚合物（聚酯胎）改性沥青防水卷材，1.5mm厚水泥基聚合物防水涂料。其余卷材均采纳氯化聚乙烯防水卷材，涂料采纳聚氨酯防水涂料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ind w:right="0" w:firstLine="480" w:rightChars="0" w:firstLineChars="200"/>
        <w:textAlignment w:val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屋面做法及工艺如下：</w:t>
      </w:r>
    </w:p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28"/>
        <w:gridCol w:w="1440"/>
        <w:gridCol w:w="4680"/>
        <w:gridCol w:w="1800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82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序号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部位</w:t>
            </w:r>
          </w:p>
        </w:tc>
        <w:tc>
          <w:tcPr>
            <w:tcW w:w="468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工艺做法</w:t>
            </w: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82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现浇钢筋砼上人平屋面做法</w:t>
            </w:r>
          </w:p>
        </w:tc>
        <w:tc>
          <w:tcPr>
            <w:tcW w:w="468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mallCaps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40</w:t>
            </w:r>
            <w:r>
              <w:rPr>
                <w:rFonts w:hint="eastAsia"/>
                <w:sz w:val="24"/>
              </w:rPr>
              <w:t>厚C20细石混凝土，配筋</w:t>
            </w:r>
            <w:r>
              <w:rPr>
                <w:rFonts w:hint="eastAsia"/>
                <w:sz w:val="24"/>
              </w:rPr>
              <w:t>φ</w:t>
            </w:r>
            <w:r>
              <w:rPr>
                <w:rFonts w:hint="eastAsia"/>
                <w:sz w:val="24"/>
              </w:rPr>
              <w:t>6</w:t>
            </w:r>
            <w:r>
              <w:rPr>
                <w:rFonts w:hint="eastAsia"/>
                <w:sz w:val="24"/>
                <w:lang w:val="en-US" w:eastAsia="zh-CN"/>
              </w:rPr>
              <w:t>.5</w:t>
            </w:r>
            <w:r>
              <w:rPr>
                <w:rFonts w:hint="eastAsia"/>
                <w:sz w:val="24"/>
              </w:rPr>
              <w:t>@200</w:t>
            </w:r>
            <w:r>
              <w:rPr>
                <w:rFonts w:hint="eastAsia"/>
                <w:smallCaps/>
                <w:sz w:val="24"/>
              </w:rPr>
              <w:t>×</w:t>
            </w:r>
            <w:r>
              <w:rPr>
                <w:rFonts w:hint="eastAsia"/>
                <w:smallCaps/>
                <w:sz w:val="24"/>
              </w:rPr>
              <w:t>200，分格缝设置：6*6米，沥青灌缝，缝宽15MM。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合成高分子防水卷材</w:t>
            </w:r>
            <w:r>
              <w:rPr>
                <w:rFonts w:hint="eastAsia"/>
                <w:sz w:val="24"/>
              </w:rPr>
              <w:t>≥</w:t>
            </w:r>
            <w:r>
              <w:rPr>
                <w:rFonts w:hint="eastAsia"/>
                <w:sz w:val="24"/>
              </w:rPr>
              <w:t>1.2厚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全成高分子防水涂膜</w:t>
            </w:r>
            <w:r>
              <w:rPr>
                <w:rFonts w:hint="eastAsia"/>
                <w:sz w:val="24"/>
              </w:rPr>
              <w:t>≥</w:t>
            </w:r>
            <w:r>
              <w:rPr>
                <w:rFonts w:hint="eastAsia"/>
                <w:sz w:val="24"/>
              </w:rPr>
              <w:t>2厚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基层处理剂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1：3水泥砂浆找平层（20厚）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eastAsia="宋体"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70mm厚泡沫砼自找坡</w:t>
            </w:r>
            <w:r>
              <w:rPr>
                <w:rFonts w:hint="eastAsia"/>
                <w:sz w:val="24"/>
              </w:rPr>
              <w:t>（最薄处</w:t>
            </w:r>
            <w:r>
              <w:rPr>
                <w:rFonts w:hint="eastAsia"/>
                <w:sz w:val="24"/>
                <w:lang w:val="en-US" w:eastAsia="zh-CN"/>
              </w:rPr>
              <w:t>7</w:t>
            </w:r>
            <w:r>
              <w:rPr>
                <w:rFonts w:hint="eastAsia"/>
                <w:sz w:val="24"/>
              </w:rPr>
              <w:t>0mm）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钢筋砼屋面板</w:t>
            </w: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82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现浇钢筋砼不上人平屋面做法</w:t>
            </w:r>
          </w:p>
        </w:tc>
        <w:tc>
          <w:tcPr>
            <w:tcW w:w="468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mallCaps/>
                <w:sz w:val="24"/>
              </w:rPr>
            </w:pPr>
            <w:r>
              <w:rPr>
                <w:rFonts w:hint="eastAsia"/>
                <w:sz w:val="24"/>
              </w:rPr>
              <w:t>C20 40厚细石混凝土，配筋</w:t>
            </w:r>
            <w:r>
              <w:rPr>
                <w:rFonts w:hint="eastAsia"/>
                <w:sz w:val="24"/>
              </w:rPr>
              <w:t>φ</w:t>
            </w:r>
            <w:r>
              <w:rPr>
                <w:rFonts w:hint="eastAsia"/>
                <w:sz w:val="24"/>
              </w:rPr>
              <w:t>6</w:t>
            </w:r>
            <w:r>
              <w:rPr>
                <w:rFonts w:hint="eastAsia"/>
                <w:sz w:val="24"/>
                <w:lang w:val="en-US" w:eastAsia="zh-CN"/>
              </w:rPr>
              <w:t>.5</w:t>
            </w:r>
            <w:r>
              <w:rPr>
                <w:rFonts w:hint="eastAsia"/>
                <w:sz w:val="24"/>
              </w:rPr>
              <w:t>@200</w:t>
            </w:r>
            <w:r>
              <w:rPr>
                <w:rFonts w:hint="eastAsia"/>
                <w:smallCaps/>
                <w:sz w:val="24"/>
              </w:rPr>
              <w:t>×</w:t>
            </w:r>
            <w:r>
              <w:rPr>
                <w:rFonts w:hint="eastAsia"/>
                <w:smallCaps/>
                <w:sz w:val="24"/>
              </w:rPr>
              <w:t>200，分格缝设置：6*6米，沥青灌缝，缝宽15MM。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合成高分子防水卷材</w:t>
            </w:r>
            <w:r>
              <w:rPr>
                <w:rFonts w:hint="eastAsia"/>
                <w:sz w:val="24"/>
              </w:rPr>
              <w:t>≥</w:t>
            </w:r>
            <w:r>
              <w:rPr>
                <w:rFonts w:hint="eastAsia"/>
                <w:sz w:val="24"/>
              </w:rPr>
              <w:t>1.2厚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全成高分子防水涂膜</w:t>
            </w:r>
            <w:r>
              <w:rPr>
                <w:rFonts w:hint="eastAsia"/>
                <w:sz w:val="24"/>
              </w:rPr>
              <w:t>≥</w:t>
            </w:r>
            <w:r>
              <w:rPr>
                <w:rFonts w:hint="eastAsia"/>
                <w:sz w:val="24"/>
              </w:rPr>
              <w:t>2厚</w:t>
            </w: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797" w:bottom="1440" w:left="1797" w:header="935" w:footer="992" w:gutter="0"/>
          <w:pgNumType w:start="3"/>
          <w:cols w:space="708"/>
          <w:titlePg w:val="0"/>
          <w:docGrid w:type="lines" w:linePitch="312"/>
        </w:sectPr>
      </w:pPr>
    </w:p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28"/>
        <w:gridCol w:w="1440"/>
        <w:gridCol w:w="4680"/>
        <w:gridCol w:w="1800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828" w:type="dxa"/>
            <w:vAlign w:val="center"/>
          </w:tcPr>
          <w:p/>
        </w:tc>
        <w:tc>
          <w:tcPr>
            <w:tcW w:w="1440" w:type="dxa"/>
            <w:vAlign w:val="center"/>
          </w:tcPr>
          <w:p/>
        </w:tc>
        <w:tc>
          <w:tcPr>
            <w:tcW w:w="468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基层处理剂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1：3水泥砂浆找平层（20厚）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70mm厚泡沫砼自找坡</w:t>
            </w:r>
            <w:r>
              <w:rPr>
                <w:rFonts w:hint="eastAsia"/>
                <w:sz w:val="24"/>
              </w:rPr>
              <w:t>（最薄处</w:t>
            </w:r>
            <w:r>
              <w:rPr>
                <w:rFonts w:hint="eastAsia"/>
                <w:sz w:val="24"/>
                <w:lang w:val="en-US" w:eastAsia="zh-CN"/>
              </w:rPr>
              <w:t>7</w:t>
            </w:r>
            <w:r>
              <w:rPr>
                <w:rFonts w:hint="eastAsia"/>
                <w:sz w:val="24"/>
              </w:rPr>
              <w:t>0mm）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钢筋砼屋面板</w:t>
            </w:r>
          </w:p>
        </w:tc>
        <w:tc>
          <w:tcPr>
            <w:tcW w:w="1800" w:type="dxa"/>
            <w:vAlign w:val="center"/>
          </w:tcPr>
          <w:p/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82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屋面泛水做法</w:t>
            </w:r>
          </w:p>
        </w:tc>
        <w:tc>
          <w:tcPr>
            <w:tcW w:w="468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99（03）J201-1    D/25   泛水高度300mm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铺块材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粗砂垫层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保温层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卷材或涂膜防水层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附加层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找平层</w:t>
            </w: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82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屋面雨水口</w:t>
            </w:r>
          </w:p>
        </w:tc>
        <w:tc>
          <w:tcPr>
            <w:tcW w:w="468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99（03）J201-1    2/28</w:t>
            </w: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82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5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穿女儿墙屋面雨水口</w:t>
            </w:r>
          </w:p>
        </w:tc>
        <w:tc>
          <w:tcPr>
            <w:tcW w:w="468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99（03）J201-1    1/29</w:t>
            </w: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82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6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雨水管均采纳UPVC雨水管</w:t>
            </w:r>
          </w:p>
        </w:tc>
        <w:tc>
          <w:tcPr>
            <w:tcW w:w="468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安装详国标99（03）J201-1    1/33</w:t>
            </w: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82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7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女儿墙压顶及防水层收头</w:t>
            </w:r>
          </w:p>
        </w:tc>
        <w:tc>
          <w:tcPr>
            <w:tcW w:w="468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做法详99（03）J201-1   B/24   D/24</w:t>
            </w: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82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8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外檐沟局部</w:t>
            </w:r>
          </w:p>
        </w:tc>
        <w:tc>
          <w:tcPr>
            <w:tcW w:w="468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做法详99（03）J201-1   B/26</w:t>
            </w: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82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9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天沟局部</w:t>
            </w:r>
          </w:p>
        </w:tc>
        <w:tc>
          <w:tcPr>
            <w:tcW w:w="468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做法详99（03）J201-1  A/27  E/27  F/27</w:t>
            </w: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82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10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排气道出屋面</w:t>
            </w:r>
          </w:p>
        </w:tc>
        <w:tc>
          <w:tcPr>
            <w:tcW w:w="468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做法详国标03J930-1-407,408</w:t>
            </w: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82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11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厨房排气道</w:t>
            </w:r>
          </w:p>
        </w:tc>
        <w:tc>
          <w:tcPr>
            <w:tcW w:w="468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楼板预留洞口尺寸450X600。对接缝留在板中具体详国标03J930-1-406。</w:t>
            </w: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82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12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屋面分格缝</w:t>
            </w:r>
          </w:p>
        </w:tc>
        <w:tc>
          <w:tcPr>
            <w:tcW w:w="468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纵横间距不大于5m，做法详国标99（03）J201-1   1/37  2/37</w:t>
            </w: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82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13</w:t>
            </w:r>
          </w:p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after="0" w:line="360" w:lineRule="auto"/>
              <w:ind w:right="0" w:rightChars="0"/>
              <w:jc w:val="center"/>
              <w:textAlignment w:val="auto"/>
              <w:rPr>
                <w:rFonts w:hint="eastAsia"/>
                <w:sz w:val="24"/>
              </w:rPr>
            </w:pPr>
          </w:p>
        </w:tc>
        <w:tc>
          <w:tcPr>
            <w:tcW w:w="468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做法详国标04CJ01-1-28。</w:t>
            </w:r>
          </w:p>
        </w:tc>
        <w:tc>
          <w:tcPr>
            <w:tcW w:w="18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ind w:right="0" w:rightChars="0"/>
              <w:jc w:val="center"/>
              <w:textAlignment w:val="auto"/>
              <w:rPr>
                <w:rFonts w:ascii="宋体" w:hAnsi="宋体" w:hint="eastAsia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797" w:bottom="1440" w:left="1797" w:header="935" w:footer="992" w:gutter="0"/>
          <w:pgNumType w:start="4"/>
          <w:cols w:space="708"/>
          <w:titlePg w:val="0"/>
          <w:docGrid w:type="lines" w:linePitch="312"/>
        </w:sectPr>
      </w:pPr>
    </w:p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28"/>
        <w:gridCol w:w="1440"/>
        <w:gridCol w:w="4680"/>
        <w:gridCol w:w="1800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828" w:type="dxa"/>
            <w:vAlign w:val="center"/>
          </w:tcPr>
          <w:p/>
        </w:tc>
        <w:tc>
          <w:tcPr>
            <w:tcW w:w="144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before="0" w:line="360" w:lineRule="auto"/>
              <w:ind w:right="0" w:rightChars="0"/>
              <w:jc w:val="center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平屋面变形缝</w:t>
            </w:r>
          </w:p>
        </w:tc>
        <w:tc>
          <w:tcPr>
            <w:tcW w:w="4680" w:type="dxa"/>
            <w:vAlign w:val="center"/>
          </w:tcPr>
          <w:p/>
        </w:tc>
        <w:tc>
          <w:tcPr>
            <w:tcW w:w="1800" w:type="dxa"/>
            <w:vAlign w:val="center"/>
          </w:tcPr>
          <w:p/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360" w:lineRule="auto"/>
        <w:ind w:right="0" w:rightChars="0"/>
        <w:textAlignment w:val="auto"/>
        <w:outlineLvl w:val="1"/>
        <w:rPr>
          <w:rFonts w:ascii="宋体" w:hAnsi="宋体" w:hint="eastAsia"/>
          <w:sz w:val="24"/>
        </w:rPr>
      </w:pPr>
      <w:bookmarkStart w:id="8" w:name="_Toc270324534"/>
      <w:bookmarkStart w:id="9" w:name="_Toc318989071"/>
      <w:bookmarkStart w:id="10" w:name="_Toc15566"/>
      <w:r>
        <w:rPr>
          <w:rFonts w:ascii="宋体" w:hAnsi="宋体" w:hint="eastAsia"/>
          <w:b/>
          <w:sz w:val="28"/>
          <w:szCs w:val="28"/>
        </w:rPr>
        <w:t>二、</w:t>
      </w:r>
      <w:bookmarkEnd w:id="8"/>
      <w:r>
        <w:rPr>
          <w:rFonts w:ascii="宋体" w:hAnsi="宋体" w:hint="eastAsia"/>
          <w:b/>
          <w:sz w:val="28"/>
          <w:szCs w:val="28"/>
        </w:rPr>
        <w:t>编制依据</w:t>
      </w:r>
      <w:bookmarkStart w:id="11" w:name="_Toc270324535"/>
      <w:bookmarkEnd w:id="9"/>
      <w:bookmarkEnd w:id="10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ind w:right="0" w:firstLine="480" w:rightChars="0" w:firstLineChars="200"/>
        <w:textAlignment w:val="auto"/>
        <w:rPr>
          <w:rFonts w:ascii="宋体" w:hAnsi="宋体" w:hint="eastAsia"/>
          <w:sz w:val="24"/>
        </w:rPr>
      </w:pPr>
      <w:bookmarkEnd w:id="11"/>
      <w:r>
        <w:rPr>
          <w:rFonts w:ascii="宋体" w:hAnsi="宋体" w:hint="eastAsia"/>
          <w:sz w:val="24"/>
        </w:rPr>
        <w:t>（1）、</w:t>
      </w:r>
      <w:r>
        <w:rPr>
          <w:rFonts w:ascii="宋体" w:hAnsi="宋体" w:hint="eastAsia"/>
          <w:sz w:val="24"/>
          <w:lang w:eastAsia="zh-CN"/>
        </w:rPr>
        <w:t>业主方下发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21邻居屋面</w:t>
      </w:r>
      <w:r>
        <w:rPr>
          <w:rFonts w:ascii="宋体" w:hAnsi="宋体" w:hint="eastAsia"/>
          <w:sz w:val="24"/>
          <w:lang w:eastAsia="zh-CN"/>
        </w:rPr>
        <w:t>施工图</w:t>
      </w:r>
      <w:r>
        <w:rPr>
          <w:rFonts w:ascii="宋体" w:hAnsi="宋体" w:hint="eastAsia"/>
          <w:sz w:val="24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ind w:right="0" w:firstLine="480" w:rightChars="0" w:firstLineChars="200"/>
        <w:textAlignment w:val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（2）、《地下工程防水技术规范》（</w:t>
      </w:r>
      <w:r>
        <w:rPr>
          <w:rFonts w:ascii="宋体" w:hAnsi="宋体"/>
          <w:sz w:val="24"/>
        </w:rPr>
        <w:t>GB50</w:t>
      </w:r>
      <w:r>
        <w:rPr>
          <w:rFonts w:ascii="宋体" w:hAnsi="宋体" w:hint="eastAsia"/>
          <w:sz w:val="24"/>
        </w:rPr>
        <w:t>1</w:t>
      </w:r>
      <w:r>
        <w:rPr>
          <w:rFonts w:ascii="宋体" w:hAnsi="宋体"/>
          <w:sz w:val="24"/>
        </w:rPr>
        <w:t>08-200</w:t>
      </w:r>
      <w:r>
        <w:rPr>
          <w:rFonts w:ascii="宋体" w:hAnsi="宋体" w:hint="eastAsia"/>
          <w:sz w:val="24"/>
        </w:rPr>
        <w:t>1）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ind w:right="0" w:firstLine="480" w:rightChars="0" w:firstLineChars="200"/>
        <w:textAlignment w:val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（3）、《地下防水工程质量验收规范》（</w:t>
      </w:r>
      <w:r>
        <w:rPr>
          <w:rFonts w:ascii="宋体" w:hAnsi="宋体"/>
          <w:sz w:val="24"/>
        </w:rPr>
        <w:t>GB</w:t>
      </w:r>
      <w:r>
        <w:rPr>
          <w:rFonts w:ascii="宋体" w:hAnsi="宋体" w:hint="eastAsia"/>
          <w:sz w:val="24"/>
        </w:rPr>
        <w:t>50208-2002）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ind w:right="0" w:firstLine="480" w:rightChars="0" w:firstLineChars="200"/>
        <w:textAlignment w:val="auto"/>
        <w:rPr>
          <w:rFonts w:ascii="宋体" w:hAnsi="宋体" w:hint="eastAsia"/>
          <w:sz w:val="24"/>
        </w:rPr>
      </w:pPr>
      <w:bookmarkStart w:id="12" w:name="_Toc65643708"/>
      <w:bookmarkStart w:id="13" w:name="_Toc65644362"/>
      <w:r>
        <w:rPr>
          <w:rFonts w:ascii="宋体" w:hAnsi="宋体" w:hint="eastAsia"/>
          <w:sz w:val="24"/>
        </w:rPr>
        <w:t>（4）、《建筑地面工程施工质量验收规范》（GB50209-2002</w:t>
      </w:r>
      <w:bookmarkStart w:id="14" w:name="_Toc65643709"/>
      <w:bookmarkStart w:id="15" w:name="_Toc65644363"/>
      <w:bookmarkEnd w:id="12"/>
      <w:bookmarkEnd w:id="13"/>
      <w:r>
        <w:rPr>
          <w:rFonts w:ascii="宋体" w:hAnsi="宋体" w:hint="eastAsia"/>
          <w:sz w:val="24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ind w:right="0" w:firstLine="480" w:rightChars="0" w:firstLineChars="200"/>
        <w:textAlignment w:val="auto"/>
        <w:rPr>
          <w:rFonts w:ascii="宋体" w:hAnsi="宋体" w:hint="eastAsia"/>
          <w:sz w:val="24"/>
        </w:rPr>
      </w:pPr>
      <w:bookmarkStart w:id="16" w:name="_Toc65643711"/>
      <w:bookmarkStart w:id="17" w:name="_Toc65644365"/>
      <w:bookmarkEnd w:id="14"/>
      <w:bookmarkEnd w:id="15"/>
      <w:r>
        <w:rPr>
          <w:rFonts w:ascii="宋体" w:hAnsi="宋体" w:hint="eastAsia"/>
          <w:sz w:val="24"/>
        </w:rPr>
        <w:t>（5）、《建筑施工平安检验标准》（JGJ59-99</w:t>
      </w:r>
      <w:bookmarkStart w:id="18" w:name="_Toc65643712"/>
      <w:bookmarkStart w:id="19" w:name="_Toc65644366"/>
      <w:bookmarkEnd w:id="16"/>
      <w:bookmarkEnd w:id="17"/>
      <w:r>
        <w:rPr>
          <w:rFonts w:ascii="宋体" w:hAnsi="宋体" w:hint="eastAsia"/>
          <w:sz w:val="24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ind w:right="0" w:firstLine="480" w:rightChars="0" w:firstLineChars="200"/>
        <w:textAlignment w:val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（6）、《屋面防水工程技术规范》（GB50345-2004）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ind w:right="0" w:firstLine="480" w:rightChars="0" w:firstLineChars="200"/>
        <w:textAlignment w:val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（7）、《屋面防水工程质量验收规范》（GB50207-2002）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ind w:right="0" w:firstLine="480" w:rightChars="0" w:firstLineChars="200"/>
        <w:textAlignment w:val="auto"/>
        <w:rPr>
          <w:rFonts w:ascii="宋体" w:hAnsi="宋体" w:hint="eastAsia"/>
          <w:sz w:val="24"/>
        </w:rPr>
      </w:pPr>
      <w:bookmarkEnd w:id="18"/>
      <w:bookmarkEnd w:id="19"/>
      <w:r>
        <w:rPr>
          <w:rFonts w:ascii="宋体" w:hAnsi="宋体" w:hint="eastAsia"/>
          <w:sz w:val="24"/>
        </w:rPr>
        <w:t>（8）、国家、行业和企业相关防水材料及技术标准。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360" w:lineRule="auto"/>
        <w:ind w:right="0" w:rightChars="0"/>
        <w:jc w:val="center"/>
        <w:textAlignment w:val="auto"/>
        <w:outlineLvl w:val="1"/>
        <w:rPr>
          <w:rFonts w:ascii="宋体" w:hAnsi="宋体" w:hint="eastAsia"/>
          <w:b/>
          <w:color w:val="000000"/>
          <w:sz w:val="24"/>
        </w:rPr>
      </w:pPr>
      <w:bookmarkStart w:id="20" w:name="_Toc318989072"/>
      <w:bookmarkStart w:id="21" w:name="_Toc4366"/>
      <w:r>
        <w:rPr>
          <w:rFonts w:ascii="宋体" w:hAnsi="宋体" w:hint="eastAsia"/>
          <w:b/>
          <w:sz w:val="28"/>
          <w:szCs w:val="28"/>
        </w:rPr>
        <w:t>三、</w:t>
      </w:r>
      <w:r>
        <w:rPr>
          <w:rFonts w:ascii="宋体" w:hAnsi="宋体" w:hint="eastAsia"/>
          <w:b/>
          <w:color w:val="000000"/>
          <w:sz w:val="24"/>
        </w:rPr>
        <w:t>总体施工部署</w:t>
      </w:r>
      <w:bookmarkEnd w:id="20"/>
      <w:bookmarkEnd w:id="21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360" w:lineRule="auto"/>
        <w:ind w:right="0" w:rightChars="0"/>
        <w:textAlignment w:val="auto"/>
        <w:outlineLvl w:val="3"/>
        <w:rPr>
          <w:rFonts w:ascii="宋体" w:hAnsi="宋体" w:hint="eastAsia"/>
          <w:b/>
          <w:color w:val="000000"/>
          <w:sz w:val="24"/>
        </w:rPr>
      </w:pPr>
      <w:bookmarkStart w:id="22" w:name="_Toc318989073"/>
      <w:r>
        <w:rPr>
          <w:rFonts w:ascii="宋体" w:hAnsi="宋体" w:hint="eastAsia"/>
          <w:b/>
          <w:color w:val="000000"/>
          <w:sz w:val="24"/>
        </w:rPr>
        <w:t>（一）施工打算</w:t>
      </w:r>
      <w:bookmarkEnd w:id="22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360" w:lineRule="auto"/>
        <w:ind w:right="0" w:firstLine="480" w:rightChars="0" w:firstLineChars="200"/>
        <w:textAlignment w:val="auto"/>
        <w:rPr>
          <w:rFonts w:ascii="宋体" w:hAnsi="宋体" w:hint="eastAsia"/>
          <w:bCs/>
          <w:color w:val="000000"/>
          <w:sz w:val="24"/>
        </w:rPr>
      </w:pPr>
      <w:r>
        <w:rPr>
          <w:rFonts w:ascii="宋体" w:hAnsi="宋体" w:hint="eastAsia"/>
          <w:bCs/>
          <w:color w:val="000000"/>
          <w:sz w:val="24"/>
        </w:rPr>
        <w:t>依据本工程的特点，</w:t>
      </w:r>
      <w:r>
        <w:rPr>
          <w:rFonts w:ascii="宋体" w:eastAsia="宋体" w:hAnsi="宋体" w:cs="宋体" w:hint="eastAsia"/>
          <w:b w:val="0"/>
          <w:bCs/>
          <w:sz w:val="24"/>
          <w:szCs w:val="24"/>
        </w:rPr>
        <w:t>21邻居屋面</w:t>
      </w:r>
      <w:r>
        <w:rPr>
          <w:rFonts w:ascii="宋体" w:hAnsi="宋体" w:hint="eastAsia"/>
          <w:bCs/>
          <w:color w:val="000000"/>
          <w:sz w:val="24"/>
        </w:rPr>
        <w:t>工程由本司专业队伍进行施工。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ind w:right="0" w:rightChars="0"/>
        <w:textAlignment w:val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1、技术及人员打算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ind w:right="0" w:rightChars="0"/>
        <w:textAlignment w:val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防水施工必需由具有相应资质的专业防水施工队伍进行施工，以确保防水施工的质量。防水施工时将按防水材料施工特点和要求做具体的施工技术交底。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ind w:right="0" w:rightChars="0"/>
        <w:textAlignment w:val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2、材料打算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ind w:right="0" w:rightChars="0"/>
        <w:textAlignment w:val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 选用有出场合格证和有性能检测报告的，并符合国家产品标准和设计要求的材料。依据本工程防水施工实际状况，我公司分批分次将聚合物水泥基防水涂料、聚氨酯防水涂料、防水卷材等防水材料进场。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360" w:lineRule="auto"/>
        <w:ind w:right="0" w:rightChars="0"/>
        <w:textAlignment w:val="auto"/>
        <w:outlineLvl w:val="3"/>
        <w:rPr>
          <w:rFonts w:hint="eastAsia"/>
          <w:b/>
          <w:sz w:val="24"/>
        </w:rPr>
      </w:pPr>
      <w:bookmarkStart w:id="23" w:name="_Toc318989074"/>
      <w:r>
        <w:rPr>
          <w:rFonts w:ascii="宋体" w:hAnsi="宋体" w:hint="eastAsia"/>
          <w:b/>
          <w:color w:val="000000"/>
          <w:sz w:val="24"/>
        </w:rPr>
        <w:t>（二）</w:t>
      </w:r>
      <w:r>
        <w:rPr>
          <w:rFonts w:hint="eastAsia"/>
          <w:b/>
          <w:sz w:val="24"/>
        </w:rPr>
        <w:t>施工部署</w:t>
      </w:r>
      <w:bookmarkEnd w:id="23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360" w:lineRule="auto"/>
        <w:ind w:right="0" w:rightChars="0"/>
        <w:textAlignment w:val="auto"/>
        <w:rPr>
          <w:rFonts w:ascii="宋体" w:hAnsi="宋体" w:hint="eastAsia"/>
          <w:bCs/>
          <w:color w:val="000000"/>
          <w:sz w:val="24"/>
        </w:rPr>
      </w:pPr>
      <w:r>
        <w:rPr>
          <w:rFonts w:hint="eastAsia"/>
          <w:b/>
          <w:sz w:val="24"/>
        </w:rPr>
        <w:t xml:space="preserve">     </w:t>
      </w:r>
      <w:r>
        <w:rPr>
          <w:rFonts w:ascii="宋体" w:hAnsi="宋体" w:hint="eastAsia"/>
          <w:bCs/>
          <w:color w:val="000000"/>
          <w:sz w:val="24"/>
        </w:rPr>
        <w:t>1、施工队伍组织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360" w:lineRule="auto"/>
        <w:ind w:right="0" w:rightChars="0"/>
        <w:textAlignment w:val="auto"/>
        <w:rPr>
          <w:rFonts w:ascii="宋体" w:hAnsi="宋体" w:hint="eastAsia"/>
          <w:bCs/>
          <w:color w:val="000000"/>
          <w:sz w:val="24"/>
        </w:rPr>
      </w:pPr>
      <w:r>
        <w:rPr>
          <w:rFonts w:ascii="宋体" w:hAnsi="宋体" w:hint="eastAsia"/>
          <w:bCs/>
          <w:color w:val="000000"/>
          <w:sz w:val="24"/>
        </w:rPr>
        <w:t xml:space="preserve">    本工程屋面工程防水做法由本公司专业施工队伍施工。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360" w:lineRule="auto"/>
        <w:ind w:right="0" w:rightChars="0"/>
        <w:textAlignment w:val="auto"/>
        <w:rPr>
          <w:rFonts w:ascii="宋体" w:hAnsi="宋体" w:hint="eastAsia"/>
          <w:bCs/>
          <w:color w:val="000000"/>
          <w:sz w:val="24"/>
        </w:rPr>
      </w:pPr>
      <w:r>
        <w:rPr>
          <w:rFonts w:ascii="宋体" w:hAnsi="宋体" w:hint="eastAsia"/>
          <w:bCs/>
          <w:color w:val="000000"/>
          <w:sz w:val="24"/>
        </w:rPr>
        <w:t xml:space="preserve">    2、技术交底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360" w:lineRule="auto"/>
        <w:ind w:right="0" w:rightChars="0"/>
        <w:textAlignment w:val="auto"/>
        <w:rPr>
          <w:rFonts w:ascii="宋体" w:hAnsi="宋体" w:hint="eastAsia"/>
          <w:bCs/>
          <w:color w:val="000000"/>
          <w:sz w:val="24"/>
        </w:rPr>
      </w:pPr>
      <w:r>
        <w:rPr>
          <w:rFonts w:ascii="宋体" w:hAnsi="宋体" w:hint="eastAsia"/>
          <w:bCs/>
          <w:color w:val="000000"/>
          <w:sz w:val="24"/>
        </w:rPr>
        <w:t xml:space="preserve">    （1）进场施工之前与有关操作人员进行技术交底。</w:t>
      </w:r>
    </w:p>
    <w:p>
      <w:pPr>
        <w:keepNext w:val="0"/>
        <w:keepLines w:val="0"/>
        <w:pageBreakBefore w:val="0"/>
        <w:numPr>
          <w:ilvl w:val="0"/>
          <w:numId w:val="8"/>
        </w:numPr>
        <w:kinsoku/>
        <w:wordWrap/>
        <w:overflowPunct/>
        <w:topLinePunct w:val="0"/>
        <w:bidi w:val="0"/>
        <w:adjustRightInd w:val="0"/>
        <w:snapToGrid/>
        <w:spacing w:line="360" w:lineRule="auto"/>
        <w:ind w:right="0" w:firstLine="480" w:rightChars="0" w:firstLineChars="200"/>
        <w:textAlignment w:val="auto"/>
        <w:rPr>
          <w:rFonts w:ascii="宋体" w:hAnsi="宋体" w:hint="eastAsia"/>
          <w:bCs/>
          <w:color w:val="000000"/>
          <w:sz w:val="24"/>
        </w:rPr>
      </w:pPr>
      <w:r>
        <w:rPr>
          <w:rFonts w:ascii="宋体" w:hAnsi="宋体" w:hint="eastAsia"/>
          <w:bCs/>
          <w:color w:val="000000"/>
          <w:sz w:val="24"/>
        </w:rPr>
        <w:t>施工组织设计各项要求和操作要点分层落实责任交底。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360" w:lineRule="auto"/>
        <w:ind w:right="0" w:rightChars="0"/>
        <w:textAlignment w:val="auto"/>
        <w:rPr>
          <w:rFonts w:ascii="宋体" w:hAnsi="宋体" w:hint="eastAsia"/>
          <w:bCs/>
          <w:color w:val="000000"/>
          <w:sz w:val="24"/>
        </w:rPr>
      </w:pPr>
      <w:r>
        <w:rPr>
          <w:rFonts w:ascii="宋体" w:hAnsi="宋体" w:hint="eastAsia"/>
          <w:bCs/>
          <w:color w:val="000000"/>
          <w:sz w:val="24"/>
        </w:rPr>
        <w:t xml:space="preserve">    3、材料及各施工器材配备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360" w:lineRule="auto"/>
        <w:ind w:right="0" w:rightChars="0"/>
        <w:textAlignment w:val="auto"/>
        <w:rPr>
          <w:rFonts w:ascii="宋体" w:hAnsi="宋体" w:hint="eastAsia"/>
          <w:bCs/>
          <w:color w:val="000000"/>
          <w:sz w:val="24"/>
        </w:rPr>
      </w:pPr>
      <w:r>
        <w:rPr>
          <w:rFonts w:ascii="宋体" w:hAnsi="宋体" w:hint="eastAsia"/>
          <w:bCs/>
          <w:color w:val="000000"/>
          <w:sz w:val="24"/>
        </w:rPr>
        <w:t xml:space="preserve">    依据本工程规模和工期要求配备以下工具：电动搅拌器、烤枪、毛刮、毛刷、尺子、刮板、扫帚、滚筒、排帚等小型工具若干。</w:t>
      </w:r>
      <w:r>
        <w:rPr>
          <w:rFonts w:ascii="宋体" w:hAnsi="宋体" w:hint="eastAsia"/>
          <w:bCs/>
          <w:color w:val="000000"/>
          <w:sz w:val="24"/>
        </w:rPr>
        <w:br/>
      </w:r>
      <w:r>
        <w:rPr>
          <w:rFonts w:ascii="宋体" w:hAnsi="宋体" w:hint="eastAsia"/>
          <w:bCs/>
          <w:color w:val="00000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https://d.book118.com/218116126060006033</w:t>
        </w:r>
      </w:hyperlink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360" w:lineRule="auto"/>
        <w:ind w:right="0" w:rightChars="0"/>
        <w:textAlignment w:val="auto"/>
        <w:rPr>
          <w:rFonts w:ascii="宋体" w:hAnsi="宋体" w:hint="eastAsia"/>
          <w:bCs/>
          <w:color w:val="000000"/>
          <w:sz w:val="24"/>
        </w:rPr>
      </w:pPr>
    </w:p>
    <w:sectPr>
      <w:type w:val="nextPage"/>
      <w:pgSz w:w="11906" w:h="16838"/>
      <w:pgMar w:top="1440" w:right="1797" w:bottom="1440" w:left="1797" w:header="935" w:footer="992" w:gutter="0"/>
      <w:pgNumType w:start="5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86"/>
    <w:family w:val="auto"/>
    <w:pitch w:val="default"/>
    <w:sig w:usb0="E0002EFF" w:usb1="C000785B" w:usb2="00000009" w:usb3="00000000" w:csb0="4004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楷体_GB2312">
    <w:altName w:val="楷体"/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lvl w:ilvl="0">
      <w:start w:val="1"/>
      <w:numFmt w:val="decimal"/>
      <w:lvlText w:val="%1．"/>
      <w:lvlJc w:val="left"/>
      <w:pPr>
        <w:tabs>
          <w:tab w:val="num" w:pos="420"/>
        </w:tabs>
        <w:ind w:left="510" w:hanging="51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0000008"/>
    <w:multiLevelType w:val="multilevel"/>
    <w:tmpl w:val="00000008"/>
    <w:lvl w:ilvl="0">
      <w:start w:val="1"/>
      <w:numFmt w:val="decimal"/>
      <w:lvlText w:val="%1．"/>
      <w:lvlJc w:val="left"/>
      <w:pPr>
        <w:tabs>
          <w:tab w:val="num" w:pos="420"/>
        </w:tabs>
        <w:ind w:left="510" w:hanging="51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000000A"/>
    <w:multiLevelType w:val="singleLevel"/>
    <w:tmpl w:val="0000000A"/>
    <w:lvl w:ilvl="0">
      <w:start w:val="2"/>
      <w:numFmt w:val="decimal"/>
      <w:suff w:val="nothing"/>
      <w:lvlText w:val="（%1）"/>
      <w:lvlJc w:val="left"/>
    </w:lvl>
  </w:abstractNum>
  <w:abstractNum w:abstractNumId="3">
    <w:nsid w:val="00000013"/>
    <w:multiLevelType w:val="multilevel"/>
    <w:tmpl w:val="00000013"/>
    <w:lvl w:ilvl="0">
      <w:start w:val="1"/>
      <w:numFmt w:val="decimal"/>
      <w:lvlText w:val="%1．"/>
      <w:lvlJc w:val="left"/>
      <w:pPr>
        <w:tabs>
          <w:tab w:val="num" w:pos="420"/>
        </w:tabs>
        <w:ind w:left="510" w:hanging="51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00000017"/>
    <w:multiLevelType w:val="multilevel"/>
    <w:tmpl w:val="00000017"/>
    <w:lvl w:ilvl="0">
      <w:start w:val="1"/>
      <w:numFmt w:val="chineseCountingThousand"/>
      <w:lvlText w:val="第%1章："/>
      <w:lvlJc w:val="left"/>
      <w:pPr>
        <w:tabs>
          <w:tab w:val="num" w:pos="2411"/>
        </w:tabs>
        <w:ind w:left="2831" w:hanging="420"/>
      </w:pPr>
      <w:rPr>
        <w:rFonts w:eastAsia="仿宋_GB2312" w:hint="eastAsia"/>
        <w:sz w:val="32"/>
      </w:rPr>
    </w:lvl>
    <w:lvl w:ilvl="1">
      <w:start w:val="1"/>
      <w:numFmt w:val="chineseCountingThousand"/>
      <w:lvlText w:val="第%2章："/>
      <w:lvlJc w:val="left"/>
      <w:pPr>
        <w:tabs>
          <w:tab w:val="num" w:pos="3911"/>
        </w:tabs>
        <w:ind w:left="3251" w:hanging="420"/>
      </w:pPr>
      <w:rPr>
        <w:rFonts w:hint="eastAsia"/>
      </w:rPr>
    </w:lvl>
    <w:lvl w:ilvl="2">
      <w:start w:val="1"/>
      <w:numFmt w:val="japaneseCounting"/>
      <w:lvlText w:val="第%3章、"/>
      <w:lvlJc w:val="left"/>
      <w:pPr>
        <w:tabs>
          <w:tab w:val="num" w:pos="4511"/>
        </w:tabs>
        <w:ind w:left="4511" w:hanging="12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4091"/>
        </w:tabs>
        <w:ind w:left="4091" w:hanging="420"/>
      </w:pPr>
    </w:lvl>
    <w:lvl w:ilvl="4">
      <w:start w:val="1"/>
      <w:numFmt w:val="lowerLetter"/>
      <w:lvlText w:val="%5)"/>
      <w:lvlJc w:val="left"/>
      <w:pPr>
        <w:tabs>
          <w:tab w:val="num" w:pos="4511"/>
        </w:tabs>
        <w:ind w:left="4511" w:hanging="420"/>
      </w:pPr>
    </w:lvl>
    <w:lvl w:ilvl="5">
      <w:start w:val="1"/>
      <w:numFmt w:val="lowerRoman"/>
      <w:lvlText w:val="%6."/>
      <w:lvlJc w:val="right"/>
      <w:pPr>
        <w:tabs>
          <w:tab w:val="num" w:pos="4931"/>
        </w:tabs>
        <w:ind w:left="4931" w:hanging="420"/>
      </w:pPr>
    </w:lvl>
    <w:lvl w:ilvl="6">
      <w:start w:val="1"/>
      <w:numFmt w:val="decimal"/>
      <w:lvlText w:val="%7."/>
      <w:lvlJc w:val="left"/>
      <w:pPr>
        <w:tabs>
          <w:tab w:val="num" w:pos="5351"/>
        </w:tabs>
        <w:ind w:left="5351" w:hanging="420"/>
      </w:pPr>
    </w:lvl>
    <w:lvl w:ilvl="7">
      <w:start w:val="1"/>
      <w:numFmt w:val="lowerLetter"/>
      <w:lvlText w:val="%8)"/>
      <w:lvlJc w:val="left"/>
      <w:pPr>
        <w:tabs>
          <w:tab w:val="num" w:pos="5771"/>
        </w:tabs>
        <w:ind w:left="5771" w:hanging="420"/>
      </w:pPr>
    </w:lvl>
    <w:lvl w:ilvl="8">
      <w:start w:val="1"/>
      <w:numFmt w:val="lowerRoman"/>
      <w:lvlText w:val="%9."/>
      <w:lvlJc w:val="right"/>
      <w:pPr>
        <w:tabs>
          <w:tab w:val="num" w:pos="6191"/>
        </w:tabs>
        <w:ind w:left="6191" w:hanging="420"/>
      </w:pPr>
    </w:lvl>
  </w:abstractNum>
  <w:abstractNum w:abstractNumId="5">
    <w:nsid w:val="2B8EE3B6"/>
    <w:multiLevelType w:val="singleLevel"/>
    <w:tmpl w:val="0000000A"/>
    <w:lvl w:ilvl="0">
      <w:start w:val="2"/>
      <w:numFmt w:val="decimal"/>
      <w:suff w:val="nothing"/>
      <w:lvlText w:val="（%1）"/>
      <w:lvlJc w:val="left"/>
    </w:lvl>
  </w:abstractNum>
  <w:abstractNum w:abstractNumId="6">
    <w:nsid w:val="595065E3"/>
    <w:multiLevelType w:val="singleLevel"/>
    <w:tmpl w:val="595065E3"/>
    <w:lvl w:ilvl="0">
      <w:start w:val="5"/>
      <w:numFmt w:val="chineseCounting"/>
      <w:suff w:val="nothing"/>
      <w:lvlText w:val="%1、"/>
      <w:lvlJc w:val="left"/>
    </w:lvl>
  </w:abstractNum>
  <w:abstractNum w:abstractNumId="7">
    <w:nsid w:val="595082CE"/>
    <w:multiLevelType w:val="singleLevel"/>
    <w:tmpl w:val="595082CE"/>
    <w:lvl w:ilvl="0">
      <w:start w:val="4"/>
      <w:numFmt w:val="chineseCounting"/>
      <w:suff w:val="nothing"/>
      <w:lvlText w:val="第%1节"/>
      <w:lvlJc w:val="left"/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156E2C0D"/>
    <w:rsid w:val="3E1C010A"/>
    <w:rsid w:val="3E4B4BE7"/>
  </w:rsids>
  <m:mathPr>
    <m:mathFont m:val="Times New Roma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semiHidden="0" w:uiPriority="0" w:unhideWhenUsed="0"/>
    <w:lsdException w:name="heading 3" w:semiHidden="0" w:uiPriority="0" w:qFormat="1"/>
    <w:lsdException w:name="heading 4" w:semiHidden="0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next w:val="Normal"/>
    <w:qFormat/>
    <w:pPr>
      <w:keepNext/>
      <w:numPr>
        <w:ilvl w:val="0"/>
        <w:numId w:val="1"/>
      </w:numPr>
      <w:tabs>
        <w:tab w:val="left" w:pos="2411"/>
      </w:tabs>
      <w:overflowPunct w:val="0"/>
      <w:autoSpaceDE w:val="0"/>
      <w:autoSpaceDN w:val="0"/>
      <w:adjustRightInd w:val="0"/>
      <w:spacing w:line="312" w:lineRule="atLeast"/>
      <w:jc w:val="center"/>
      <w:textAlignment w:val="baseline"/>
      <w:outlineLvl w:val="0"/>
    </w:pPr>
    <w:rPr>
      <w:rFonts w:eastAsia="黑体"/>
      <w:b/>
      <w:sz w:val="24"/>
      <w:szCs w:val="22"/>
      <w:lang w:val="en-US" w:eastAsia="zh-CN" w:bidi="ar-SA"/>
    </w:rPr>
  </w:style>
  <w:style w:type="paragraph" w:styleId="Heading2">
    <w:name w:val="heading 2"/>
    <w:basedOn w:val="Normal"/>
    <w:next w:val="Normal"/>
    <w:link w:val="2858D7CFB-ED40-4347-BF05-701D383B685F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unhideWhenUsed/>
    <w:qFormat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eastAsia="黑体" w:hAnsi="Arial"/>
      <w:b/>
      <w:sz w:val="28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Pr>
      <w:color w:val="0000FF"/>
      <w:u w:val="single"/>
    </w:rPr>
  </w:style>
  <w:style w:type="character" w:customStyle="1" w:styleId="2858D7CFB-ED40-4347-BF05-701D383B685F">
    <w:name w:val="标题 2{858D7CFB-ED40-4347-BF05-701D383B685F}"/>
    <w:link w:val="Heading2"/>
    <w:rPr>
      <w:rFonts w:ascii="Arial" w:eastAsia="黑体" w:hAnsi="Arial"/>
      <w:b/>
      <w:sz w:val="32"/>
    </w:rPr>
  </w:style>
  <w:style w:type="character" w:customStyle="1" w:styleId="CharChar21">
    <w:name w:val=" Char Char21"/>
    <w:basedOn w:val="DefaultParagraphFont"/>
    <w:link w:val="Header"/>
    <w:rPr>
      <w:rFonts w:eastAsia="宋体"/>
      <w:kern w:val="2"/>
      <w:sz w:val="18"/>
      <w:szCs w:val="18"/>
      <w:lang w:val="en-US" w:eastAsia="zh-CN" w:bidi="ar-SA"/>
    </w:rPr>
  </w:style>
  <w:style w:type="character" w:styleId="PageNumber">
    <w:name w:val="page number"/>
    <w:basedOn w:val="DefaultParagraphFont"/>
  </w:style>
  <w:style w:type="character" w:styleId="FootnoteReference">
    <w:name w:val="footnote reference"/>
    <w:basedOn w:val="DefaultParagraphFont"/>
    <w:rPr>
      <w:vertAlign w:val="superscript"/>
    </w:rPr>
  </w:style>
  <w:style w:type="paragraph" w:styleId="FootnoteText">
    <w:name w:val="footnote text"/>
    <w:basedOn w:val="Normal"/>
    <w:pPr>
      <w:snapToGrid w:val="0"/>
      <w:jc w:val="left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PlainText">
    <w:name w:val="Plain Text"/>
    <w:basedOn w:val="Normal"/>
    <w:rPr>
      <w:rFonts w:ascii="宋体" w:hAnsi="Courier New"/>
    </w:rPr>
  </w:style>
  <w:style w:type="paragraph" w:styleId="TOC3">
    <w:name w:val="toc 3"/>
    <w:basedOn w:val="Normal"/>
    <w:next w:val="Normal"/>
    <w:pPr>
      <w:ind w:left="840" w:leftChars="400"/>
    </w:pPr>
  </w:style>
  <w:style w:type="paragraph" w:customStyle="1" w:styleId="p0">
    <w:name w:val="p0"/>
    <w:basedOn w:val="Normal"/>
    <w:pPr>
      <w:widowControl/>
    </w:pPr>
    <w:rPr>
      <w:kern w:val="0"/>
      <w:szCs w:val="21"/>
    </w:rPr>
  </w:style>
  <w:style w:type="paragraph" w:styleId="BodyTextIndent">
    <w:name w:val="Body Text Indent"/>
    <w:basedOn w:val="Normal"/>
    <w:pPr>
      <w:ind w:firstLine="318" w:firstLineChars="150"/>
    </w:pPr>
    <w:rPr>
      <w:sz w:val="24"/>
      <w:szCs w:val="28"/>
    </w:rPr>
  </w:style>
  <w:style w:type="paragraph" w:styleId="TOC1">
    <w:name w:val="toc 1"/>
    <w:basedOn w:val="Normal"/>
    <w:next w:val="Normal"/>
    <w:pPr>
      <w:spacing w:before="120" w:beforeLines="0" w:after="120" w:afterLines="0"/>
      <w:jc w:val="left"/>
    </w:pPr>
    <w:rPr>
      <w:b/>
      <w:bCs/>
      <w:caps/>
      <w:sz w:val="20"/>
      <w:szCs w:val="20"/>
    </w:rPr>
  </w:style>
  <w:style w:type="paragraph" w:styleId="BodyText">
    <w:name w:val="Body Text"/>
    <w:basedOn w:val="Normal"/>
    <w:rPr>
      <w:sz w:val="28"/>
    </w:rPr>
  </w:style>
  <w:style w:type="paragraph" w:customStyle="1" w:styleId="NoSpacing">
    <w:name w:val="No Spacing"/>
    <w:uiPriority w:val="1"/>
    <w:qFormat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kern w:val="2"/>
      <w:sz w:val="21"/>
      <w:szCs w:val="24"/>
      <w:lang w:val="en-US" w:eastAsia="zh-CN" w:bidi="ar-SA"/>
    </w:rPr>
  </w:style>
  <w:style w:type="paragraph" w:styleId="BodyTextFirstIndent2">
    <w:name w:val="Body Text First Indent 2"/>
    <w:basedOn w:val="BodyTextIndent"/>
    <w:pPr>
      <w:ind w:firstLine="420" w:firstLineChars="200"/>
    </w:pPr>
  </w:style>
  <w:style w:type="paragraph" w:styleId="DocumentMap">
    <w:name w:val="Document Map"/>
    <w:basedOn w:val="Normal"/>
    <w:pPr>
      <w:shd w:val="clear" w:color="auto" w:fill="000080"/>
    </w:pPr>
  </w:style>
  <w:style w:type="paragraph" w:customStyle="1" w:styleId="45">
    <w:name w:val="样式 表格居中 + 首行缩进:  4.5 字符"/>
    <w:basedOn w:val="a0"/>
    <w:pPr>
      <w:spacing w:line="360" w:lineRule="auto"/>
      <w:ind w:firstLine="0" w:firstLineChars="0"/>
    </w:pPr>
  </w:style>
  <w:style w:type="paragraph" w:styleId="Header">
    <w:name w:val="header"/>
    <w:basedOn w:val="Normal"/>
    <w:link w:val="CharChar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2"/>
      <w:sz w:val="18"/>
      <w:szCs w:val="18"/>
      <w:lang w:val="en-US" w:eastAsia="zh-CN" w:bidi="ar-SA"/>
    </w:rPr>
  </w:style>
  <w:style w:type="paragraph" w:customStyle="1" w:styleId="2TimesNewRoman5020">
    <w:name w:val="样式 标题 2 + Times New Roman 四号 非加粗 段前: 5 磅 段后: 0 磅 行距: 固定值 20..."/>
    <w:basedOn w:val="Heading2"/>
    <w:qFormat/>
    <w:pPr>
      <w:spacing w:before="100" w:after="0" w:line="400" w:lineRule="exact"/>
    </w:pPr>
    <w:rPr>
      <w:rFonts w:ascii="Times New Roman" w:hAnsi="Times New Roman" w:cs="宋体"/>
      <w:b w:val="0"/>
      <w:bCs w:val="0"/>
      <w:sz w:val="28"/>
      <w:szCs w:val="20"/>
    </w:rPr>
  </w:style>
  <w:style w:type="paragraph" w:styleId="NormalWeb">
    <w:name w:val="Normal (Web)"/>
    <w:basedOn w:val="Normal"/>
    <w:pPr>
      <w:widowControl/>
      <w:spacing w:before="100" w:beforeAutospacing="1" w:after="100" w:afterAutospacing="1"/>
      <w:ind w:firstLine="480"/>
      <w:jc w:val="left"/>
    </w:pPr>
    <w:rPr>
      <w:rFonts w:ascii="宋体" w:eastAsia="宋体" w:hAnsi="宋体" w:cs="Times New Roman"/>
      <w:kern w:val="0"/>
      <w:sz w:val="24"/>
      <w:szCs w:val="20"/>
    </w:rPr>
  </w:style>
  <w:style w:type="paragraph" w:styleId="TOC2">
    <w:name w:val="toc 2"/>
    <w:basedOn w:val="Normal"/>
    <w:next w:val="Normal"/>
    <w:pPr>
      <w:ind w:left="210"/>
      <w:jc w:val="left"/>
    </w:pPr>
    <w:rPr>
      <w:smallCaps/>
      <w:sz w:val="20"/>
      <w:szCs w:val="20"/>
    </w:rPr>
  </w:style>
  <w:style w:type="paragraph" w:customStyle="1" w:styleId="a">
    <w:name w:val="正文（标书标准）"/>
    <w:basedOn w:val="Normal"/>
    <w:pPr>
      <w:spacing w:line="360" w:lineRule="auto"/>
      <w:ind w:firstLine="482" w:firstLineChars="200"/>
    </w:pPr>
    <w:rPr>
      <w:rFonts w:ascii="宋体" w:hAnsi="宋体" w:cs="宋体"/>
      <w:b/>
      <w:color w:val="000000"/>
      <w:sz w:val="24"/>
    </w:rPr>
  </w:style>
  <w:style w:type="paragraph" w:customStyle="1" w:styleId="a0">
    <w:name w:val="表格居中"/>
    <w:basedOn w:val="Normal"/>
    <w:pPr>
      <w:adjustRightInd w:val="0"/>
      <w:snapToGrid w:val="0"/>
      <w:spacing w:line="288" w:lineRule="auto"/>
      <w:ind w:firstLine="945" w:firstLineChars="450"/>
      <w:jc w:val="center"/>
      <w:textAlignment w:val="center"/>
    </w:pPr>
    <w:rPr>
      <w:rFonts w:ascii="黑体" w:eastAsia="黑体" w:hAnsi="宋体" w:cs="宋体"/>
      <w:kern w:val="22"/>
      <w:sz w:val="21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1811612606000603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6</Pages>
  <Words>2051</Words>
  <Characters>11693</Characters>
  <Application>Microsoft Office Word</Application>
  <DocSecurity>0</DocSecurity>
  <Lines>97</Lines>
  <Paragraphs>27</Paragraphs>
  <ScaleCrop>false</ScaleCrop>
  <Company>o</Company>
  <LinksUpToDate>false</LinksUpToDate>
  <CharactersWithSpaces>13717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B区幼儿园及商铺施工方案</dc:title>
  <dc:creator>lenovo</dc:creator>
  <cp:lastModifiedBy>q</cp:lastModifiedBy>
  <cp:revision>38</cp:revision>
  <cp:lastPrinted>2012-07-27T00:00:24Z</cp:lastPrinted>
  <dcterms:created xsi:type="dcterms:W3CDTF">2011-04-01T16:35:00Z</dcterms:created>
  <dcterms:modified xsi:type="dcterms:W3CDTF">2017-06-26T07:16:40Z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